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74295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No. 1</w:t>
      </w:r>
    </w:p>
    <w:p>
      <w:pPr>
        <w:spacing w:after="0" w:line="180" w:lineRule="exact"/>
        <w:rPr>
          <w:sz w:val="24"/>
          <w:szCs w:val="24"/>
          <w:color w:val="auto"/>
        </w:rPr>
      </w:pPr>
    </w:p>
    <w:p>
      <w:pPr>
        <w:ind w:left="240" w:hanging="237"/>
        <w:spacing w:after="0"/>
        <w:tabs>
          <w:tab w:leader="none" w:pos="2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12" w:lineRule="exact"/>
        <w:rPr>
          <w:sz w:val="24"/>
          <w:szCs w:val="24"/>
          <w:color w:val="auto"/>
        </w:rPr>
      </w:pPr>
    </w:p>
    <w:p>
      <w:pPr>
        <w:ind w:left="3600" w:right="660" w:hanging="3597"/>
        <w:spacing w:after="0" w:line="328" w:lineRule="auto"/>
        <w:tabs>
          <w:tab w:leader="none" w:pos="24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001-38860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108585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gridSpan w:val="2"/>
          </w:tcPr>
          <w:p>
            <w:pPr>
              <w:jc w:val="center"/>
              <w:ind w:left="598"/>
              <w:spacing w:after="0"/>
              <w:rPr>
                <w:sz w:val="20"/>
                <w:szCs w:val="20"/>
                <w:color w:val="auto"/>
              </w:rPr>
            </w:pPr>
            <w:r>
              <w:rPr>
                <w:rFonts w:ascii="Arial" w:cs="Arial" w:eastAsia="Arial" w:hAnsi="Arial"/>
                <w:sz w:val="5"/>
                <w:szCs w:val="5"/>
                <w:color w:val="auto"/>
                <w:w w:val="91"/>
              </w:rPr>
              <w:t>\</w:t>
            </w:r>
            <w:r>
              <w:rPr>
                <w:rFonts w:ascii="Arial" w:cs="Arial" w:eastAsia="Arial" w:hAnsi="Arial"/>
                <w:sz w:val="18"/>
                <w:szCs w:val="18"/>
                <w:b w:val="1"/>
                <w:bCs w:val="1"/>
                <w:color w:val="auto"/>
                <w:w w:val="91"/>
              </w:rPr>
              <w:t>Delaware</w:t>
            </w:r>
          </w:p>
        </w:tc>
        <w:tc>
          <w:tcPr>
            <w:tcW w:w="2020" w:type="dxa"/>
            <w:vAlign w:val="bottom"/>
          </w:tcPr>
          <w:p>
            <w:pPr>
              <w:spacing w:after="0"/>
              <w:rPr>
                <w:sz w:val="20"/>
                <w:szCs w:val="20"/>
                <w:color w:val="auto"/>
              </w:rPr>
            </w:pPr>
          </w:p>
        </w:tc>
        <w:tc>
          <w:tcPr>
            <w:tcW w:w="3800" w:type="dxa"/>
            <w:vAlign w:val="bottom"/>
            <w:gridSpan w:val="2"/>
          </w:tcPr>
          <w:p>
            <w:pPr>
              <w:jc w:val="center"/>
              <w:ind w:right="1010"/>
              <w:spacing w:after="0"/>
              <w:rPr>
                <w:sz w:val="20"/>
                <w:szCs w:val="20"/>
                <w:color w:val="auto"/>
              </w:rPr>
            </w:pPr>
            <w:r>
              <w:rPr>
                <w:rFonts w:ascii="Arial" w:cs="Arial" w:eastAsia="Arial" w:hAnsi="Arial"/>
                <w:sz w:val="18"/>
                <w:szCs w:val="18"/>
                <w:b w:val="1"/>
                <w:bCs w:val="1"/>
                <w:color w:val="auto"/>
                <w:w w:val="89"/>
              </w:rPr>
              <w:t>83-2456358</w:t>
            </w:r>
          </w:p>
        </w:tc>
      </w:tr>
      <w:tr>
        <w:trPr>
          <w:trHeight w:val="230"/>
        </w:trPr>
        <w:tc>
          <w:tcPr>
            <w:tcW w:w="20" w:type="dxa"/>
            <w:vAlign w:val="bottom"/>
          </w:tcPr>
          <w:p>
            <w:pPr>
              <w:spacing w:after="0"/>
              <w:rPr>
                <w:sz w:val="20"/>
                <w:szCs w:val="20"/>
                <w:color w:val="auto"/>
              </w:rPr>
            </w:pPr>
          </w:p>
        </w:tc>
        <w:tc>
          <w:tcPr>
            <w:tcW w:w="6240" w:type="dxa"/>
            <w:vAlign w:val="bottom"/>
            <w:gridSpan w:val="3"/>
          </w:tcPr>
          <w:p>
            <w:pPr>
              <w:jc w:val="center"/>
              <w:ind w:right="1250"/>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3800" w:type="dxa"/>
            <w:vAlign w:val="bottom"/>
            <w:gridSpan w:val="2"/>
          </w:tcPr>
          <w:p>
            <w:pPr>
              <w:jc w:val="center"/>
              <w:ind w:right="1010"/>
              <w:spacing w:after="0"/>
              <w:rPr>
                <w:sz w:val="20"/>
                <w:szCs w:val="20"/>
                <w:color w:val="auto"/>
              </w:rPr>
            </w:pPr>
            <w:r>
              <w:rPr>
                <w:rFonts w:ascii="Arial" w:cs="Arial" w:eastAsia="Arial" w:hAnsi="Arial"/>
                <w:sz w:val="18"/>
                <w:szCs w:val="18"/>
                <w:color w:val="auto"/>
                <w:w w:val="94"/>
              </w:rPr>
              <w:t>(I.R.S. Employer Identification No.)</w:t>
            </w:r>
          </w:p>
        </w:tc>
      </w:tr>
      <w:tr>
        <w:trPr>
          <w:trHeight w:val="319"/>
        </w:trPr>
        <w:tc>
          <w:tcPr>
            <w:tcW w:w="20" w:type="dxa"/>
            <w:vAlign w:val="bottom"/>
          </w:tcPr>
          <w:p>
            <w:pPr>
              <w:spacing w:after="0"/>
              <w:rPr>
                <w:sz w:val="24"/>
                <w:szCs w:val="24"/>
                <w:color w:val="auto"/>
              </w:rPr>
            </w:pPr>
          </w:p>
        </w:tc>
        <w:tc>
          <w:tcPr>
            <w:tcW w:w="4220" w:type="dxa"/>
            <w:vAlign w:val="bottom"/>
            <w:gridSpan w:val="2"/>
          </w:tcPr>
          <w:p>
            <w:pPr>
              <w:jc w:val="center"/>
              <w:ind w:left="598"/>
              <w:spacing w:after="0"/>
              <w:rPr>
                <w:sz w:val="20"/>
                <w:szCs w:val="20"/>
                <w:color w:val="auto"/>
              </w:rPr>
            </w:pPr>
            <w:r>
              <w:rPr>
                <w:rFonts w:ascii="Arial" w:cs="Arial" w:eastAsia="Arial" w:hAnsi="Arial"/>
                <w:sz w:val="18"/>
                <w:szCs w:val="18"/>
                <w:b w:val="1"/>
                <w:bCs w:val="1"/>
                <w:color w:val="auto"/>
                <w:w w:val="88"/>
              </w:rPr>
              <w:t>1177 Avenue of the Americas</w:t>
            </w: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4220" w:type="dxa"/>
            <w:vAlign w:val="bottom"/>
            <w:gridSpan w:val="2"/>
          </w:tcPr>
          <w:p>
            <w:pPr>
              <w:jc w:val="center"/>
              <w:ind w:left="598"/>
              <w:spacing w:after="0" w:line="193" w:lineRule="exact"/>
              <w:rPr>
                <w:sz w:val="20"/>
                <w:szCs w:val="20"/>
                <w:color w:val="auto"/>
              </w:rPr>
            </w:pPr>
            <w:r>
              <w:rPr>
                <w:rFonts w:ascii="Arial" w:cs="Arial" w:eastAsia="Arial" w:hAnsi="Arial"/>
                <w:sz w:val="18"/>
                <w:szCs w:val="18"/>
                <w:b w:val="1"/>
                <w:bCs w:val="1"/>
                <w:color w:val="auto"/>
                <w:w w:val="93"/>
              </w:rPr>
              <w:t>New York, New York</w:t>
            </w:r>
          </w:p>
        </w:tc>
        <w:tc>
          <w:tcPr>
            <w:tcW w:w="2020" w:type="dxa"/>
            <w:vAlign w:val="bottom"/>
          </w:tcPr>
          <w:p>
            <w:pPr>
              <w:spacing w:after="0"/>
              <w:rPr>
                <w:sz w:val="16"/>
                <w:szCs w:val="16"/>
                <w:color w:val="auto"/>
              </w:rPr>
            </w:pPr>
          </w:p>
        </w:tc>
        <w:tc>
          <w:tcPr>
            <w:tcW w:w="3800" w:type="dxa"/>
            <w:vAlign w:val="bottom"/>
            <w:gridSpan w:val="2"/>
          </w:tcPr>
          <w:p>
            <w:pPr>
              <w:jc w:val="center"/>
              <w:ind w:right="1050"/>
              <w:spacing w:after="0" w:line="193" w:lineRule="exact"/>
              <w:rPr>
                <w:sz w:val="20"/>
                <w:szCs w:val="20"/>
                <w:color w:val="auto"/>
              </w:rPr>
            </w:pPr>
            <w:r>
              <w:rPr>
                <w:rFonts w:ascii="Arial" w:cs="Arial" w:eastAsia="Arial" w:hAnsi="Arial"/>
                <w:sz w:val="18"/>
                <w:szCs w:val="18"/>
                <w:b w:val="1"/>
                <w:bCs w:val="1"/>
                <w:color w:val="auto"/>
                <w:w w:val="91"/>
              </w:rPr>
              <w:t>10036</w:t>
            </w:r>
          </w:p>
        </w:tc>
      </w:tr>
      <w:tr>
        <w:trPr>
          <w:trHeight w:val="230"/>
        </w:trPr>
        <w:tc>
          <w:tcPr>
            <w:tcW w:w="20" w:type="dxa"/>
            <w:vAlign w:val="bottom"/>
          </w:tcPr>
          <w:p>
            <w:pPr>
              <w:spacing w:after="0"/>
              <w:rPr>
                <w:sz w:val="20"/>
                <w:szCs w:val="20"/>
                <w:color w:val="auto"/>
              </w:rPr>
            </w:pPr>
          </w:p>
        </w:tc>
        <w:tc>
          <w:tcPr>
            <w:tcW w:w="4220" w:type="dxa"/>
            <w:vAlign w:val="bottom"/>
            <w:gridSpan w:val="2"/>
          </w:tcPr>
          <w:p>
            <w:pPr>
              <w:jc w:val="center"/>
              <w:ind w:left="598"/>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jc w:val="center"/>
              <w:ind w:right="1210"/>
              <w:spacing w:after="0"/>
              <w:rPr>
                <w:sz w:val="20"/>
                <w:szCs w:val="20"/>
                <w:color w:val="auto"/>
              </w:rPr>
            </w:pPr>
            <w:r>
              <w:rPr>
                <w:rFonts w:ascii="Arial" w:cs="Arial" w:eastAsia="Arial" w:hAnsi="Arial"/>
                <w:sz w:val="18"/>
                <w:szCs w:val="18"/>
                <w:color w:val="auto"/>
                <w:w w:val="94"/>
              </w:rPr>
              <w:t>(Zip Code)</w:t>
            </w:r>
          </w:p>
        </w:tc>
      </w:tr>
      <w:tr>
        <w:trPr>
          <w:trHeight w:val="269"/>
        </w:trPr>
        <w:tc>
          <w:tcPr>
            <w:tcW w:w="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20" w:type="dxa"/>
            <w:vAlign w:val="bottom"/>
          </w:tcPr>
          <w:p>
            <w:pPr>
              <w:jc w:val="right"/>
              <w:ind w:right="570"/>
              <w:spacing w:after="0"/>
              <w:rPr>
                <w:sz w:val="20"/>
                <w:szCs w:val="20"/>
                <w:color w:val="auto"/>
              </w:rPr>
            </w:pPr>
            <w:r>
              <w:rPr>
                <w:rFonts w:ascii="Arial" w:cs="Arial" w:eastAsia="Arial" w:hAnsi="Arial"/>
                <w:sz w:val="18"/>
                <w:szCs w:val="18"/>
                <w:b w:val="1"/>
                <w:bCs w:val="1"/>
                <w:color w:val="auto"/>
              </w:rPr>
              <w:t>(646) 430-6000</w:t>
            </w:r>
          </w:p>
        </w:tc>
        <w:tc>
          <w:tcPr>
            <w:tcW w:w="18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10040" w:type="dxa"/>
            <w:vAlign w:val="bottom"/>
            <w:gridSpan w:val="5"/>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270"/>
        </w:trPr>
        <w:tc>
          <w:tcPr>
            <w:tcW w:w="424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392"/>
        </w:trPr>
        <w:tc>
          <w:tcPr>
            <w:tcW w:w="20" w:type="dxa"/>
            <w:vAlign w:val="bottom"/>
          </w:tcPr>
          <w:p>
            <w:pPr>
              <w:spacing w:after="0"/>
              <w:rPr>
                <w:sz w:val="24"/>
                <w:szCs w:val="24"/>
                <w:color w:val="auto"/>
              </w:rPr>
            </w:pPr>
          </w:p>
        </w:tc>
        <w:tc>
          <w:tcPr>
            <w:tcW w:w="4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8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20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18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103" w:lineRule="exact"/>
        <w:rPr>
          <w:sz w:val="24"/>
          <w:szCs w:val="24"/>
          <w:color w:val="auto"/>
        </w:rPr>
      </w:pPr>
    </w:p>
    <w:p>
      <w:pPr>
        <w:ind w:right="2400"/>
        <w:spacing w:after="0" w:line="24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45" w:lineRule="exact"/>
        <w:rPr>
          <w:sz w:val="24"/>
          <w:szCs w:val="24"/>
          <w:color w:val="auto"/>
        </w:rPr>
      </w:pPr>
    </w:p>
    <w:p>
      <w:pPr>
        <w:jc w:val="both"/>
        <w:ind w:right="100"/>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49" w:lineRule="exact"/>
        <w:rPr>
          <w:sz w:val="24"/>
          <w:szCs w:val="24"/>
          <w:color w:val="auto"/>
        </w:rPr>
      </w:pPr>
    </w:p>
    <w:p>
      <w:pPr>
        <w:ind w:right="46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45" w:lineRule="exact"/>
        <w:rPr>
          <w:sz w:val="24"/>
          <w:szCs w:val="24"/>
          <w:color w:val="auto"/>
        </w:rPr>
      </w:pPr>
    </w:p>
    <w:p>
      <w:pPr>
        <w:ind w:right="22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80"/>
          </w:cols>
          <w:pgMar w:left="920" w:top="233" w:right="899" w:bottom="1440" w:gutter="0" w:footer="0" w:header="0"/>
        </w:sectPr>
      </w:pPr>
    </w:p>
    <w:p>
      <w:pPr>
        <w:spacing w:after="0" w:line="61" w:lineRule="exact"/>
        <w:rPr>
          <w:sz w:val="24"/>
          <w:szCs w:val="24"/>
          <w:color w:val="auto"/>
        </w:rPr>
      </w:pPr>
    </w:p>
    <w:p>
      <w:pPr>
        <w:ind w:left="20" w:right="80"/>
        <w:spacing w:after="0" w:line="291"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85" w:lineRule="exact"/>
        <w:rPr>
          <w:sz w:val="24"/>
          <w:szCs w:val="24"/>
          <w:color w:val="auto"/>
        </w:rPr>
      </w:pPr>
    </w:p>
    <w:p>
      <w:pPr>
        <w:sectPr>
          <w:pgSz w:w="11900" w:h="16838" w:orient="portrait"/>
          <w:cols w:equalWidth="0" w:num="6">
            <w:col w:w="1680" w:space="720"/>
            <w:col w:w="280" w:space="720"/>
            <w:col w:w="1660" w:space="720"/>
            <w:col w:w="240" w:space="720"/>
            <w:col w:w="1640" w:space="720"/>
            <w:col w:w="980"/>
          </w:cols>
          <w:pgMar w:left="920" w:top="233" w:right="899" w:bottom="1440" w:gutter="0" w:footer="0" w:header="0"/>
          <w:type w:val="continuous"/>
        </w:sectPr>
      </w:pPr>
    </w:p>
    <w:p>
      <w:pPr>
        <w:ind w:right="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9" w:lineRule="exact"/>
        <w:rPr>
          <w:sz w:val="24"/>
          <w:szCs w:val="24"/>
          <w:color w:val="auto"/>
        </w:rPr>
      </w:pPr>
    </w:p>
    <w:p>
      <w:pPr>
        <w:ind w:right="160"/>
        <w:spacing w:after="0"/>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Class A common stock on the NASDAQ Global Select Market on June 28, 2019, was approximately $4.5 billion.</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920" w:type="dxa"/>
            <w:vAlign w:val="bottom"/>
            <w:gridSpan w:val="2"/>
          </w:tcPr>
          <w:p>
            <w:pPr>
              <w:ind w:left="2480"/>
              <w:spacing w:after="0" w:line="156" w:lineRule="exact"/>
              <w:rPr>
                <w:sz w:val="20"/>
                <w:szCs w:val="20"/>
                <w:color w:val="auto"/>
              </w:rPr>
            </w:pPr>
            <w:r>
              <w:rPr>
                <w:rFonts w:ascii="Arial" w:cs="Arial" w:eastAsia="Arial" w:hAnsi="Arial"/>
                <w:sz w:val="14"/>
                <w:szCs w:val="14"/>
                <w:color w:val="auto"/>
              </w:rPr>
              <w:t>Class of Stock</w:t>
            </w:r>
          </w:p>
        </w:tc>
        <w:tc>
          <w:tcPr>
            <w:tcW w:w="4140" w:type="dxa"/>
            <w:vAlign w:val="bottom"/>
          </w:tcPr>
          <w:p>
            <w:pPr>
              <w:jc w:val="right"/>
              <w:ind w:right="748"/>
              <w:spacing w:after="0" w:line="156" w:lineRule="exact"/>
              <w:rPr>
                <w:sz w:val="20"/>
                <w:szCs w:val="20"/>
                <w:color w:val="auto"/>
              </w:rPr>
            </w:pPr>
            <w:r>
              <w:rPr>
                <w:rFonts w:ascii="Arial" w:cs="Arial" w:eastAsia="Arial" w:hAnsi="Arial"/>
                <w:sz w:val="14"/>
                <w:szCs w:val="14"/>
                <w:color w:val="auto"/>
              </w:rPr>
              <w:t>Shares Outstanding as of February 14, 2020</w:t>
            </w:r>
          </w:p>
        </w:tc>
      </w:tr>
      <w:tr>
        <w:trPr>
          <w:trHeight w:val="123"/>
        </w:trPr>
        <w:tc>
          <w:tcPr>
            <w:tcW w:w="20" w:type="dxa"/>
            <w:vAlign w:val="bottom"/>
          </w:tcPr>
          <w:p>
            <w:pPr>
              <w:spacing w:after="0"/>
              <w:rPr>
                <w:sz w:val="10"/>
                <w:szCs w:val="10"/>
                <w:color w:val="auto"/>
              </w:rPr>
            </w:pPr>
          </w:p>
        </w:tc>
        <w:tc>
          <w:tcPr>
            <w:tcW w:w="58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Class A Common Stock, par value $0.00001 per share</w:t>
            </w:r>
          </w:p>
        </w:tc>
        <w:tc>
          <w:tcPr>
            <w:tcW w:w="80" w:type="dxa"/>
            <w:vAlign w:val="bottom"/>
          </w:tcPr>
          <w:p>
            <w:pPr>
              <w:spacing w:after="0"/>
              <w:rPr>
                <w:sz w:val="10"/>
                <w:szCs w:val="10"/>
                <w:color w:val="auto"/>
              </w:rPr>
            </w:pPr>
          </w:p>
        </w:tc>
        <w:tc>
          <w:tcPr>
            <w:tcW w:w="41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70,212,713</w:t>
            </w:r>
          </w:p>
        </w:tc>
      </w:tr>
      <w:tr>
        <w:trPr>
          <w:trHeight w:val="149"/>
        </w:trPr>
        <w:tc>
          <w:tcPr>
            <w:tcW w:w="5940" w:type="dxa"/>
            <w:vAlign w:val="bottom"/>
            <w:gridSpan w:val="3"/>
          </w:tcPr>
          <w:p>
            <w:pPr>
              <w:spacing w:after="0" w:line="149" w:lineRule="exact"/>
              <w:rPr>
                <w:sz w:val="20"/>
                <w:szCs w:val="20"/>
                <w:color w:val="auto"/>
              </w:rPr>
            </w:pPr>
            <w:r>
              <w:rPr>
                <w:rFonts w:ascii="Arial" w:cs="Arial" w:eastAsia="Arial" w:hAnsi="Arial"/>
                <w:sz w:val="14"/>
                <w:szCs w:val="14"/>
                <w:color w:val="auto"/>
              </w:rPr>
              <w:t>Class B Common Stock, par value $0.00001 per share</w:t>
            </w:r>
          </w:p>
        </w:tc>
        <w:tc>
          <w:tcPr>
            <w:tcW w:w="4140" w:type="dxa"/>
            <w:vAlign w:val="bottom"/>
          </w:tcPr>
          <w:p>
            <w:pPr>
              <w:jc w:val="right"/>
              <w:spacing w:after="0" w:line="149" w:lineRule="exact"/>
              <w:rPr>
                <w:sz w:val="20"/>
                <w:szCs w:val="20"/>
                <w:color w:val="auto"/>
              </w:rPr>
            </w:pPr>
            <w:r>
              <w:rPr>
                <w:rFonts w:ascii="Arial" w:cs="Arial" w:eastAsia="Arial" w:hAnsi="Arial"/>
                <w:sz w:val="14"/>
                <w:szCs w:val="14"/>
                <w:color w:val="auto"/>
              </w:rPr>
              <w:t>96,933,192</w:t>
            </w:r>
          </w:p>
        </w:tc>
      </w:tr>
      <w:tr>
        <w:trPr>
          <w:trHeight w:val="149"/>
        </w:trPr>
        <w:tc>
          <w:tcPr>
            <w:tcW w:w="5940" w:type="dxa"/>
            <w:vAlign w:val="bottom"/>
            <w:gridSpan w:val="3"/>
          </w:tcPr>
          <w:p>
            <w:pPr>
              <w:spacing w:after="0" w:line="149" w:lineRule="exact"/>
              <w:rPr>
                <w:sz w:val="20"/>
                <w:szCs w:val="20"/>
                <w:color w:val="auto"/>
              </w:rPr>
            </w:pPr>
            <w:r>
              <w:rPr>
                <w:rFonts w:ascii="Arial" w:cs="Arial" w:eastAsia="Arial" w:hAnsi="Arial"/>
                <w:sz w:val="14"/>
                <w:szCs w:val="14"/>
                <w:color w:val="auto"/>
              </w:rPr>
              <w:t>Class C Common Stock, par value $0.00001 per share</w:t>
            </w:r>
          </w:p>
        </w:tc>
        <w:tc>
          <w:tcPr>
            <w:tcW w:w="4140" w:type="dxa"/>
            <w:vAlign w:val="bottom"/>
          </w:tcPr>
          <w:p>
            <w:pPr>
              <w:jc w:val="right"/>
              <w:spacing w:after="0" w:line="149" w:lineRule="exact"/>
              <w:rPr>
                <w:sz w:val="20"/>
                <w:szCs w:val="20"/>
                <w:color w:val="auto"/>
              </w:rPr>
            </w:pPr>
            <w:r>
              <w:rPr>
                <w:rFonts w:ascii="Arial" w:cs="Arial" w:eastAsia="Arial" w:hAnsi="Arial"/>
                <w:sz w:val="14"/>
                <w:szCs w:val="14"/>
                <w:color w:val="auto"/>
              </w:rPr>
              <w:t>7,389,983</w:t>
            </w:r>
          </w:p>
        </w:tc>
      </w:tr>
      <w:tr>
        <w:trPr>
          <w:trHeight w:val="182"/>
        </w:trPr>
        <w:tc>
          <w:tcPr>
            <w:tcW w:w="5940" w:type="dxa"/>
            <w:vAlign w:val="bottom"/>
            <w:gridSpan w:val="3"/>
          </w:tcPr>
          <w:p>
            <w:pPr>
              <w:spacing w:after="0"/>
              <w:rPr>
                <w:sz w:val="20"/>
                <w:szCs w:val="20"/>
                <w:color w:val="auto"/>
              </w:rPr>
            </w:pPr>
            <w:r>
              <w:rPr>
                <w:rFonts w:ascii="Arial" w:cs="Arial" w:eastAsia="Arial" w:hAnsi="Arial"/>
                <w:sz w:val="14"/>
                <w:szCs w:val="14"/>
                <w:color w:val="auto"/>
              </w:rPr>
              <w:t>Class D Common Stock, par value $0.00001 per share</w:t>
            </w:r>
          </w:p>
        </w:tc>
        <w:tc>
          <w:tcPr>
            <w:tcW w:w="4140" w:type="dxa"/>
            <w:vAlign w:val="bottom"/>
          </w:tcPr>
          <w:p>
            <w:pPr>
              <w:jc w:val="right"/>
              <w:spacing w:after="0"/>
              <w:rPr>
                <w:sz w:val="20"/>
                <w:szCs w:val="20"/>
                <w:color w:val="auto"/>
              </w:rPr>
            </w:pPr>
            <w:r>
              <w:rPr>
                <w:rFonts w:ascii="Arial" w:cs="Arial" w:eastAsia="Arial" w:hAnsi="Arial"/>
                <w:sz w:val="14"/>
                <w:szCs w:val="14"/>
                <w:color w:val="auto"/>
              </w:rPr>
              <w:t>49,873,346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388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38873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34290"/>
                    </a:xfrm>
                    <a:prstGeom prst="rect">
                      <a:avLst/>
                    </a:prstGeom>
                    <a:noFill/>
                  </pic:spPr>
                </pic:pic>
              </a:graphicData>
            </a:graphic>
          </wp:anchor>
        </w:drawing>
      </w:r>
    </w:p>
    <w:p>
      <w:pPr>
        <w:spacing w:after="0" w:line="15" w:lineRule="exact"/>
        <w:rPr>
          <w:sz w:val="24"/>
          <w:szCs w:val="24"/>
          <w:color w:val="auto"/>
        </w:rPr>
      </w:pPr>
    </w:p>
    <w:p>
      <w:pPr>
        <w:ind w:right="140"/>
        <w:spacing w:after="0" w:line="253" w:lineRule="auto"/>
        <w:rPr>
          <w:sz w:val="20"/>
          <w:szCs w:val="20"/>
          <w:color w:val="auto"/>
        </w:rPr>
      </w:pPr>
      <w:r>
        <w:rPr>
          <w:rFonts w:ascii="Arial" w:cs="Arial" w:eastAsia="Arial" w:hAnsi="Arial"/>
          <w:sz w:val="14"/>
          <w:szCs w:val="14"/>
          <w:color w:val="auto"/>
        </w:rPr>
        <w:t>Part III of this Annual Report on Form 10-K incorporates by reference portions of the Registrant’s Proxy Statement for its 2020 Annual Meeting of Stockholders. The Proxy Statement will be filed with the Securities and Exchange Commission within 120 days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6388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70485</wp:posOffset>
            </wp:positionV>
            <wp:extent cx="638873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765175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233" w:right="89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This Amendment on Form 10-K/A (the “Amended Report”) amends and restates the Annual Report on Form 10-K for the year ended December 31, 2019 (the “Original Report”) filed by Tradeweb Markets Inc. (the “Company”) on February 21, 2020. The Company discovered that, due to a clerical error, the Original Report was inadvertently filed in lieu of the final version of the Company’s Annual Report on Form 10-K. This Amended Report is the final version of the Company’s Annual Report on Form 10-K for the year ended December 31, 2019 (including exhibits) that was originally intended to be filed and corrects clerical errors included in the Original Report. Among others, these include:</w:t>
      </w:r>
    </w:p>
    <w:p>
      <w:pPr>
        <w:spacing w:after="0" w:line="193" w:lineRule="exact"/>
        <w:rPr>
          <w:sz w:val="20"/>
          <w:szCs w:val="20"/>
          <w:color w:val="auto"/>
        </w:rPr>
      </w:pPr>
    </w:p>
    <w:p>
      <w:pPr>
        <w:ind w:left="980" w:hanging="3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inclusion of an inadvertently omitted paragraph under Part I, Item 3 “Legal Proceedings — IDC Matter;”</w:t>
      </w:r>
    </w:p>
    <w:p>
      <w:pPr>
        <w:spacing w:after="0" w:line="360" w:lineRule="exact"/>
        <w:rPr>
          <w:rFonts w:ascii="Arial" w:cs="Arial" w:eastAsia="Arial" w:hAnsi="Arial"/>
          <w:sz w:val="18"/>
          <w:szCs w:val="18"/>
          <w:color w:val="auto"/>
        </w:rPr>
      </w:pPr>
    </w:p>
    <w:p>
      <w:pPr>
        <w:ind w:left="980" w:hanging="332"/>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conforming changes to the figures for total assets and total equity/members’ capital as of December 31, 2019 in Part II, Item</w:t>
      </w:r>
    </w:p>
    <w:p>
      <w:pPr>
        <w:spacing w:after="0" w:line="46" w:lineRule="exact"/>
        <w:rPr>
          <w:rFonts w:ascii="Arial" w:cs="Arial" w:eastAsia="Arial" w:hAnsi="Arial"/>
          <w:sz w:val="16"/>
          <w:szCs w:val="16"/>
          <w:color w:val="auto"/>
        </w:rPr>
      </w:pPr>
    </w:p>
    <w:p>
      <w:pPr>
        <w:ind w:left="980" w:right="80"/>
        <w:spacing w:after="0" w:line="261" w:lineRule="auto"/>
        <w:rPr>
          <w:rFonts w:ascii="Arial" w:cs="Arial" w:eastAsia="Arial" w:hAnsi="Arial"/>
          <w:sz w:val="16"/>
          <w:szCs w:val="16"/>
          <w:color w:val="auto"/>
        </w:rPr>
      </w:pPr>
      <w:r>
        <w:rPr>
          <w:rFonts w:ascii="Arial" w:cs="Arial" w:eastAsia="Arial" w:hAnsi="Arial"/>
          <w:sz w:val="18"/>
          <w:szCs w:val="18"/>
          <w:color w:val="auto"/>
        </w:rPr>
        <w:t>6 “Selected Financial Data” corresponding to the amounts presented in the Consolidated Statement of Financial Condition as of December 31, 2019;</w:t>
      </w:r>
    </w:p>
    <w:p>
      <w:pPr>
        <w:spacing w:after="0" w:line="183" w:lineRule="exact"/>
        <w:rPr>
          <w:rFonts w:ascii="Arial" w:cs="Arial" w:eastAsia="Arial" w:hAnsi="Arial"/>
          <w:sz w:val="16"/>
          <w:szCs w:val="16"/>
          <w:color w:val="auto"/>
        </w:rPr>
      </w:pPr>
    </w:p>
    <w:p>
      <w:pPr>
        <w:ind w:left="980" w:right="760" w:hanging="33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inclusion of an inadvertently omitted subsection entitled “Credit Risk” under Part II, Item 7A “Quantitative and Qualitative Disclosures About Market Risk;”</w:t>
      </w:r>
    </w:p>
    <w:p>
      <w:pPr>
        <w:spacing w:after="0" w:line="170" w:lineRule="exact"/>
        <w:rPr>
          <w:rFonts w:ascii="Arial" w:cs="Arial" w:eastAsia="Arial" w:hAnsi="Arial"/>
          <w:sz w:val="18"/>
          <w:szCs w:val="18"/>
          <w:color w:val="auto"/>
        </w:rPr>
      </w:pPr>
    </w:p>
    <w:p>
      <w:pPr>
        <w:ind w:left="980" w:right="580" w:hanging="33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deletion of “(Unaudited)” from the heading of the Consolidated Statements of Changes in Equity in Part II, Item 8 “Financial Statements and Supplementary Data;”</w:t>
      </w:r>
    </w:p>
    <w:p>
      <w:pPr>
        <w:spacing w:after="0" w:line="170" w:lineRule="exact"/>
        <w:rPr>
          <w:rFonts w:ascii="Arial" w:cs="Arial" w:eastAsia="Arial" w:hAnsi="Arial"/>
          <w:sz w:val="18"/>
          <w:szCs w:val="18"/>
          <w:color w:val="auto"/>
        </w:rPr>
      </w:pPr>
    </w:p>
    <w:p>
      <w:pPr>
        <w:ind w:left="980" w:hanging="33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deletion of “(Unaudited)” from the heading of the Table of Contents for the Notes to Consolidated Financial Statements in Part II, Item 8 “Financial Statements and Supplementary Data;”</w:t>
      </w:r>
    </w:p>
    <w:p>
      <w:pPr>
        <w:spacing w:after="0" w:line="170" w:lineRule="exact"/>
        <w:rPr>
          <w:rFonts w:ascii="Arial" w:cs="Arial" w:eastAsia="Arial" w:hAnsi="Arial"/>
          <w:sz w:val="18"/>
          <w:szCs w:val="18"/>
          <w:color w:val="auto"/>
        </w:rPr>
      </w:pPr>
    </w:p>
    <w:p>
      <w:pPr>
        <w:ind w:left="980" w:right="160" w:hanging="332"/>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correction to the amount of the recorded right-of-use assets in “Note 2 — Summary of Significant Accounting Policies — Recent Accounting Pronouncements — Adopted” to the Company’s audited consolidated financial statements;</w:t>
      </w:r>
    </w:p>
    <w:p>
      <w:pPr>
        <w:spacing w:after="0" w:line="123" w:lineRule="exact"/>
        <w:rPr>
          <w:rFonts w:ascii="Arial" w:cs="Arial" w:eastAsia="Arial" w:hAnsi="Arial"/>
          <w:sz w:val="16"/>
          <w:szCs w:val="16"/>
          <w:color w:val="auto"/>
        </w:rPr>
      </w:pPr>
    </w:p>
    <w:p>
      <w:pPr>
        <w:ind w:left="980" w:right="20" w:hanging="33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correction to the amount of the software development costs capitalized for the year ended December 31, 2019 in “Note 8 — Software Development Costs” to the Company’s audited consolidated financial statements; and</w:t>
      </w:r>
    </w:p>
    <w:p>
      <w:pPr>
        <w:spacing w:after="0" w:line="170" w:lineRule="exact"/>
        <w:rPr>
          <w:rFonts w:ascii="Arial" w:cs="Arial" w:eastAsia="Arial" w:hAnsi="Arial"/>
          <w:sz w:val="18"/>
          <w:szCs w:val="18"/>
          <w:color w:val="auto"/>
        </w:rPr>
      </w:pPr>
    </w:p>
    <w:p>
      <w:pPr>
        <w:ind w:left="980" w:right="240" w:hanging="33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corrections to the amount of an assumed deferred tax benefit and the amount of uncertain tax positions as of December 31, 2019 in “Note 9 — Income Taxes” to the Company’s audited consolidated financial statements.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Previously reported amounts in the Company’s audited consolidated financial statements included in the Original Report did not include any clerical errors and are identical to corresponding amounts in the Company’s audited consolidated financial statements included in this Amended Report, other than the corrections to the notes to the financial statements described above.</w:t>
      </w:r>
    </w:p>
    <w:p>
      <w:pPr>
        <w:spacing w:after="0" w:line="16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Unless expressly noted otherwise, the disclosures in this Amended Report continue to speak as of the date of the Original Report, and do not reflect events occurring after the filing of the Original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829310</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20" w:type="dxa"/>
            <w:vAlign w:val="bottom"/>
            <w:gridSpan w:val="34"/>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4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19"/>
          </w:tcPr>
          <w:p>
            <w:pPr>
              <w:jc w:val="center"/>
              <w:ind w:right="2100"/>
              <w:spacing w:after="0"/>
              <w:rPr>
                <w:sz w:val="20"/>
                <w:szCs w:val="20"/>
                <w:color w:val="auto"/>
              </w:rPr>
            </w:pPr>
            <w:r>
              <w:rPr>
                <w:rFonts w:ascii="Arial" w:cs="Arial" w:eastAsia="Arial" w:hAnsi="Arial"/>
                <w:sz w:val="18"/>
                <w:szCs w:val="18"/>
                <w:b w:val="1"/>
                <w:bCs w:val="1"/>
                <w:color w:val="auto"/>
              </w:rPr>
              <w:t>TRADEWEB MARKETS INC.</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19"/>
          </w:tcPr>
          <w:p>
            <w:pPr>
              <w:jc w:val="center"/>
              <w:ind w:right="208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220" w:type="dxa"/>
            <w:vAlign w:val="bottom"/>
            <w:gridSpan w:val="34"/>
            <w:vMerge w:val="restart"/>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FORWARD-LOOKING STATEMENTS</w:t>
              </w:r>
            </w:hyperlink>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8220" w:type="dxa"/>
            <w:vAlign w:val="bottom"/>
            <w:gridSpan w:val="34"/>
            <w:vMerge w:val="continue"/>
          </w:tcPr>
          <w:p>
            <w:pPr>
              <w:spacing w:after="0"/>
              <w:rPr>
                <w:sz w:val="13"/>
                <w:szCs w:val="13"/>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72"/>
        </w:trPr>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8"/>
              </w:rPr>
            </w:pPr>
            <w:hyperlink w:anchor="page11">
              <w:r>
                <w:rPr>
                  <w:rFonts w:ascii="Arial" w:cs="Arial" w:eastAsia="Arial" w:hAnsi="Arial"/>
                  <w:sz w:val="18"/>
                  <w:szCs w:val="18"/>
                  <w:b w:val="1"/>
                  <w:bCs w:val="1"/>
                  <w:color w:val="0000EE"/>
                  <w:w w:val="98"/>
                </w:rPr>
                <w:t>PART I</w:t>
              </w:r>
            </w:hyperlink>
          </w:p>
        </w:tc>
        <w:tc>
          <w:tcPr>
            <w:tcW w:w="384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line="196" w:lineRule="exact"/>
              <w:rPr>
                <w:rFonts w:ascii="Arial" w:cs="Arial" w:eastAsia="Arial" w:hAnsi="Arial"/>
                <w:sz w:val="18"/>
                <w:szCs w:val="18"/>
                <w:color w:val="0000EE"/>
                <w:w w:val="76"/>
              </w:rPr>
            </w:pPr>
            <w:hyperlink w:anchor="page11">
              <w:r>
                <w:rPr>
                  <w:rFonts w:ascii="Arial" w:cs="Arial" w:eastAsia="Arial" w:hAnsi="Arial"/>
                  <w:sz w:val="18"/>
                  <w:szCs w:val="18"/>
                  <w:color w:val="0000EE"/>
                  <w:w w:val="76"/>
                </w:rPr>
                <w:t>Item 1.</w:t>
              </w:r>
            </w:hyperlink>
          </w:p>
        </w:tc>
        <w:tc>
          <w:tcPr>
            <w:tcW w:w="300" w:type="dxa"/>
            <w:vAlign w:val="bottom"/>
            <w:gridSpan w:val="2"/>
          </w:tcPr>
          <w:p>
            <w:pPr>
              <w:spacing w:after="0"/>
              <w:rPr>
                <w:sz w:val="17"/>
                <w:szCs w:val="17"/>
                <w:color w:val="auto"/>
              </w:rPr>
            </w:pPr>
          </w:p>
        </w:tc>
        <w:tc>
          <w:tcPr>
            <w:tcW w:w="7460" w:type="dxa"/>
            <w:vAlign w:val="bottom"/>
            <w:gridSpan w:val="3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Business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1A</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1B</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Unresolved Staff Comments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Item 2</w:t>
              </w:r>
            </w:hyperlink>
            <w:r>
              <w:rPr>
                <w:rFonts w:ascii="Arial" w:cs="Arial" w:eastAsia="Arial" w:hAnsi="Arial"/>
                <w:sz w:val="18"/>
                <w:szCs w:val="18"/>
                <w:color w:val="000000"/>
                <w:w w:val="94"/>
              </w:rPr>
              <w:t>.</w:t>
            </w:r>
          </w:p>
        </w:tc>
        <w:tc>
          <w:tcPr>
            <w:tcW w:w="200" w:type="dxa"/>
            <w:vAlign w:val="bottom"/>
          </w:tcPr>
          <w:p>
            <w:pPr>
              <w:spacing w:after="0"/>
              <w:rPr>
                <w:sz w:val="17"/>
                <w:szCs w:val="17"/>
                <w:color w:val="auto"/>
              </w:rPr>
            </w:pPr>
          </w:p>
        </w:tc>
        <w:tc>
          <w:tcPr>
            <w:tcW w:w="7460" w:type="dxa"/>
            <w:vAlign w:val="bottom"/>
            <w:gridSpan w:val="3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Properties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3</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gridSpan w:val="3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4</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69">
              <w:r>
                <w:rPr>
                  <w:rFonts w:ascii="Arial" w:cs="Arial" w:eastAsia="Arial" w:hAnsi="Arial"/>
                  <w:sz w:val="18"/>
                  <w:szCs w:val="18"/>
                  <w:color w:val="0000EE"/>
                </w:rPr>
                <w:t>Mine Safety Disclosures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5"/>
          </w:tcPr>
          <w:p>
            <w:pPr>
              <w:jc w:val="center"/>
              <w:spacing w:after="0" w:line="196"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w:t>
              </w:r>
            </w:hyperlink>
          </w:p>
        </w:tc>
        <w:tc>
          <w:tcPr>
            <w:tcW w:w="380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5</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Market for Registrant’s Common Equity, Related Stockholder Matters and Issuer Purchases of Equity</w:t>
              </w:r>
            </w:hyperlink>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60" w:type="dxa"/>
            <w:vAlign w:val="bottom"/>
            <w:gridSpan w:val="3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Securities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gridSpan w:val="3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Item 6</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72">
              <w:r>
                <w:rPr>
                  <w:rFonts w:ascii="Arial" w:cs="Arial" w:eastAsia="Arial" w:hAnsi="Arial"/>
                  <w:sz w:val="18"/>
                  <w:szCs w:val="18"/>
                  <w:color w:val="0000EE"/>
                </w:rPr>
                <w:t>Selected Financial Data</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gridSpan w:val="3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7</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78">
              <w:r>
                <w:rPr>
                  <w:rFonts w:ascii="Arial" w:cs="Arial" w:eastAsia="Arial" w:hAnsi="Arial"/>
                  <w:sz w:val="18"/>
                  <w:szCs w:val="18"/>
                  <w:color w:val="0000EE"/>
                </w:rPr>
                <w:t>Management’s Discussion and Analysis of Financial Condition and Results of Operations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Item 7A</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gridSpan w:val="34"/>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Item 8</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116">
              <w:r>
                <w:rPr>
                  <w:rFonts w:ascii="Arial" w:cs="Arial" w:eastAsia="Arial" w:hAnsi="Arial"/>
                  <w:sz w:val="18"/>
                  <w:szCs w:val="18"/>
                  <w:color w:val="0000EE"/>
                </w:rPr>
                <w:t>Financial Statements and Supplementary Data</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gridSpan w:val="34"/>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Item 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157">
              <w:r>
                <w:rPr>
                  <w:rFonts w:ascii="Arial" w:cs="Arial" w:eastAsia="Arial" w:hAnsi="Arial"/>
                  <w:sz w:val="18"/>
                  <w:szCs w:val="18"/>
                  <w:color w:val="0000EE"/>
                </w:rPr>
                <w:t>Changes in and Disagreements with Accountants on Accounting and Financial Disclosure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gridSpan w:val="34"/>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Item 9A</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157">
              <w:r>
                <w:rPr>
                  <w:rFonts w:ascii="Arial" w:cs="Arial" w:eastAsia="Arial" w:hAnsi="Arial"/>
                  <w:sz w:val="18"/>
                  <w:szCs w:val="18"/>
                  <w:color w:val="0000EE"/>
                </w:rPr>
                <w:t>Controls and Procedures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Item 9B</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Other Information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gridSpan w:val="9"/>
          </w:tcPr>
          <w:p>
            <w:pPr>
              <w:jc w:val="center"/>
              <w:ind w:right="20"/>
              <w:spacing w:after="0" w:line="196" w:lineRule="exact"/>
              <w:rPr>
                <w:rFonts w:ascii="Arial" w:cs="Arial" w:eastAsia="Arial" w:hAnsi="Arial"/>
                <w:sz w:val="18"/>
                <w:szCs w:val="18"/>
                <w:b w:val="1"/>
                <w:bCs w:val="1"/>
                <w:color w:val="0000EE"/>
              </w:rPr>
            </w:pPr>
            <w:hyperlink w:anchor="page158">
              <w:r>
                <w:rPr>
                  <w:rFonts w:ascii="Arial" w:cs="Arial" w:eastAsia="Arial" w:hAnsi="Arial"/>
                  <w:sz w:val="18"/>
                  <w:szCs w:val="18"/>
                  <w:b w:val="1"/>
                  <w:bCs w:val="1"/>
                  <w:color w:val="0000EE"/>
                </w:rPr>
                <w:t>PART III</w:t>
              </w:r>
            </w:hyperlink>
          </w:p>
        </w:tc>
        <w:tc>
          <w:tcPr>
            <w:tcW w:w="376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Item 10</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Directors, Executive Officers and Corporate Governance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Item 11</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Executive Compensation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Item 12</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w w:val="91"/>
              </w:rPr>
            </w:pPr>
            <w:hyperlink w:anchor="page158">
              <w:r>
                <w:rPr>
                  <w:rFonts w:ascii="Arial" w:cs="Arial" w:eastAsia="Arial" w:hAnsi="Arial"/>
                  <w:sz w:val="18"/>
                  <w:szCs w:val="18"/>
                  <w:color w:val="0000EE"/>
                  <w:w w:val="91"/>
                </w:rPr>
                <w:t>Securities Ownership of Certain Beneficial Owners and Management and Related Stockholder Matters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Item 13</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Certain Relationships and Related Transactions, and Director Independence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Item 14</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Principal Accountant Fees and Services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16"/>
          </w:tcPr>
          <w:p>
            <w:pPr>
              <w:jc w:val="center"/>
              <w:ind w:right="3780"/>
              <w:spacing w:after="0" w:line="196" w:lineRule="exact"/>
              <w:rPr>
                <w:rFonts w:ascii="Arial" w:cs="Arial" w:eastAsia="Arial" w:hAnsi="Arial"/>
                <w:sz w:val="18"/>
                <w:szCs w:val="18"/>
                <w:b w:val="1"/>
                <w:bCs w:val="1"/>
                <w:color w:val="0000EE"/>
                <w:w w:val="98"/>
              </w:rPr>
            </w:pPr>
            <w:hyperlink w:anchor="page159">
              <w:r>
                <w:rPr>
                  <w:rFonts w:ascii="Arial" w:cs="Arial" w:eastAsia="Arial" w:hAnsi="Arial"/>
                  <w:sz w:val="18"/>
                  <w:szCs w:val="18"/>
                  <w:b w:val="1"/>
                  <w:bCs w:val="1"/>
                  <w:color w:val="0000EE"/>
                  <w:w w:val="98"/>
                </w:rPr>
                <w:t>PART IV</w:t>
              </w:r>
            </w:hyperlink>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Item 15</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Exhibits and Financial Statement Schedules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20" w:type="dxa"/>
            <w:vAlign w:val="bottom"/>
            <w:gridSpan w:val="11"/>
            <w:shd w:val="clear" w:color="auto" w:fill="0000EE"/>
          </w:tcPr>
          <w:p>
            <w:pPr>
              <w:spacing w:after="0" w:line="20" w:lineRule="exact"/>
              <w:rPr>
                <w:sz w:val="1"/>
                <w:szCs w:val="1"/>
                <w:color w:val="auto"/>
              </w:rPr>
            </w:pPr>
          </w:p>
        </w:tc>
        <w:tc>
          <w:tcPr>
            <w:tcW w:w="430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Item 16</w:t>
              </w:r>
            </w:hyperlink>
            <w:r>
              <w:rPr>
                <w:rFonts w:ascii="Arial" w:cs="Arial" w:eastAsia="Arial" w:hAnsi="Arial"/>
                <w:sz w:val="18"/>
                <w:szCs w:val="18"/>
                <w:color w:val="000000"/>
              </w:rPr>
              <w:t>.</w:t>
            </w:r>
          </w:p>
        </w:tc>
        <w:tc>
          <w:tcPr>
            <w:tcW w:w="7460" w:type="dxa"/>
            <w:vAlign w:val="bottom"/>
            <w:gridSpan w:val="31"/>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Form 10-K Summary</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898"/>
        </w:trPr>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Borders>
              <w:top w:val="single" w:sz="8" w:color="0000EE"/>
            </w:tcBorders>
            <w:gridSpan w:val="6"/>
          </w:tcPr>
          <w:p>
            <w:pPr>
              <w:spacing w:after="0"/>
              <w:rPr>
                <w:sz w:val="24"/>
                <w:szCs w:val="24"/>
                <w:color w:val="auto"/>
              </w:rPr>
            </w:pPr>
          </w:p>
        </w:tc>
        <w:tc>
          <w:tcPr>
            <w:tcW w:w="2560" w:type="dxa"/>
            <w:vAlign w:val="bottom"/>
            <w:gridSpan w:val="17"/>
          </w:tcPr>
          <w:p>
            <w:pPr>
              <w:jc w:val="center"/>
              <w:ind w:left="1810"/>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BASIS OF PRESENTATION</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financial statements and other disclosures contained in this Annual Report on Form 10-K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 For more information regarding the transactions described above, see Note 1—Organization to our audited consolidated financial statements included elsewhere in this Annual Report on Form 10-K.</w:t>
      </w:r>
    </w:p>
    <w:p>
      <w:pPr>
        <w:spacing w:after="0" w:line="18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financial statements and other disclosures contained in this Annual Report on Form 10-K relate to periods that ended both prior to and after the completion of the Reorganization Transactions and the IPO.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7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audited consolidated financial statements and other financial disclosures included elsewhere in this Annual Report on Form 10-K relating to periods prior to and including March 31, 2019, which we sometimes refer to as the “pre-IPO period,” reflect the results of operations, financial position and cash flows of Tradeweb Markets LLC, the predecessor of Tradeweb Markets Inc. for financial reporting purposes, and its subsidiaries. The audited consolidated financial statements and other financial disclosures included elsewhere in this Annual Report on Form 10-K relating to periods beginning on April 1, 2019, and through and including December 31, 2019, which we sometimes refer to as the “post-IPO period,” reflect the results of operations, financial position and cash flows of Tradeweb Markets Inc. and its subsidiaries, including the consolidation of its investment in Tradeweb Markets LLC. As a result, for financial reporting purposes, the pre-IPO period excludes, and the post-IPO period includes, our financial results from April 1, 2019 through April 3, 2019, which are not material. The audited consolidated financial statements and other financial disclosures included elsewhere in this Annual Report on Form 10-K do not reflect what the results of operations, financial position or cash flows would have been had the Reorganization Transactions and the IPO taken place at the beginning of the periods presented.</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used in this Annual Report on Form 10-K, unless the context otherwise requires, references to:</w:t>
      </w:r>
    </w:p>
    <w:p>
      <w:pPr>
        <w:spacing w:after="0" w:line="225" w:lineRule="exact"/>
        <w:rPr>
          <w:sz w:val="20"/>
          <w:szCs w:val="20"/>
          <w:color w:val="auto"/>
        </w:rPr>
      </w:pPr>
    </w:p>
    <w:p>
      <w:pPr>
        <w:ind w:left="660" w:right="100" w:hanging="333"/>
        <w:spacing w:after="0" w:line="27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 the “</w:t>
      </w:r>
      <w:r>
        <w:rPr>
          <w:rFonts w:ascii="Arial" w:cs="Arial" w:eastAsia="Arial" w:hAnsi="Arial"/>
          <w:sz w:val="17"/>
          <w:szCs w:val="17"/>
          <w:i w:val="1"/>
          <w:iCs w:val="1"/>
          <w:color w:val="auto"/>
        </w:rPr>
        <w:t>Company</w:t>
      </w:r>
      <w:r>
        <w:rPr>
          <w:rFonts w:ascii="Arial" w:cs="Arial" w:eastAsia="Arial" w:hAnsi="Arial"/>
          <w:sz w:val="17"/>
          <w:szCs w:val="17"/>
          <w:color w:val="auto"/>
        </w:rPr>
        <w:t>,” “</w:t>
      </w:r>
      <w:r>
        <w:rPr>
          <w:rFonts w:ascii="Arial" w:cs="Arial" w:eastAsia="Arial" w:hAnsi="Arial"/>
          <w:sz w:val="17"/>
          <w:szCs w:val="17"/>
          <w:i w:val="1"/>
          <w:iCs w:val="1"/>
          <w:color w:val="auto"/>
        </w:rPr>
        <w:t>Tradeweb</w:t>
      </w:r>
      <w:r>
        <w:rPr>
          <w:rFonts w:ascii="Arial" w:cs="Arial" w:eastAsia="Arial" w:hAnsi="Arial"/>
          <w:sz w:val="17"/>
          <w:szCs w:val="17"/>
          <w:color w:val="auto"/>
        </w:rPr>
        <w:t>”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72" w:lineRule="exact"/>
        <w:rPr>
          <w:rFonts w:ascii="Arial" w:cs="Arial" w:eastAsia="Arial" w:hAnsi="Arial"/>
          <w:sz w:val="17"/>
          <w:szCs w:val="17"/>
          <w:color w:val="auto"/>
        </w:rPr>
      </w:pPr>
    </w:p>
    <w:p>
      <w:pPr>
        <w:ind w:left="660" w:right="120" w:hanging="333"/>
        <w:spacing w:after="0" w:line="27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Bank Stockholders</w:t>
      </w:r>
      <w:r>
        <w:rPr>
          <w:rFonts w:ascii="Arial" w:cs="Arial" w:eastAsia="Arial" w:hAnsi="Arial"/>
          <w:sz w:val="17"/>
          <w:szCs w:val="17"/>
          <w:color w:val="auto"/>
        </w:rPr>
        <w:t>”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78" w:lineRule="exact"/>
        <w:rPr>
          <w:rFonts w:ascii="Arial" w:cs="Arial" w:eastAsia="Arial" w:hAnsi="Arial"/>
          <w:sz w:val="17"/>
          <w:szCs w:val="17"/>
          <w:color w:val="auto"/>
        </w:rPr>
      </w:pPr>
    </w:p>
    <w:p>
      <w:pPr>
        <w:ind w:left="660" w:right="80" w:hanging="333"/>
        <w:spacing w:after="0" w:line="279" w:lineRule="auto"/>
        <w:tabs>
          <w:tab w:leader="none" w:pos="674"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Continuing LLC Owners</w:t>
      </w:r>
      <w:r>
        <w:rPr>
          <w:rFonts w:ascii="Arial" w:cs="Arial" w:eastAsia="Arial" w:hAnsi="Arial"/>
          <w:sz w:val="17"/>
          <w:szCs w:val="17"/>
          <w:color w:val="auto"/>
        </w:rPr>
        <w:t>” refer collectively to (i) those Original LLC Owners, including the Refinitiv LLC Owner (as defined below), certain of the Bank Stockholders and members of management, that continued to own LLC Interests after the completion of the IPO and Reorganization Transactions, that received shares of our Class C common stock, shares of our Class D common stock or a combination of both, as the case may be, in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40"/>
        <w:spacing w:after="0" w:line="279" w:lineRule="auto"/>
        <w:rPr>
          <w:sz w:val="20"/>
          <w:szCs w:val="20"/>
          <w:color w:val="auto"/>
        </w:rPr>
      </w:pPr>
      <w:r>
        <w:rPr>
          <w:rFonts w:ascii="Arial" w:cs="Arial" w:eastAsia="Arial" w:hAnsi="Arial"/>
          <w:sz w:val="17"/>
          <w:szCs w:val="17"/>
          <w:color w:val="auto"/>
        </w:rPr>
        <w:t>connection with the completion of the Reorganization Transactions, and that may redeem or exchange their LLC Interests for shares of our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71" w:lineRule="exact"/>
        <w:rPr>
          <w:sz w:val="20"/>
          <w:szCs w:val="20"/>
          <w:color w:val="auto"/>
        </w:rPr>
      </w:pPr>
    </w:p>
    <w:p>
      <w:pPr>
        <w:jc w:val="both"/>
        <w:ind w:left="660" w:hanging="333"/>
        <w:spacing w:after="0" w:line="31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Investor Group</w:t>
      </w:r>
      <w:r>
        <w:rPr>
          <w:rFonts w:ascii="Arial" w:cs="Arial" w:eastAsia="Arial" w:hAnsi="Arial"/>
          <w:sz w:val="16"/>
          <w:szCs w:val="16"/>
          <w:color w:val="auto"/>
        </w:rPr>
        <w:t>” refer to certain investment funds affiliated with The Blackstone Group Inc. (f/k/a The Blackstone Group L.P.), an affiliate of Canada Pension Plan Investment Board, an affiliate of GIC Special Investments Pte. Ltd. and certain co-investors, which collectively hold indirectly a 55% ownership interest in Refinitiv (as defined below).</w:t>
      </w:r>
    </w:p>
    <w:p>
      <w:pPr>
        <w:spacing w:after="0" w:line="146" w:lineRule="exact"/>
        <w:rPr>
          <w:rFonts w:ascii="Arial" w:cs="Arial" w:eastAsia="Arial" w:hAnsi="Arial"/>
          <w:sz w:val="16"/>
          <w:szCs w:val="16"/>
          <w:color w:val="auto"/>
        </w:rPr>
      </w:pPr>
    </w:p>
    <w:p>
      <w:pPr>
        <w:ind w:left="660" w:right="18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LLC Interests</w:t>
      </w:r>
      <w:r>
        <w:rPr>
          <w:rFonts w:ascii="Arial" w:cs="Arial" w:eastAsia="Arial" w:hAnsi="Arial"/>
          <w:sz w:val="18"/>
          <w:szCs w:val="18"/>
          <w:color w:val="auto"/>
        </w:rPr>
        <w:t>” refer to the single class of common membership interests of TWM LLC issued in connection with the Reorganization Transactions.</w:t>
      </w:r>
    </w:p>
    <w:p>
      <w:pPr>
        <w:spacing w:after="0" w:line="170" w:lineRule="exact"/>
        <w:rPr>
          <w:rFonts w:ascii="Arial" w:cs="Arial" w:eastAsia="Arial" w:hAnsi="Arial"/>
          <w:sz w:val="18"/>
          <w:szCs w:val="18"/>
          <w:color w:val="auto"/>
        </w:rPr>
      </w:pPr>
    </w:p>
    <w:p>
      <w:pPr>
        <w:ind w:left="660" w:right="2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LSEG Transaction</w:t>
      </w:r>
      <w:r>
        <w:rPr>
          <w:rFonts w:ascii="Arial" w:cs="Arial" w:eastAsia="Arial" w:hAnsi="Arial"/>
          <w:sz w:val="18"/>
          <w:szCs w:val="18"/>
          <w:color w:val="auto"/>
        </w:rPr>
        <w:t>” refer to the pending acquisition of the Refinitiv business by London Stock Exchange Group plc in an all share transaction for a total enterprise value of approximately $27 billion.</w:t>
      </w:r>
    </w:p>
    <w:p>
      <w:pPr>
        <w:spacing w:after="0" w:line="170" w:lineRule="exact"/>
        <w:rPr>
          <w:rFonts w:ascii="Arial" w:cs="Arial" w:eastAsia="Arial" w:hAnsi="Arial"/>
          <w:sz w:val="18"/>
          <w:szCs w:val="18"/>
          <w:color w:val="auto"/>
        </w:rPr>
      </w:pPr>
    </w:p>
    <w:p>
      <w:pPr>
        <w:ind w:left="660" w:right="20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LLC Owners</w:t>
      </w:r>
      <w:r>
        <w:rPr>
          <w:rFonts w:ascii="Arial" w:cs="Arial" w:eastAsia="Arial" w:hAnsi="Arial"/>
          <w:sz w:val="18"/>
          <w:szCs w:val="18"/>
          <w:color w:val="auto"/>
        </w:rPr>
        <w:t>” refer to the owners of TWM LLC prior to the Reorganization Transactions (including the Refinitiv Owners, the Bank Stockholders and members of management).</w:t>
      </w:r>
    </w:p>
    <w:p>
      <w:pPr>
        <w:spacing w:after="0" w:line="170" w:lineRule="exact"/>
        <w:rPr>
          <w:rFonts w:ascii="Arial" w:cs="Arial" w:eastAsia="Arial" w:hAnsi="Arial"/>
          <w:sz w:val="18"/>
          <w:szCs w:val="18"/>
          <w:color w:val="auto"/>
        </w:rPr>
      </w:pPr>
    </w:p>
    <w:p>
      <w:pPr>
        <w:ind w:left="660" w:right="140" w:hanging="333"/>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Refinitiv</w:t>
      </w:r>
      <w:r>
        <w:rPr>
          <w:rFonts w:ascii="Arial" w:cs="Arial" w:eastAsia="Arial" w:hAnsi="Arial"/>
          <w:sz w:val="17"/>
          <w:szCs w:val="17"/>
          <w:color w:val="auto"/>
        </w:rPr>
        <w:t>” refer to Refinitiv Holdings Limited, and unless otherwise stated or the context otherwise requires, all of its subsidiaries, which owns substantially all of the former financial and risk business of Thomson Reuters (as defined below), including, prior to and following the completion of the Reorganization Transactions, an indirect majority ownership interest in Tradeweb, and is controlled by the Investor Group.</w:t>
      </w:r>
    </w:p>
    <w:p>
      <w:pPr>
        <w:spacing w:after="0" w:line="171" w:lineRule="exact"/>
        <w:rPr>
          <w:rFonts w:ascii="Arial" w:cs="Arial" w:eastAsia="Arial" w:hAnsi="Arial"/>
          <w:sz w:val="17"/>
          <w:szCs w:val="17"/>
          <w:color w:val="auto"/>
        </w:rPr>
      </w:pPr>
    </w:p>
    <w:p>
      <w:pPr>
        <w:ind w:left="660" w:right="20" w:hanging="333"/>
        <w:spacing w:after="0" w:line="27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Refinitiv Direct Owner</w:t>
      </w:r>
      <w:r>
        <w:rPr>
          <w:rFonts w:ascii="Arial" w:cs="Arial" w:eastAsia="Arial" w:hAnsi="Arial"/>
          <w:sz w:val="17"/>
          <w:szCs w:val="17"/>
          <w:color w:val="auto"/>
        </w:rPr>
        <w:t>” refer (i) prior to June 28, 2019, to a direct subsidiary of Refinitiv that owned interests in an entity that held membership interests of TWM LLC and received shares of our Class B common stock in exchange for the contribution of such entity to Tradeweb Markets Inc., which we refer to as the “Refinitiv Contribution,” in connection with the completion of the Reorganization Transactions and (ii) on and after June 28, 2019, to an indirect subsidiary of Refinitiv that owns shares of our Class B common stock, which shares were contributed by the direct subsidiary of Refinitiv referred to in the foregoing clause (i).</w:t>
      </w:r>
    </w:p>
    <w:p>
      <w:pPr>
        <w:spacing w:after="0" w:line="178" w:lineRule="exact"/>
        <w:rPr>
          <w:rFonts w:ascii="Arial" w:cs="Arial" w:eastAsia="Arial" w:hAnsi="Arial"/>
          <w:sz w:val="17"/>
          <w:szCs w:val="17"/>
          <w:color w:val="auto"/>
        </w:rPr>
      </w:pPr>
    </w:p>
    <w:p>
      <w:pPr>
        <w:ind w:left="660" w:right="40" w:hanging="333"/>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Refinitiv LLC Owner</w:t>
      </w:r>
      <w:r>
        <w:rPr>
          <w:rFonts w:ascii="Arial" w:cs="Arial" w:eastAsia="Arial" w:hAnsi="Arial"/>
          <w:sz w:val="17"/>
          <w:szCs w:val="17"/>
          <w:color w:val="auto"/>
        </w:rPr>
        <w:t>” refer to an indirect subsidiary of Refinitiv that, prior to the Reorganization Transactions, owned membership interests of TWM LLC and that continues to own LLC Interests after the completion of the IPO and Reorganization Transactions, that received shares of our Class D common stock in connection with the completion of the Reorganization Transactions, and that may redeem or exchange its LLC Interests for shares of our Class A common stock or Class B common stock.</w:t>
      </w:r>
    </w:p>
    <w:p>
      <w:pPr>
        <w:spacing w:after="0" w:line="172" w:lineRule="exact"/>
        <w:rPr>
          <w:rFonts w:ascii="Arial" w:cs="Arial" w:eastAsia="Arial" w:hAnsi="Arial"/>
          <w:sz w:val="17"/>
          <w:szCs w:val="17"/>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Refinitiv Owners</w:t>
      </w:r>
      <w:r>
        <w:rPr>
          <w:rFonts w:ascii="Arial" w:cs="Arial" w:eastAsia="Arial" w:hAnsi="Arial"/>
          <w:sz w:val="18"/>
          <w:szCs w:val="18"/>
          <w:color w:val="auto"/>
        </w:rPr>
        <w:t>” refer collectively to the Refinitiv Direct Owner and the Refinitiv LLC Owner.</w:t>
      </w:r>
    </w:p>
    <w:p>
      <w:pPr>
        <w:spacing w:after="0" w:line="225" w:lineRule="exact"/>
        <w:rPr>
          <w:rFonts w:ascii="Arial" w:cs="Arial" w:eastAsia="Arial" w:hAnsi="Arial"/>
          <w:sz w:val="18"/>
          <w:szCs w:val="18"/>
          <w:color w:val="auto"/>
        </w:rPr>
      </w:pPr>
    </w:p>
    <w:p>
      <w:pPr>
        <w:jc w:val="both"/>
        <w:ind w:left="660" w:right="200" w:hanging="333"/>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Refinitiv Transaction</w:t>
      </w:r>
      <w:r>
        <w:rPr>
          <w:rFonts w:ascii="Arial" w:cs="Arial" w:eastAsia="Arial" w:hAnsi="Arial"/>
          <w:sz w:val="18"/>
          <w:szCs w:val="18"/>
          <w:color w:val="auto"/>
        </w:rPr>
        <w:t>”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81" w:lineRule="exact"/>
        <w:rPr>
          <w:rFonts w:ascii="Arial" w:cs="Arial" w:eastAsia="Arial" w:hAnsi="Arial"/>
          <w:sz w:val="18"/>
          <w:szCs w:val="18"/>
          <w:color w:val="auto"/>
        </w:rPr>
      </w:pPr>
    </w:p>
    <w:p>
      <w:pPr>
        <w:ind w:left="660" w:right="44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Thomson Reuters</w:t>
      </w:r>
      <w:r>
        <w:rPr>
          <w:rFonts w:ascii="Arial" w:cs="Arial" w:eastAsia="Arial" w:hAnsi="Arial"/>
          <w:sz w:val="18"/>
          <w:szCs w:val="18"/>
          <w:color w:val="auto"/>
        </w:rPr>
        <w:t>” refer to Thomson Reuters Corporation, which indirectly holds a 45% ownership interest in Refinitiv.</w:t>
      </w:r>
    </w:p>
    <w:p>
      <w:pPr>
        <w:spacing w:after="0" w:line="17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As a result of the Refinitiv Transaction, we revalued our assets and liabilities based on their fair values as of the closing date of the Refinitiv Transaction in accordance with the acquisition method of accounting. Certain financial information presented herein, including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market for the asset or liability. In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determining the fair value of the assets acquired and liabilities assumed, we considered the report of a third-party valuation expert. Our management is responsible for these internal and third-party valuations and appraisals.</w:t>
      </w:r>
    </w:p>
    <w:p>
      <w:pPr>
        <w:spacing w:after="0" w:line="147"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Due to the change in the basis of accounting resulting from the application of pushdown accounting, we are required to present separately the financial information for the periods beginning on October 1, 2018, and through and including December 31, 2019, which we refer to as the “Successor period,” and the financial information for the periods prior to, and including, September 30, 2018, which we refer to as the “Predecessor period.”</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financial information presented in this Annual Report on Form 10-K and the audited consolidated financial statements included in this Annual Report on Form 10-K include a black line division to indicate that the Successor and Predecessor periods have applied different bases of accounting and are not comparable. Please note that our discussion of certain financial information, specifically revenues and certain expenses, represent the combined results of the Successor and Predecessor periods for the full year ended December 31, 2018. The change in basis resulting from the Refinitiv Transaction did not impact such financial information and, although this presentation of financial information on a combined basis does not comply with generally accepted accounting principles in the United States, or “GAAP,” we believe it provides a meaningful method of comparison to the other periods presented in this Annual Report on Form 10-K. The combined financial information is being presented for informational purposes only and (i) has not been prepared on a pro forma basis as if the Refinitiv Transaction occurred on the first day of the period, (ii) may not reflect the actual results we would have achieved absent the Refinitiv Transaction, (iii) may not be predictive of future results of operations and (iv) should not be viewed as a substitute for the financial results of the Successor and Predecessor periods presented in accordance with GAAP. See Part II, Item 7. – “Management’s Discussion and Analysis of Financial Condition and Results of Operations — Effect of Pushdown Accounting on our Financial Statements.”</w:t>
      </w:r>
    </w:p>
    <w:p>
      <w:pPr>
        <w:spacing w:after="0" w:line="18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References in this Annual Report on Form 10-K to (i) “2018 Successor Period” mean the period from October 1, 2018 to December 31, 2018, (ii) “2018 Predecessor Period” mean the period from January 1, 2018 to September 30, 2018, and (iii) “combined year ended December 31, 2018” or “2018 (Combined)” represent the sum of the results of the 2018 Successor Period and the 2018 Predecessor Period.</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Numerical figures included in this Annual Report on Form 10-K have been subject to rounding adjustments. Accordingly, numerical figures shown as totals in various tables may not be arithmetic aggregations of the figures that precede them. In addition, we round certain percentages presented in this Annual Report on Form 10-K to the nearest whole number. As a result, figures expressed as percentages in the text may not total 100% or, when aggregated, may not be the arithmetic aggregation of the percentages that precede them.</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MARKET AND INDUSTRY DATA</w:t>
      </w:r>
    </w:p>
    <w:p>
      <w:pPr>
        <w:spacing w:after="0" w:line="22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This Annual Report on Form 10-K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and public industry sources, including FINRA’s Trade Reporting and Compliance Engine (“TRACE”), the Securities Industry and Financial Markets Association (“SIFMA”), the International Swaps and Derivatives Association (“ISDA”), Clarus Financial Technology, Trax, the Chicago Board Options Exchange (“CBOE”) and the Federal Reserve Bank of New York. In calculating the size of certain markets, we omitted products for which there is no publicly available data, and, as a result, the actual markets for certain of our asset classes may be larger than those presented herein.</w:t>
      </w:r>
    </w:p>
    <w:p>
      <w:pPr>
        <w:spacing w:after="0" w:line="185"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While we believe the estimated market and industry data included in this Annual Report on Form 10-K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“Cautionary Note Regarding Forward-Looking Statements” and Item 1A. – “Risk Factors.” These and other factors could cause results to differ materially from those expressed in the estimates made by third parties and by us. Accordingly, you are cautioned not to place undue reliance on such market and industry data or any other such estimates. We cannot guarantee the accuracy or completeness of this information, and we have not independently verified any third-party information and data from our internal research has not been verified by any independent source.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CERTAIN TRADEMARKS, TRADE NAMES AND SERVICE MARKS</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 xml:space="preserve">This Annual Report on Form 10-K includes trademarks and service marks owned by us. This Annual Report on Form 10-K also contains trademarks, trade names and service marks of other companies, which are the property of their respective owners. Solely for convenience, trademarks, trade names and service marks referred to in this Annual Report on Form 10-K may appear without the ®, ™ or </w:t>
      </w:r>
      <w:r>
        <w:rPr>
          <w:rFonts w:ascii="Arial" w:cs="Arial" w:eastAsia="Arial" w:hAnsi="Arial"/>
          <w:sz w:val="7"/>
          <w:szCs w:val="7"/>
          <w:color w:val="auto"/>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USE OF NON-GAAP FINANCIAL MEASURES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This Annual Report on Form 10-K contains “non-GAAP financial measures,” which are financial measures that are not calculated and presented in accordance with GAAP.</w:t>
      </w:r>
    </w:p>
    <w:p>
      <w:pPr>
        <w:spacing w:after="0" w:line="17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181" w:lineRule="exact"/>
        <w:rPr>
          <w:sz w:val="20"/>
          <w:szCs w:val="20"/>
          <w:color w:val="auto"/>
        </w:rPr>
      </w:pPr>
    </w:p>
    <w:p>
      <w:pPr>
        <w:ind w:left="660" w:right="20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statement disclosing the purposes for which the registrant’s management uses the non-GAAP financial measure.</w:t>
      </w:r>
    </w:p>
    <w:p>
      <w:pPr>
        <w:spacing w:after="0" w:line="24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Specifically, we make use of the non-GAAP financial measures “Free Cash Flow,” “Adjusted EBITDA,” “Adjusted EBITDA margin,” “Adjusted EBIT,” “Adjusted EBIT margin,” “Adjusted Net Income” and “Adjusted Diluted EPS” in evaluating our past results and future prospects. For the definition of Free Cash Flow and a reconciliation to cash flow from operating activities, its most directly comparable financial measure presented in accordance with GAAP, see Part II, Item 7. – “Management’s Discussion and Analysis of Financial Condition and Results of Operations—Non-GAAP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II, Item 7. – “Management’s Discussion and Analysis of Financial Condition and Results of Operations—Non-GAAP Financial Measures.” Adjusted EBITDA margin and Adjusted EBIT margin are defined as Adjusted EBITDA and Adjusted EBIT, respectively, divided by gross revenue for the applicable period.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6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8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Free Cash Flow, Adjusted EBITDA, Adjusted EBIT, Adjusted Net Income and Adjusted Diluted EPS have limitations as analytical tools, and you should not consider such measures either in isolation or as substitutes for analyzing our results as reported under GAAP. Some of these limitations include the following:</w:t>
      </w:r>
    </w:p>
    <w:p>
      <w:pPr>
        <w:spacing w:after="0" w:line="181" w:lineRule="exact"/>
        <w:rPr>
          <w:sz w:val="20"/>
          <w:szCs w:val="20"/>
          <w:color w:val="auto"/>
        </w:rPr>
      </w:pPr>
    </w:p>
    <w:p>
      <w:pPr>
        <w:ind w:left="660" w:right="100"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56" w:lineRule="exact"/>
        <w:rPr>
          <w:rFonts w:ascii="Arial" w:cs="Arial" w:eastAsia="Arial" w:hAnsi="Arial"/>
          <w:sz w:val="18"/>
          <w:szCs w:val="18"/>
          <w:color w:val="auto"/>
        </w:rPr>
      </w:pPr>
    </w:p>
    <w:p>
      <w:pPr>
        <w:ind w:left="660" w:right="220"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changes in our working capital needs;</w:t>
      </w:r>
    </w:p>
    <w:p>
      <w:pPr>
        <w:spacing w:after="0" w:line="156" w:lineRule="exact"/>
        <w:rPr>
          <w:rFonts w:ascii="Arial" w:cs="Arial" w:eastAsia="Arial" w:hAnsi="Arial"/>
          <w:sz w:val="18"/>
          <w:szCs w:val="18"/>
          <w:color w:val="auto"/>
        </w:rPr>
      </w:pPr>
    </w:p>
    <w:p>
      <w:pPr>
        <w:ind w:left="660" w:right="460"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56" w:lineRule="exact"/>
        <w:rPr>
          <w:rFonts w:ascii="Arial" w:cs="Arial" w:eastAsia="Arial" w:hAnsi="Arial"/>
          <w:sz w:val="18"/>
          <w:szCs w:val="18"/>
          <w:color w:val="auto"/>
        </w:rPr>
      </w:pPr>
    </w:p>
    <w:p>
      <w:pPr>
        <w:ind w:left="660" w:right="120"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 do not reflect income tax expense, which in post-IPO periods is a necessary element of our costs and ability to operate;</w:t>
      </w:r>
    </w:p>
    <w:p>
      <w:pPr>
        <w:spacing w:after="0" w:line="156" w:lineRule="exact"/>
        <w:rPr>
          <w:rFonts w:ascii="Arial" w:cs="Arial" w:eastAsia="Arial" w:hAnsi="Arial"/>
          <w:sz w:val="18"/>
          <w:szCs w:val="18"/>
          <w:color w:val="auto"/>
        </w:rPr>
      </w:pPr>
    </w:p>
    <w:p>
      <w:pPr>
        <w:ind w:left="660" w:right="20" w:hanging="333"/>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although depreciation and amortization are eliminated in the calculation of Adjusted EBITDA, and the depreciation and amortization related to certain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57" w:lineRule="exact"/>
        <w:rPr>
          <w:rFonts w:ascii="Arial" w:cs="Arial" w:eastAsia="Arial" w:hAnsi="Arial"/>
          <w:sz w:val="17"/>
          <w:szCs w:val="17"/>
          <w:color w:val="auto"/>
        </w:rPr>
      </w:pPr>
    </w:p>
    <w:p>
      <w:pPr>
        <w:ind w:left="660" w:right="220" w:hanging="333"/>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post-IPO periods, Adjusted EBITDA, Adjusted EBIT, Adjusted Net Income and Adjusted Diluted EPS do not reflect the noncash component of certain employee compensation expense or payroll taxes associated with certain option exercises;</w:t>
      </w:r>
    </w:p>
    <w:p>
      <w:pPr>
        <w:spacing w:after="0" w:line="167" w:lineRule="exact"/>
        <w:rPr>
          <w:rFonts w:ascii="Arial" w:cs="Arial" w:eastAsia="Arial" w:hAnsi="Arial"/>
          <w:sz w:val="18"/>
          <w:szCs w:val="18"/>
          <w:color w:val="auto"/>
        </w:rPr>
      </w:pPr>
    </w:p>
    <w:p>
      <w:pPr>
        <w:jc w:val="both"/>
        <w:ind w:left="660" w:right="320" w:hanging="333"/>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 and</w:t>
      </w:r>
    </w:p>
    <w:p>
      <w:pPr>
        <w:spacing w:after="0" w:line="167" w:lineRule="exact"/>
        <w:rPr>
          <w:rFonts w:ascii="Arial" w:cs="Arial" w:eastAsia="Arial" w:hAnsi="Arial"/>
          <w:sz w:val="18"/>
          <w:szCs w:val="18"/>
          <w:color w:val="auto"/>
        </w:rPr>
      </w:pPr>
    </w:p>
    <w:p>
      <w:pPr>
        <w:jc w:val="both"/>
        <w:ind w:left="660" w:right="240" w:hanging="333"/>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Adjusted EBIT, Adjusted Net Income and Adjusted Diluted EPS or similarly titled measures differently than we do, limiting their usefulness as comparative measures.</w:t>
      </w:r>
    </w:p>
    <w:p>
      <w:pPr>
        <w:spacing w:after="0" w:line="168"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We compensate for these limitations by relying primarily on our GAAP results and using Free Cash Flow, Adjusted EBITDA, Adjusted EBIT, Adjusted Net Income and Adjusted Diluted EPS only as supplemental information.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CAUTIONARY NOTE REGARDING FORWARD-LOOKING STATEMENTS</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including the pending LSEG Transaction, our performance or otherwise, contained in this Annual Report on Form 10-K under Part I, Item 1. – “Business,” Part I, Item 1A.</w:t>
      </w:r>
    </w:p>
    <w:p>
      <w:pPr>
        <w:spacing w:after="0" w:line="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 “Risk Factors” and Part II, Item 7. – “Management’s Discussion and Analysis of Financial Condition and Results of Operations” are forward-looking statements.</w:t>
      </w:r>
    </w:p>
    <w:p>
      <w:pPr>
        <w:spacing w:after="0" w:line="18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Annual Report on Form 10-K under Part I, Item 1. – “Business,” Part I, Item 1A. – “Risk Factors” and Part II, Item 7. – “Management’s Discussion and Analysis of Financial Condition and Results of Operations,”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166"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economic, political, social and market conditions and the impact of these changes on trading volumes;</w:t>
      </w:r>
    </w:p>
    <w:p>
      <w:pPr>
        <w:spacing w:after="0" w:line="248" w:lineRule="exact"/>
        <w:rPr>
          <w:rFonts w:ascii="Arial" w:cs="Arial" w:eastAsia="Arial" w:hAnsi="Arial"/>
          <w:sz w:val="16"/>
          <w:szCs w:val="16"/>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dealer clients, including those that are also current or former stockholders;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225" w:lineRule="exact"/>
        <w:rPr>
          <w:rFonts w:ascii="Arial" w:cs="Arial" w:eastAsia="Arial" w:hAnsi="Arial"/>
          <w:sz w:val="18"/>
          <w:szCs w:val="18"/>
          <w:color w:val="auto"/>
        </w:rPr>
      </w:pPr>
    </w:p>
    <w:p>
      <w:pPr>
        <w:ind w:left="660" w:right="380" w:hanging="33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225" w:lineRule="exact"/>
        <w:rPr>
          <w:rFonts w:ascii="Arial" w:cs="Arial" w:eastAsia="Arial" w:hAnsi="Arial"/>
          <w:sz w:val="18"/>
          <w:szCs w:val="18"/>
          <w:color w:val="auto"/>
        </w:rPr>
      </w:pPr>
    </w:p>
    <w:p>
      <w:pPr>
        <w:ind w:left="660" w:right="20" w:hanging="33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225" w:lineRule="exact"/>
        <w:rPr>
          <w:rFonts w:ascii="Arial" w:cs="Arial" w:eastAsia="Arial" w:hAnsi="Arial"/>
          <w:sz w:val="18"/>
          <w:szCs w:val="18"/>
          <w:color w:val="auto"/>
        </w:rPr>
      </w:pPr>
    </w:p>
    <w:p>
      <w:pPr>
        <w:jc w:val="both"/>
        <w:ind w:left="660" w:right="40" w:hanging="333"/>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146" w:lineRule="exact"/>
        <w:rPr>
          <w:rFonts w:ascii="Arial" w:cs="Arial" w:eastAsia="Arial" w:hAnsi="Arial"/>
          <w:sz w:val="16"/>
          <w:szCs w:val="16"/>
          <w:color w:val="auto"/>
        </w:rPr>
      </w:pPr>
    </w:p>
    <w:p>
      <w:pPr>
        <w:jc w:val="both"/>
        <w:ind w:left="660" w:right="60" w:hanging="333"/>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81"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 “Risk Factors.”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in this Annual Report on Form 10-K are not guarantees of future performance and our actual results of operations, financial condition or liquidity, and the development of the industry and markets in which we operate, may differ materially from the forward-looking statements contained in this Annual Report on Form 10-K. In addition, even if our results of operations, financial condition or liquidity, and events in the industry and markets in which we operate, are consistent with the forward-looking statements contained in this Annual Report on Form 10-K, they may not be predictive of results or developments in future periods.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forward-looking statement that we make in this Annual Report on Form 10-K speaks only as of the date of such statement. Except as required by law, we do not undertake any obligation to update or revise, or to publicly announce any update or revision to, any of the forward-looking statements, whether as a result of new information, future events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2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the year ended December 31, 2019 of over $720 billion across more than 40 products</w:t>
      </w:r>
      <w:r>
        <w:rPr>
          <w:rFonts w:ascii="Arial" w:cs="Arial" w:eastAsia="Arial" w:hAnsi="Arial"/>
          <w:sz w:val="16"/>
          <w:szCs w:val="16"/>
          <w:color w:val="231F20"/>
        </w:rPr>
        <w:t>.</w:t>
      </w:r>
    </w:p>
    <w:p>
      <w:pPr>
        <w:spacing w:after="0" w:line="16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and across multiple client sectors, geographic regions, asset classes, product groups, trading protocols and trade lifecycle solutions</w:t>
      </w:r>
      <w:r>
        <w:rPr>
          <w:rFonts w:ascii="Arial" w:cs="Arial" w:eastAsia="Arial" w:hAnsi="Arial"/>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124460</wp:posOffset>
            </wp:positionV>
            <wp:extent cx="2813050" cy="1852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130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231F20"/>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r>
        <w:rPr>
          <w:rFonts w:ascii="Arial" w:cs="Arial" w:eastAsia="Arial" w:hAnsi="Arial"/>
          <w:sz w:val="18"/>
          <w:szCs w:val="18"/>
          <w:color w:val="231F20"/>
        </w:rPr>
        <w:t>.</w:t>
      </w:r>
    </w:p>
    <w:p>
      <w:pPr>
        <w:spacing w:after="0" w:line="188"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and continue to invest in, a scalable,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platforms and solutions and to collect a robust set of data and analytics to support our marketplaces</w:t>
      </w:r>
      <w:r>
        <w:rPr>
          <w:rFonts w:ascii="Arial" w:cs="Arial" w:eastAsia="Arial" w:hAnsi="Arial"/>
          <w:sz w:val="18"/>
          <w:szCs w:val="18"/>
          <w:color w:val="231F20"/>
        </w:rPr>
        <w:t>.</w:t>
      </w:r>
    </w:p>
    <w:p>
      <w:pPr>
        <w:spacing w:after="0" w:line="19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focused on balancing revenue growth and margin expansion to create long-term value and 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2019, we had annual compound average daily trading volume growth of</w:t>
      </w:r>
    </w:p>
    <w:p>
      <w:pPr>
        <w:spacing w:after="0" w:line="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13.7% and annual compound gross revenue growth of 12.3%. For the year ended December 31, 2019 and the combined year ended December 31, 2018, 43.6% and 48.0% of our gross revenues, respectively, were fixed. For the year ended December 31, 2019 our variable revenues and fixed revenues each increased as compared to the combined prior year period.</w:t>
      </w:r>
    </w:p>
    <w:p>
      <w:pPr>
        <w:spacing w:after="0" w:line="15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For the year ended December 31, 2019 and the combined year ended December 31, 2018, respectively, our gross revenue was $775.6 million and $684.4 million, an increase of 13.3%. For the year ended December 31, 2019, the 2018 Successor Period and the 2018 Predecessor Period, respectively, our net income was $173.0 million, $29.3 million and $130.2 million, our Adjusted EBITDA was $353.2 million, $65.3 million and $214.1 million, with an Adjusted EBITDA margin of 45.5%, 36.6% and 42.3%, and our Adjusted Net Income was $230.9 million, $40.8 million and $137.3 million. For the definitions of Adjusted EBITDA, Adjusted EBITDA margin and Adjusted Net Income and reconciliations to their most directly comparable financial measures presented in accordance with GAAP, see Part II, Item 7. – “Management’s Discussion and Analysis of Financial Condition and Results of Operations—Non-GAAP Financial Measures.”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31F20"/>
        </w:rPr>
        <w:t>Our Evolution</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including credit, equities and money markets.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r>
        <w:rPr>
          <w:rFonts w:ascii="Arial" w:cs="Arial" w:eastAsia="Arial" w:hAnsi="Arial"/>
          <w:sz w:val="16"/>
          <w:szCs w:val="16"/>
          <w:color w:val="231F20"/>
        </w:rPr>
        <w:t>.</w:t>
      </w:r>
    </w:p>
    <w:p>
      <w:pPr>
        <w:spacing w:after="0" w:line="1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r>
        <w:rPr>
          <w:rFonts w:ascii="Arial" w:cs="Arial" w:eastAsia="Arial" w:hAnsi="Arial"/>
          <w:sz w:val="17"/>
          <w:szCs w:val="17"/>
          <w:color w:val="231F20"/>
        </w:rPr>
        <w:t>.</w:t>
      </w:r>
    </w:p>
    <w:p>
      <w:pPr>
        <w:spacing w:after="0" w:line="17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r>
        <w:rPr>
          <w:rFonts w:ascii="Arial" w:cs="Arial" w:eastAsia="Arial" w:hAnsi="Arial"/>
          <w:sz w:val="17"/>
          <w:szCs w:val="17"/>
          <w:color w:val="231F20"/>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231F20"/>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equities and money markets asset classes. As a result of expanding our offerings, we have increased our opportunities in related addressable markets, where estimated average daily trading volumes have grown from approximately $0.6 trillion in 1998 to $6.3 trillion through December 31, 2019, according to industry sources and management estimates.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0" w:type="dxa"/>
            <w:vAlign w:val="bottom"/>
            <w:tcBorders>
              <w:top w:val="single" w:sz="8" w:color="231F20"/>
            </w:tcBorders>
            <w:shd w:val="clear" w:color="auto" w:fill="E9EAEB"/>
          </w:tcPr>
          <w:p>
            <w:pPr>
              <w:ind w:left="80"/>
              <w:spacing w:after="0"/>
              <w:rPr>
                <w:sz w:val="20"/>
                <w:szCs w:val="20"/>
                <w:color w:val="auto"/>
              </w:rPr>
            </w:pPr>
            <w:r>
              <w:rPr>
                <w:rFonts w:ascii="Arial" w:cs="Arial" w:eastAsia="Arial" w:hAnsi="Arial"/>
                <w:sz w:val="10"/>
                <w:szCs w:val="10"/>
                <w:b w:val="1"/>
                <w:bCs w:val="1"/>
                <w:color w:val="231F20"/>
              </w:rPr>
              <w:t>PHYSICAL</w:t>
            </w:r>
          </w:p>
        </w:tc>
        <w:tc>
          <w:tcPr>
            <w:tcW w:w="100" w:type="dxa"/>
            <w:vAlign w:val="bottom"/>
            <w:tcBorders>
              <w:top w:val="single" w:sz="8" w:color="231F20"/>
              <w:right w:val="single" w:sz="8" w:color="231F20"/>
            </w:tcBorders>
            <w:shd w:val="clear" w:color="auto" w:fill="E9EAEB"/>
          </w:tcPr>
          <w:p>
            <w:pPr>
              <w:spacing w:after="0"/>
              <w:rPr>
                <w:sz w:val="10"/>
                <w:szCs w:val="10"/>
                <w:color w:val="auto"/>
              </w:rPr>
            </w:pPr>
          </w:p>
        </w:tc>
        <w:tc>
          <w:tcPr>
            <w:tcW w:w="900" w:type="dxa"/>
            <w:vAlign w:val="bottom"/>
            <w:tcBorders>
              <w:top w:val="single" w:sz="8" w:color="231F20"/>
            </w:tcBorders>
            <w:shd w:val="clear" w:color="auto" w:fill="F3F3F3"/>
          </w:tcPr>
          <w:p>
            <w:pPr>
              <w:ind w:left="40"/>
              <w:spacing w:after="0"/>
              <w:rPr>
                <w:sz w:val="20"/>
                <w:szCs w:val="20"/>
                <w:color w:val="auto"/>
              </w:rPr>
            </w:pPr>
            <w:r>
              <w:rPr>
                <w:rFonts w:ascii="Arial" w:cs="Arial" w:eastAsia="Arial" w:hAnsi="Arial"/>
                <w:sz w:val="10"/>
                <w:szCs w:val="10"/>
                <w:b w:val="1"/>
                <w:bCs w:val="1"/>
                <w:color w:val="231F20"/>
              </w:rPr>
              <w:t>1996</w:t>
            </w:r>
          </w:p>
        </w:tc>
        <w:tc>
          <w:tcPr>
            <w:tcW w:w="220" w:type="dxa"/>
            <w:vAlign w:val="bottom"/>
            <w:tcBorders>
              <w:top w:val="single" w:sz="8" w:color="231F20"/>
              <w:right w:val="single" w:sz="8" w:color="231F20"/>
            </w:tcBorders>
            <w:shd w:val="clear" w:color="auto" w:fill="F3F3F3"/>
          </w:tcPr>
          <w:p>
            <w:pPr>
              <w:spacing w:after="0"/>
              <w:rPr>
                <w:sz w:val="10"/>
                <w:szCs w:val="10"/>
                <w:color w:val="auto"/>
              </w:rPr>
            </w:pPr>
          </w:p>
        </w:tc>
        <w:tc>
          <w:tcPr>
            <w:tcW w:w="40" w:type="dxa"/>
            <w:vAlign w:val="bottom"/>
            <w:tcBorders>
              <w:top w:val="single" w:sz="8" w:color="231F20"/>
            </w:tcBorders>
            <w:shd w:val="clear" w:color="auto" w:fill="F3F3F3"/>
          </w:tcPr>
          <w:p>
            <w:pPr>
              <w:spacing w:after="0"/>
              <w:rPr>
                <w:sz w:val="10"/>
                <w:szCs w:val="10"/>
                <w:color w:val="auto"/>
              </w:rPr>
            </w:pPr>
          </w:p>
        </w:tc>
        <w:tc>
          <w:tcPr>
            <w:tcW w:w="1140" w:type="dxa"/>
            <w:vAlign w:val="bottom"/>
            <w:tcBorders>
              <w:top w:val="single" w:sz="8" w:color="231F20"/>
              <w:right w:val="single" w:sz="8" w:color="231F20"/>
            </w:tcBorders>
            <w:shd w:val="clear" w:color="auto" w:fill="F3F3F3"/>
          </w:tcPr>
          <w:p>
            <w:pPr>
              <w:ind w:left="20"/>
              <w:spacing w:after="0"/>
              <w:rPr>
                <w:sz w:val="20"/>
                <w:szCs w:val="20"/>
                <w:color w:val="auto"/>
              </w:rPr>
            </w:pPr>
            <w:r>
              <w:rPr>
                <w:rFonts w:ascii="Arial" w:cs="Arial" w:eastAsia="Arial" w:hAnsi="Arial"/>
                <w:sz w:val="10"/>
                <w:szCs w:val="10"/>
                <w:b w:val="1"/>
                <w:bCs w:val="1"/>
                <w:color w:val="231F20"/>
              </w:rPr>
              <w:t>2000</w:t>
            </w:r>
          </w:p>
        </w:tc>
        <w:tc>
          <w:tcPr>
            <w:tcW w:w="20" w:type="dxa"/>
            <w:vAlign w:val="bottom"/>
            <w:tcBorders>
              <w:top w:val="single" w:sz="8" w:color="231F20"/>
            </w:tcBorders>
            <w:shd w:val="clear" w:color="auto" w:fill="F3F3F3"/>
          </w:tcPr>
          <w:p>
            <w:pPr>
              <w:spacing w:after="0"/>
              <w:rPr>
                <w:sz w:val="10"/>
                <w:szCs w:val="10"/>
                <w:color w:val="auto"/>
              </w:rPr>
            </w:pPr>
          </w:p>
        </w:tc>
        <w:tc>
          <w:tcPr>
            <w:tcW w:w="1380" w:type="dxa"/>
            <w:vAlign w:val="bottom"/>
            <w:tcBorders>
              <w:top w:val="single" w:sz="8" w:color="231F20"/>
              <w:right w:val="single" w:sz="8" w:color="231F20"/>
            </w:tcBorders>
            <w:shd w:val="clear" w:color="auto" w:fill="F3F3F3"/>
          </w:tcPr>
          <w:p>
            <w:pPr>
              <w:ind w:left="20"/>
              <w:spacing w:after="0"/>
              <w:rPr>
                <w:sz w:val="20"/>
                <w:szCs w:val="20"/>
                <w:color w:val="auto"/>
              </w:rPr>
            </w:pPr>
            <w:r>
              <w:rPr>
                <w:rFonts w:ascii="Arial" w:cs="Arial" w:eastAsia="Arial" w:hAnsi="Arial"/>
                <w:sz w:val="10"/>
                <w:szCs w:val="10"/>
                <w:b w:val="1"/>
                <w:bCs w:val="1"/>
                <w:color w:val="231F20"/>
              </w:rPr>
              <w:t>2005</w:t>
            </w:r>
          </w:p>
        </w:tc>
        <w:tc>
          <w:tcPr>
            <w:tcW w:w="1220" w:type="dxa"/>
            <w:vAlign w:val="bottom"/>
            <w:tcBorders>
              <w:top w:val="single" w:sz="8" w:color="231F20"/>
              <w:right w:val="single" w:sz="8" w:color="231F20"/>
            </w:tcBorders>
            <w:shd w:val="clear" w:color="auto" w:fill="F3F3F3"/>
          </w:tcPr>
          <w:p>
            <w:pPr>
              <w:ind w:left="40"/>
              <w:spacing w:after="0"/>
              <w:rPr>
                <w:sz w:val="20"/>
                <w:szCs w:val="20"/>
                <w:color w:val="auto"/>
              </w:rPr>
            </w:pPr>
            <w:r>
              <w:rPr>
                <w:rFonts w:ascii="Arial" w:cs="Arial" w:eastAsia="Arial" w:hAnsi="Arial"/>
                <w:sz w:val="10"/>
                <w:szCs w:val="10"/>
                <w:b w:val="1"/>
                <w:bCs w:val="1"/>
                <w:color w:val="231F20"/>
              </w:rPr>
              <w:t>2011</w:t>
            </w:r>
          </w:p>
        </w:tc>
        <w:tc>
          <w:tcPr>
            <w:tcW w:w="1200" w:type="dxa"/>
            <w:vAlign w:val="bottom"/>
            <w:tcBorders>
              <w:top w:val="single" w:sz="8" w:color="231F20"/>
              <w:right w:val="single" w:sz="8" w:color="231F20"/>
            </w:tcBorders>
            <w:shd w:val="clear" w:color="auto" w:fill="F3F3F3"/>
          </w:tcPr>
          <w:p>
            <w:pPr>
              <w:spacing w:after="0"/>
              <w:rPr>
                <w:sz w:val="10"/>
                <w:szCs w:val="10"/>
                <w:color w:val="auto"/>
              </w:rPr>
            </w:pPr>
          </w:p>
        </w:tc>
        <w:tc>
          <w:tcPr>
            <w:tcW w:w="1380" w:type="dxa"/>
            <w:vAlign w:val="bottom"/>
            <w:tcBorders>
              <w:top w:val="single" w:sz="8" w:color="231F20"/>
              <w:right w:val="single" w:sz="8" w:color="231F20"/>
            </w:tcBorders>
            <w:shd w:val="clear" w:color="auto" w:fill="F3F3F3"/>
          </w:tcPr>
          <w:p>
            <w:pPr>
              <w:ind w:left="40"/>
              <w:spacing w:after="0"/>
              <w:rPr>
                <w:sz w:val="20"/>
                <w:szCs w:val="20"/>
                <w:color w:val="auto"/>
              </w:rPr>
            </w:pPr>
            <w:r>
              <w:rPr>
                <w:rFonts w:ascii="Arial" w:cs="Arial" w:eastAsia="Arial" w:hAnsi="Arial"/>
                <w:sz w:val="10"/>
                <w:szCs w:val="10"/>
                <w:b w:val="1"/>
                <w:bCs w:val="1"/>
                <w:color w:val="231F20"/>
              </w:rPr>
              <w:t>2018</w:t>
            </w:r>
          </w:p>
        </w:tc>
        <w:tc>
          <w:tcPr>
            <w:tcW w:w="600" w:type="dxa"/>
            <w:vAlign w:val="bottom"/>
            <w:tcBorders>
              <w:top w:val="single" w:sz="8" w:color="231F20"/>
            </w:tcBorders>
            <w:shd w:val="clear" w:color="auto" w:fill="F3F3F3"/>
          </w:tcPr>
          <w:p>
            <w:pPr>
              <w:ind w:left="40"/>
              <w:spacing w:after="0"/>
              <w:rPr>
                <w:sz w:val="20"/>
                <w:szCs w:val="20"/>
                <w:color w:val="auto"/>
              </w:rPr>
            </w:pPr>
            <w:r>
              <w:rPr>
                <w:rFonts w:ascii="Arial" w:cs="Arial" w:eastAsia="Arial" w:hAnsi="Arial"/>
                <w:sz w:val="10"/>
                <w:szCs w:val="10"/>
                <w:b w:val="1"/>
                <w:bCs w:val="1"/>
                <w:color w:val="231F20"/>
              </w:rPr>
              <w:t>2019</w:t>
            </w:r>
          </w:p>
        </w:tc>
        <w:tc>
          <w:tcPr>
            <w:tcW w:w="0" w:type="dxa"/>
            <w:vAlign w:val="bottom"/>
          </w:tcPr>
          <w:p>
            <w:pPr>
              <w:spacing w:after="0"/>
              <w:rPr>
                <w:sz w:val="1"/>
                <w:szCs w:val="1"/>
                <w:color w:val="auto"/>
              </w:rPr>
            </w:pPr>
          </w:p>
        </w:tc>
      </w:tr>
      <w:tr>
        <w:trPr>
          <w:trHeight w:val="54"/>
        </w:trPr>
        <w:tc>
          <w:tcPr>
            <w:tcW w:w="860" w:type="dxa"/>
            <w:vAlign w:val="bottom"/>
            <w:shd w:val="clear" w:color="auto" w:fill="E9EAEB"/>
          </w:tcPr>
          <w:p>
            <w:pPr>
              <w:ind w:left="80"/>
              <w:spacing w:after="0" w:line="54" w:lineRule="exact"/>
              <w:rPr>
                <w:sz w:val="20"/>
                <w:szCs w:val="20"/>
                <w:color w:val="auto"/>
              </w:rPr>
            </w:pPr>
            <w:r>
              <w:rPr>
                <w:rFonts w:ascii="Arial" w:cs="Arial" w:eastAsia="Arial" w:hAnsi="Arial"/>
                <w:sz w:val="6"/>
                <w:szCs w:val="6"/>
                <w:b w:val="1"/>
                <w:bCs w:val="1"/>
                <w:color w:val="231F20"/>
              </w:rPr>
              <w:t>PRESENCE &amp;</w:t>
            </w:r>
          </w:p>
        </w:tc>
        <w:tc>
          <w:tcPr>
            <w:tcW w:w="100" w:type="dxa"/>
            <w:vAlign w:val="bottom"/>
            <w:tcBorders>
              <w:right w:val="single" w:sz="8" w:color="231F20"/>
            </w:tcBorders>
            <w:shd w:val="clear" w:color="auto" w:fill="E9EAEB"/>
          </w:tcPr>
          <w:p>
            <w:pPr>
              <w:spacing w:after="0"/>
              <w:rPr>
                <w:sz w:val="4"/>
                <w:szCs w:val="4"/>
                <w:color w:val="auto"/>
              </w:rPr>
            </w:pPr>
          </w:p>
        </w:tc>
        <w:tc>
          <w:tcPr>
            <w:tcW w:w="9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Original business</w:t>
            </w:r>
          </w:p>
        </w:tc>
        <w:tc>
          <w:tcPr>
            <w:tcW w:w="220" w:type="dxa"/>
            <w:vAlign w:val="bottom"/>
            <w:tcBorders>
              <w:right w:val="single" w:sz="8" w:color="231F20"/>
            </w:tcBorders>
            <w:shd w:val="clear" w:color="auto" w:fill="F3F3F3"/>
          </w:tcPr>
          <w:p>
            <w:pPr>
              <w:spacing w:after="0"/>
              <w:rPr>
                <w:sz w:val="4"/>
                <w:szCs w:val="4"/>
                <w:color w:val="auto"/>
              </w:rPr>
            </w:pPr>
          </w:p>
        </w:tc>
        <w:tc>
          <w:tcPr>
            <w:tcW w:w="40" w:type="dxa"/>
            <w:vAlign w:val="bottom"/>
            <w:shd w:val="clear" w:color="auto" w:fill="F3F3F3"/>
          </w:tcPr>
          <w:p>
            <w:pPr>
              <w:spacing w:after="0"/>
              <w:rPr>
                <w:sz w:val="4"/>
                <w:szCs w:val="4"/>
                <w:color w:val="auto"/>
              </w:rPr>
            </w:pPr>
          </w:p>
        </w:tc>
        <w:tc>
          <w:tcPr>
            <w:tcW w:w="114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color w:val="231F20"/>
              </w:rPr>
              <w:t>Expanded into Europe</w:t>
            </w:r>
          </w:p>
        </w:tc>
        <w:tc>
          <w:tcPr>
            <w:tcW w:w="20" w:type="dxa"/>
            <w:vAlign w:val="bottom"/>
            <w:shd w:val="clear" w:color="auto" w:fill="F3F3F3"/>
          </w:tcPr>
          <w:p>
            <w:pPr>
              <w:spacing w:after="0"/>
              <w:rPr>
                <w:sz w:val="4"/>
                <w:szCs w:val="4"/>
                <w:color w:val="auto"/>
              </w:rPr>
            </w:pPr>
          </w:p>
        </w:tc>
        <w:tc>
          <w:tcPr>
            <w:tcW w:w="138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color w:val="231F20"/>
              </w:rPr>
              <w:t>Opened Tokyo office</w:t>
            </w: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Acquired Rafferty</w:t>
            </w:r>
          </w:p>
        </w:tc>
        <w:tc>
          <w:tcPr>
            <w:tcW w:w="1200" w:type="dxa"/>
            <w:vAlign w:val="bottom"/>
            <w:tcBorders>
              <w:right w:val="single" w:sz="8" w:color="231F20"/>
            </w:tcBorders>
            <w:shd w:val="clear" w:color="auto" w:fill="F3F3F3"/>
          </w:tcPr>
          <w:p>
            <w:pPr>
              <w:spacing w:after="0"/>
              <w:rPr>
                <w:sz w:val="4"/>
                <w:szCs w:val="4"/>
                <w:color w:val="auto"/>
              </w:rPr>
            </w:pPr>
          </w:p>
        </w:tc>
        <w:tc>
          <w:tcPr>
            <w:tcW w:w="138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Opened Amsterdam and</w:t>
            </w:r>
          </w:p>
        </w:tc>
        <w:tc>
          <w:tcPr>
            <w:tcW w:w="6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Completed</w:t>
            </w:r>
          </w:p>
        </w:tc>
        <w:tc>
          <w:tcPr>
            <w:tcW w:w="0" w:type="dxa"/>
            <w:vAlign w:val="bottom"/>
          </w:tcPr>
          <w:p>
            <w:pPr>
              <w:spacing w:after="0"/>
              <w:rPr>
                <w:sz w:val="1"/>
                <w:szCs w:val="1"/>
                <w:color w:val="auto"/>
              </w:rPr>
            </w:pPr>
          </w:p>
        </w:tc>
      </w:tr>
      <w:tr>
        <w:trPr>
          <w:trHeight w:val="95"/>
        </w:trPr>
        <w:tc>
          <w:tcPr>
            <w:tcW w:w="860" w:type="dxa"/>
            <w:vAlign w:val="bottom"/>
            <w:shd w:val="clear" w:color="auto" w:fill="E9EAEB"/>
          </w:tcPr>
          <w:p>
            <w:pPr>
              <w:ind w:left="80"/>
              <w:spacing w:after="0" w:line="95" w:lineRule="exact"/>
              <w:rPr>
                <w:sz w:val="20"/>
                <w:szCs w:val="20"/>
                <w:color w:val="auto"/>
              </w:rPr>
            </w:pPr>
            <w:r>
              <w:rPr>
                <w:rFonts w:ascii="Arial" w:cs="Arial" w:eastAsia="Arial" w:hAnsi="Arial"/>
                <w:sz w:val="10"/>
                <w:szCs w:val="10"/>
                <w:b w:val="1"/>
                <w:bCs w:val="1"/>
                <w:color w:val="231F20"/>
              </w:rPr>
              <w:t>MAJOR</w:t>
            </w:r>
          </w:p>
        </w:tc>
        <w:tc>
          <w:tcPr>
            <w:tcW w:w="100" w:type="dxa"/>
            <w:vAlign w:val="bottom"/>
            <w:tcBorders>
              <w:right w:val="single" w:sz="8" w:color="231F20"/>
            </w:tcBorders>
            <w:shd w:val="clear" w:color="auto" w:fill="E9EAEB"/>
          </w:tcPr>
          <w:p>
            <w:pPr>
              <w:spacing w:after="0"/>
              <w:rPr>
                <w:sz w:val="8"/>
                <w:szCs w:val="8"/>
                <w:color w:val="auto"/>
              </w:rPr>
            </w:pPr>
          </w:p>
        </w:tc>
        <w:tc>
          <w:tcPr>
            <w:tcW w:w="900" w:type="dxa"/>
            <w:vAlign w:val="bottom"/>
            <w:vMerge w:val="continue"/>
            <w:shd w:val="clear" w:color="auto" w:fill="F3F3F3"/>
          </w:tcPr>
          <w:p>
            <w:pPr>
              <w:spacing w:after="0"/>
              <w:rPr>
                <w:sz w:val="8"/>
                <w:szCs w:val="8"/>
                <w:color w:val="auto"/>
              </w:rPr>
            </w:pPr>
          </w:p>
        </w:tc>
        <w:tc>
          <w:tcPr>
            <w:tcW w:w="220" w:type="dxa"/>
            <w:vAlign w:val="bottom"/>
            <w:tcBorders>
              <w:right w:val="single" w:sz="8" w:color="231F20"/>
            </w:tcBorders>
            <w:shd w:val="clear" w:color="auto" w:fill="F3F3F3"/>
          </w:tcPr>
          <w:p>
            <w:pPr>
              <w:spacing w:after="0"/>
              <w:rPr>
                <w:sz w:val="8"/>
                <w:szCs w:val="8"/>
                <w:color w:val="auto"/>
              </w:rPr>
            </w:pPr>
          </w:p>
        </w:tc>
        <w:tc>
          <w:tcPr>
            <w:tcW w:w="40" w:type="dxa"/>
            <w:vAlign w:val="bottom"/>
            <w:shd w:val="clear" w:color="auto" w:fill="F3F3F3"/>
          </w:tcPr>
          <w:p>
            <w:pPr>
              <w:spacing w:after="0"/>
              <w:rPr>
                <w:sz w:val="8"/>
                <w:szCs w:val="8"/>
                <w:color w:val="auto"/>
              </w:rPr>
            </w:pPr>
          </w:p>
        </w:tc>
        <w:tc>
          <w:tcPr>
            <w:tcW w:w="1140" w:type="dxa"/>
            <w:vAlign w:val="bottom"/>
            <w:tcBorders>
              <w:right w:val="single" w:sz="8" w:color="231F20"/>
            </w:tcBorders>
            <w:vMerge w:val="continue"/>
            <w:shd w:val="clear" w:color="auto" w:fill="F3F3F3"/>
          </w:tcPr>
          <w:p>
            <w:pPr>
              <w:spacing w:after="0"/>
              <w:rPr>
                <w:sz w:val="8"/>
                <w:szCs w:val="8"/>
                <w:color w:val="auto"/>
              </w:rPr>
            </w:pPr>
          </w:p>
        </w:tc>
        <w:tc>
          <w:tcPr>
            <w:tcW w:w="20" w:type="dxa"/>
            <w:vAlign w:val="bottom"/>
            <w:shd w:val="clear" w:color="auto" w:fill="F3F3F3"/>
          </w:tcPr>
          <w:p>
            <w:pPr>
              <w:spacing w:after="0"/>
              <w:rPr>
                <w:sz w:val="8"/>
                <w:szCs w:val="8"/>
                <w:color w:val="auto"/>
              </w:rPr>
            </w:pPr>
          </w:p>
        </w:tc>
        <w:tc>
          <w:tcPr>
            <w:tcW w:w="1380" w:type="dxa"/>
            <w:vAlign w:val="bottom"/>
            <w:tcBorders>
              <w:right w:val="single" w:sz="8" w:color="231F20"/>
            </w:tcBorders>
            <w:vMerge w:val="continue"/>
            <w:shd w:val="clear" w:color="auto" w:fill="F3F3F3"/>
          </w:tcPr>
          <w:p>
            <w:pPr>
              <w:spacing w:after="0"/>
              <w:rPr>
                <w:sz w:val="8"/>
                <w:szCs w:val="8"/>
                <w:color w:val="auto"/>
              </w:rPr>
            </w:pPr>
          </w:p>
        </w:tc>
        <w:tc>
          <w:tcPr>
            <w:tcW w:w="1220" w:type="dxa"/>
            <w:vAlign w:val="bottom"/>
            <w:tcBorders>
              <w:right w:val="single" w:sz="8" w:color="231F20"/>
            </w:tcBorders>
            <w:vMerge w:val="continue"/>
            <w:shd w:val="clear" w:color="auto" w:fill="F3F3F3"/>
          </w:tcPr>
          <w:p>
            <w:pPr>
              <w:spacing w:after="0"/>
              <w:rPr>
                <w:sz w:val="8"/>
                <w:szCs w:val="8"/>
                <w:color w:val="auto"/>
              </w:rPr>
            </w:pPr>
          </w:p>
        </w:tc>
        <w:tc>
          <w:tcPr>
            <w:tcW w:w="1200" w:type="dxa"/>
            <w:vAlign w:val="bottom"/>
            <w:tcBorders>
              <w:right w:val="single" w:sz="8" w:color="231F20"/>
            </w:tcBorders>
            <w:shd w:val="clear" w:color="auto" w:fill="F3F3F3"/>
          </w:tcPr>
          <w:p>
            <w:pPr>
              <w:spacing w:after="0"/>
              <w:rPr>
                <w:sz w:val="8"/>
                <w:szCs w:val="8"/>
                <w:color w:val="auto"/>
              </w:rPr>
            </w:pPr>
          </w:p>
        </w:tc>
        <w:tc>
          <w:tcPr>
            <w:tcW w:w="1380" w:type="dxa"/>
            <w:vAlign w:val="bottom"/>
            <w:tcBorders>
              <w:right w:val="single" w:sz="8" w:color="231F20"/>
            </w:tcBorders>
            <w:vMerge w:val="continue"/>
            <w:shd w:val="clear" w:color="auto" w:fill="F3F3F3"/>
          </w:tcPr>
          <w:p>
            <w:pPr>
              <w:spacing w:after="0"/>
              <w:rPr>
                <w:sz w:val="8"/>
                <w:szCs w:val="8"/>
                <w:color w:val="auto"/>
              </w:rPr>
            </w:pPr>
          </w:p>
        </w:tc>
        <w:tc>
          <w:tcPr>
            <w:tcW w:w="600" w:type="dxa"/>
            <w:vAlign w:val="bottom"/>
            <w:vMerge w:val="continue"/>
            <w:shd w:val="clear" w:color="auto" w:fill="F3F3F3"/>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60" w:type="dxa"/>
            <w:vAlign w:val="bottom"/>
            <w:shd w:val="clear" w:color="auto" w:fill="E9EAEB"/>
          </w:tcPr>
          <w:p>
            <w:pPr>
              <w:ind w:left="80"/>
              <w:spacing w:after="0" w:line="68" w:lineRule="exact"/>
              <w:rPr>
                <w:sz w:val="20"/>
                <w:szCs w:val="20"/>
                <w:color w:val="auto"/>
              </w:rPr>
            </w:pPr>
            <w:r>
              <w:rPr>
                <w:rFonts w:ascii="Arial" w:cs="Arial" w:eastAsia="Arial" w:hAnsi="Arial"/>
                <w:sz w:val="7"/>
                <w:szCs w:val="7"/>
                <w:b w:val="1"/>
                <w:bCs w:val="1"/>
                <w:color w:val="231F20"/>
              </w:rPr>
              <w:t>TRANSACTIONS</w:t>
            </w:r>
          </w:p>
        </w:tc>
        <w:tc>
          <w:tcPr>
            <w:tcW w:w="100" w:type="dxa"/>
            <w:vAlign w:val="bottom"/>
            <w:tcBorders>
              <w:right w:val="single" w:sz="8" w:color="231F20"/>
            </w:tcBorders>
            <w:shd w:val="clear" w:color="auto" w:fill="E9EAEB"/>
          </w:tcPr>
          <w:p>
            <w:pPr>
              <w:spacing w:after="0"/>
              <w:rPr>
                <w:sz w:val="5"/>
                <w:szCs w:val="5"/>
                <w:color w:val="auto"/>
              </w:rPr>
            </w:pPr>
          </w:p>
        </w:tc>
        <w:tc>
          <w:tcPr>
            <w:tcW w:w="900" w:type="dxa"/>
            <w:vAlign w:val="bottom"/>
            <w:shd w:val="clear" w:color="auto" w:fill="F3F3F3"/>
          </w:tcPr>
          <w:p>
            <w:pPr>
              <w:ind w:left="40"/>
              <w:spacing w:after="0" w:line="68" w:lineRule="exact"/>
              <w:rPr>
                <w:sz w:val="20"/>
                <w:szCs w:val="20"/>
                <w:color w:val="auto"/>
              </w:rPr>
            </w:pPr>
            <w:r>
              <w:rPr>
                <w:rFonts w:ascii="Arial" w:cs="Arial" w:eastAsia="Arial" w:hAnsi="Arial"/>
                <w:sz w:val="7"/>
                <w:szCs w:val="7"/>
                <w:color w:val="231F20"/>
              </w:rPr>
              <w:t>plan drafted</w:t>
            </w:r>
          </w:p>
        </w:tc>
        <w:tc>
          <w:tcPr>
            <w:tcW w:w="220" w:type="dxa"/>
            <w:vAlign w:val="bottom"/>
            <w:tcBorders>
              <w:right w:val="single" w:sz="8" w:color="231F20"/>
            </w:tcBorders>
            <w:shd w:val="clear" w:color="auto" w:fill="F3F3F3"/>
          </w:tcPr>
          <w:p>
            <w:pPr>
              <w:spacing w:after="0"/>
              <w:rPr>
                <w:sz w:val="5"/>
                <w:szCs w:val="5"/>
                <w:color w:val="auto"/>
              </w:rPr>
            </w:pPr>
          </w:p>
        </w:tc>
        <w:tc>
          <w:tcPr>
            <w:tcW w:w="40" w:type="dxa"/>
            <w:vAlign w:val="bottom"/>
            <w:shd w:val="clear" w:color="auto" w:fill="F3F3F3"/>
          </w:tcPr>
          <w:p>
            <w:pPr>
              <w:spacing w:after="0"/>
              <w:rPr>
                <w:sz w:val="5"/>
                <w:szCs w:val="5"/>
                <w:color w:val="auto"/>
              </w:rPr>
            </w:pPr>
          </w:p>
        </w:tc>
        <w:tc>
          <w:tcPr>
            <w:tcW w:w="1140" w:type="dxa"/>
            <w:vAlign w:val="bottom"/>
            <w:tcBorders>
              <w:right w:val="single" w:sz="8" w:color="231F20"/>
            </w:tcBorders>
            <w:shd w:val="clear" w:color="auto" w:fill="F3F3F3"/>
          </w:tcPr>
          <w:p>
            <w:pPr>
              <w:ind w:left="20"/>
              <w:spacing w:after="0" w:line="68" w:lineRule="exact"/>
              <w:rPr>
                <w:sz w:val="20"/>
                <w:szCs w:val="20"/>
                <w:color w:val="auto"/>
              </w:rPr>
            </w:pPr>
            <w:r>
              <w:rPr>
                <w:rFonts w:ascii="Arial" w:cs="Arial" w:eastAsia="Arial" w:hAnsi="Arial"/>
                <w:sz w:val="7"/>
                <w:szCs w:val="7"/>
                <w:color w:val="231F20"/>
              </w:rPr>
              <w:t>with opening of London</w:t>
            </w:r>
          </w:p>
        </w:tc>
        <w:tc>
          <w:tcPr>
            <w:tcW w:w="20" w:type="dxa"/>
            <w:vAlign w:val="bottom"/>
            <w:shd w:val="clear" w:color="auto" w:fill="F3F3F3"/>
          </w:tcPr>
          <w:p>
            <w:pPr>
              <w:spacing w:after="0"/>
              <w:rPr>
                <w:sz w:val="5"/>
                <w:szCs w:val="5"/>
                <w:color w:val="auto"/>
              </w:rPr>
            </w:pPr>
          </w:p>
        </w:tc>
        <w:tc>
          <w:tcPr>
            <w:tcW w:w="1380" w:type="dxa"/>
            <w:vAlign w:val="bottom"/>
            <w:tcBorders>
              <w:right w:val="single" w:sz="8" w:color="231F20"/>
            </w:tcBorders>
            <w:shd w:val="clear" w:color="auto" w:fill="F3F3F3"/>
          </w:tcPr>
          <w:p>
            <w:pPr>
              <w:spacing w:after="0"/>
              <w:rPr>
                <w:sz w:val="5"/>
                <w:szCs w:val="5"/>
                <w:color w:val="auto"/>
              </w:rPr>
            </w:pP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Capital Markets</w:t>
            </w:r>
          </w:p>
        </w:tc>
        <w:tc>
          <w:tcPr>
            <w:tcW w:w="1200" w:type="dxa"/>
            <w:vAlign w:val="bottom"/>
            <w:tcBorders>
              <w:right w:val="single" w:sz="8" w:color="231F20"/>
            </w:tcBorders>
            <w:shd w:val="clear" w:color="auto" w:fill="F3F3F3"/>
          </w:tcPr>
          <w:p>
            <w:pPr>
              <w:spacing w:after="0"/>
              <w:rPr>
                <w:sz w:val="5"/>
                <w:szCs w:val="5"/>
                <w:color w:val="auto"/>
              </w:rPr>
            </w:pPr>
          </w:p>
        </w:tc>
        <w:tc>
          <w:tcPr>
            <w:tcW w:w="1380" w:type="dxa"/>
            <w:vAlign w:val="bottom"/>
            <w:tcBorders>
              <w:right w:val="single" w:sz="8" w:color="231F20"/>
            </w:tcBorders>
            <w:shd w:val="clear" w:color="auto" w:fill="F3F3F3"/>
          </w:tcPr>
          <w:p>
            <w:pPr>
              <w:ind w:left="40"/>
              <w:spacing w:after="0" w:line="68" w:lineRule="exact"/>
              <w:rPr>
                <w:sz w:val="20"/>
                <w:szCs w:val="20"/>
                <w:color w:val="auto"/>
              </w:rPr>
            </w:pPr>
            <w:r>
              <w:rPr>
                <w:rFonts w:ascii="Arial" w:cs="Arial" w:eastAsia="Arial" w:hAnsi="Arial"/>
                <w:sz w:val="7"/>
                <w:szCs w:val="7"/>
                <w:color w:val="231F20"/>
              </w:rPr>
              <w:t>Shanghai offices</w:t>
            </w:r>
          </w:p>
        </w:tc>
        <w:tc>
          <w:tcPr>
            <w:tcW w:w="6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IPO</w:t>
            </w:r>
          </w:p>
        </w:tc>
        <w:tc>
          <w:tcPr>
            <w:tcW w:w="0" w:type="dxa"/>
            <w:vAlign w:val="bottom"/>
          </w:tcPr>
          <w:p>
            <w:pPr>
              <w:spacing w:after="0"/>
              <w:rPr>
                <w:sz w:val="1"/>
                <w:szCs w:val="1"/>
                <w:color w:val="auto"/>
              </w:rPr>
            </w:pPr>
          </w:p>
        </w:tc>
      </w:tr>
      <w:tr>
        <w:trPr>
          <w:trHeight w:val="118"/>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vMerge w:val="restart"/>
            <w:shd w:val="clear" w:color="auto" w:fill="F3F3F3"/>
          </w:tcPr>
          <w:p>
            <w:pPr>
              <w:ind w:left="40"/>
              <w:spacing w:after="0"/>
              <w:rPr>
                <w:sz w:val="20"/>
                <w:szCs w:val="20"/>
                <w:color w:val="auto"/>
              </w:rPr>
            </w:pPr>
            <w:r>
              <w:rPr>
                <w:rFonts w:ascii="Arial" w:cs="Arial" w:eastAsia="Arial" w:hAnsi="Arial"/>
                <w:sz w:val="10"/>
                <w:szCs w:val="10"/>
                <w:b w:val="1"/>
                <w:bCs w:val="1"/>
                <w:color w:val="231F20"/>
              </w:rPr>
              <w:t>1997</w:t>
            </w: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office</w:t>
            </w: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b w:val="1"/>
                <w:bCs w:val="1"/>
                <w:color w:val="231F20"/>
              </w:rPr>
              <w:t>2006</w:t>
            </w:r>
          </w:p>
        </w:tc>
        <w:tc>
          <w:tcPr>
            <w:tcW w:w="1220" w:type="dxa"/>
            <w:vAlign w:val="bottom"/>
            <w:tcBorders>
              <w:right w:val="single" w:sz="8" w:color="231F20"/>
            </w:tcBorders>
            <w:vMerge w:val="continue"/>
            <w:shd w:val="clear" w:color="auto" w:fill="F3F3F3"/>
          </w:tcPr>
          <w:p>
            <w:pPr>
              <w:spacing w:after="0"/>
              <w:rPr>
                <w:sz w:val="10"/>
                <w:szCs w:val="10"/>
                <w:color w:val="auto"/>
              </w:rPr>
            </w:pP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vMerge w:val="continue"/>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860" w:type="dxa"/>
            <w:vAlign w:val="bottom"/>
            <w:shd w:val="clear" w:color="auto" w:fill="E9EAEB"/>
          </w:tcPr>
          <w:p>
            <w:pPr>
              <w:spacing w:after="0"/>
              <w:rPr>
                <w:sz w:val="2"/>
                <w:szCs w:val="2"/>
                <w:color w:val="auto"/>
              </w:rPr>
            </w:pPr>
          </w:p>
        </w:tc>
        <w:tc>
          <w:tcPr>
            <w:tcW w:w="100" w:type="dxa"/>
            <w:vAlign w:val="bottom"/>
            <w:tcBorders>
              <w:right w:val="single" w:sz="8" w:color="231F20"/>
            </w:tcBorders>
            <w:shd w:val="clear" w:color="auto" w:fill="E9EAEB"/>
          </w:tcPr>
          <w:p>
            <w:pPr>
              <w:spacing w:after="0"/>
              <w:rPr>
                <w:sz w:val="2"/>
                <w:szCs w:val="2"/>
                <w:color w:val="auto"/>
              </w:rPr>
            </w:pPr>
          </w:p>
        </w:tc>
        <w:tc>
          <w:tcPr>
            <w:tcW w:w="900" w:type="dxa"/>
            <w:vAlign w:val="bottom"/>
            <w:vMerge w:val="continue"/>
            <w:shd w:val="clear" w:color="auto" w:fill="F3F3F3"/>
          </w:tcPr>
          <w:p>
            <w:pPr>
              <w:spacing w:after="0"/>
              <w:rPr>
                <w:sz w:val="2"/>
                <w:szCs w:val="2"/>
                <w:color w:val="auto"/>
              </w:rPr>
            </w:pPr>
          </w:p>
        </w:tc>
        <w:tc>
          <w:tcPr>
            <w:tcW w:w="220" w:type="dxa"/>
            <w:vAlign w:val="bottom"/>
            <w:tcBorders>
              <w:right w:val="single" w:sz="8" w:color="231F20"/>
            </w:tcBorders>
            <w:shd w:val="clear" w:color="auto" w:fill="F3F3F3"/>
          </w:tcPr>
          <w:p>
            <w:pPr>
              <w:spacing w:after="0"/>
              <w:rPr>
                <w:sz w:val="2"/>
                <w:szCs w:val="2"/>
                <w:color w:val="auto"/>
              </w:rPr>
            </w:pPr>
          </w:p>
        </w:tc>
        <w:tc>
          <w:tcPr>
            <w:tcW w:w="40" w:type="dxa"/>
            <w:vAlign w:val="bottom"/>
            <w:shd w:val="clear" w:color="auto" w:fill="F3F3F3"/>
          </w:tcPr>
          <w:p>
            <w:pPr>
              <w:spacing w:after="0"/>
              <w:rPr>
                <w:sz w:val="2"/>
                <w:szCs w:val="2"/>
                <w:color w:val="auto"/>
              </w:rPr>
            </w:pPr>
          </w:p>
        </w:tc>
        <w:tc>
          <w:tcPr>
            <w:tcW w:w="114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b w:val="1"/>
                <w:bCs w:val="1"/>
                <w:color w:val="231F20"/>
              </w:rPr>
              <w:t>2004</w:t>
            </w:r>
          </w:p>
        </w:tc>
        <w:tc>
          <w:tcPr>
            <w:tcW w:w="20" w:type="dxa"/>
            <w:vAlign w:val="bottom"/>
            <w:shd w:val="clear" w:color="auto" w:fill="F3F3F3"/>
          </w:tcPr>
          <w:p>
            <w:pPr>
              <w:spacing w:after="0"/>
              <w:rPr>
                <w:sz w:val="2"/>
                <w:szCs w:val="2"/>
                <w:color w:val="auto"/>
              </w:rPr>
            </w:pPr>
          </w:p>
        </w:tc>
        <w:tc>
          <w:tcPr>
            <w:tcW w:w="1380" w:type="dxa"/>
            <w:vAlign w:val="bottom"/>
            <w:tcBorders>
              <w:right w:val="single" w:sz="8" w:color="231F20"/>
            </w:tcBorders>
            <w:vMerge w:val="continue"/>
            <w:shd w:val="clear" w:color="auto" w:fill="F3F3F3"/>
          </w:tcPr>
          <w:p>
            <w:pPr>
              <w:spacing w:after="0"/>
              <w:rPr>
                <w:sz w:val="2"/>
                <w:szCs w:val="2"/>
                <w:color w:val="auto"/>
              </w:rPr>
            </w:pP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b w:val="1"/>
                <w:bCs w:val="1"/>
                <w:color w:val="231F20"/>
              </w:rPr>
              <w:t>2013</w:t>
            </w:r>
          </w:p>
        </w:tc>
        <w:tc>
          <w:tcPr>
            <w:tcW w:w="1200" w:type="dxa"/>
            <w:vAlign w:val="bottom"/>
            <w:tcBorders>
              <w:right w:val="single" w:sz="8" w:color="231F20"/>
            </w:tcBorders>
            <w:shd w:val="clear" w:color="auto" w:fill="F3F3F3"/>
          </w:tcPr>
          <w:p>
            <w:pPr>
              <w:spacing w:after="0"/>
              <w:rPr>
                <w:sz w:val="2"/>
                <w:szCs w:val="2"/>
                <w:color w:val="auto"/>
              </w:rPr>
            </w:pPr>
          </w:p>
        </w:tc>
        <w:tc>
          <w:tcPr>
            <w:tcW w:w="1380" w:type="dxa"/>
            <w:vAlign w:val="bottom"/>
            <w:tcBorders>
              <w:right w:val="single" w:sz="8" w:color="231F20"/>
            </w:tcBorders>
            <w:shd w:val="clear" w:color="auto" w:fill="F3F3F3"/>
          </w:tcPr>
          <w:p>
            <w:pPr>
              <w:spacing w:after="0"/>
              <w:rPr>
                <w:sz w:val="2"/>
                <w:szCs w:val="2"/>
                <w:color w:val="auto"/>
              </w:rPr>
            </w:pPr>
          </w:p>
        </w:tc>
        <w:tc>
          <w:tcPr>
            <w:tcW w:w="600" w:type="dxa"/>
            <w:vAlign w:val="bottom"/>
            <w:shd w:val="clear" w:color="auto" w:fill="F3F3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1120" w:type="dxa"/>
            <w:vAlign w:val="bottom"/>
            <w:tcBorders>
              <w:right w:val="single" w:sz="8" w:color="231F20"/>
            </w:tcBorders>
            <w:gridSpan w:val="2"/>
            <w:shd w:val="clear" w:color="auto" w:fill="F3F3F3"/>
          </w:tcPr>
          <w:p>
            <w:pPr>
              <w:ind w:left="40"/>
              <w:spacing w:after="0"/>
              <w:rPr>
                <w:sz w:val="20"/>
                <w:szCs w:val="20"/>
                <w:color w:val="auto"/>
              </w:rPr>
            </w:pPr>
            <w:r>
              <w:rPr>
                <w:rFonts w:ascii="Arial" w:cs="Arial" w:eastAsia="Arial" w:hAnsi="Arial"/>
                <w:sz w:val="10"/>
                <w:szCs w:val="10"/>
                <w:color w:val="231F20"/>
              </w:rPr>
              <w:t>Tradeweb formed with</w:t>
            </w: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vMerge w:val="continue"/>
            <w:shd w:val="clear" w:color="auto" w:fill="F3F3F3"/>
          </w:tcPr>
          <w:p>
            <w:pPr>
              <w:spacing w:after="0"/>
              <w:rPr>
                <w:sz w:val="10"/>
                <w:szCs w:val="10"/>
                <w:color w:val="auto"/>
              </w:rPr>
            </w:pP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Acquired LeverTrade to enter</w:t>
            </w:r>
          </w:p>
        </w:tc>
        <w:tc>
          <w:tcPr>
            <w:tcW w:w="1220" w:type="dxa"/>
            <w:vAlign w:val="bottom"/>
            <w:tcBorders>
              <w:right w:val="single" w:sz="8" w:color="231F20"/>
            </w:tcBorders>
            <w:vMerge w:val="continue"/>
            <w:shd w:val="clear" w:color="auto" w:fill="F3F3F3"/>
          </w:tcPr>
          <w:p>
            <w:pPr>
              <w:spacing w:after="0"/>
              <w:rPr>
                <w:sz w:val="10"/>
                <w:szCs w:val="10"/>
                <w:color w:val="auto"/>
              </w:rPr>
            </w:pP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60" w:type="dxa"/>
            <w:vAlign w:val="bottom"/>
            <w:shd w:val="clear" w:color="auto" w:fill="E9EAEB"/>
          </w:tcPr>
          <w:p>
            <w:pPr>
              <w:spacing w:after="0"/>
              <w:rPr>
                <w:sz w:val="8"/>
                <w:szCs w:val="8"/>
                <w:color w:val="auto"/>
              </w:rPr>
            </w:pPr>
          </w:p>
        </w:tc>
        <w:tc>
          <w:tcPr>
            <w:tcW w:w="100" w:type="dxa"/>
            <w:vAlign w:val="bottom"/>
            <w:tcBorders>
              <w:right w:val="single" w:sz="8" w:color="231F20"/>
            </w:tcBorders>
            <w:shd w:val="clear" w:color="auto" w:fill="E9EAEB"/>
          </w:tcPr>
          <w:p>
            <w:pPr>
              <w:spacing w:after="0"/>
              <w:rPr>
                <w:sz w:val="8"/>
                <w:szCs w:val="8"/>
                <w:color w:val="auto"/>
              </w:rPr>
            </w:pPr>
          </w:p>
        </w:tc>
        <w:tc>
          <w:tcPr>
            <w:tcW w:w="900" w:type="dxa"/>
            <w:vAlign w:val="bottom"/>
            <w:shd w:val="clear" w:color="auto" w:fill="F3F3F3"/>
          </w:tcPr>
          <w:p>
            <w:pPr>
              <w:ind w:left="40"/>
              <w:spacing w:after="0" w:line="95" w:lineRule="exact"/>
              <w:rPr>
                <w:sz w:val="20"/>
                <w:szCs w:val="20"/>
                <w:color w:val="auto"/>
              </w:rPr>
            </w:pPr>
            <w:r>
              <w:rPr>
                <w:rFonts w:ascii="Arial" w:cs="Arial" w:eastAsia="Arial" w:hAnsi="Arial"/>
                <w:sz w:val="10"/>
                <w:szCs w:val="10"/>
                <w:color w:val="231F20"/>
              </w:rPr>
              <w:t>investment from</w:t>
            </w:r>
          </w:p>
        </w:tc>
        <w:tc>
          <w:tcPr>
            <w:tcW w:w="220" w:type="dxa"/>
            <w:vAlign w:val="bottom"/>
            <w:tcBorders>
              <w:right w:val="single" w:sz="8" w:color="231F20"/>
            </w:tcBorders>
            <w:shd w:val="clear" w:color="auto" w:fill="F3F3F3"/>
          </w:tcPr>
          <w:p>
            <w:pPr>
              <w:spacing w:after="0"/>
              <w:rPr>
                <w:sz w:val="8"/>
                <w:szCs w:val="8"/>
                <w:color w:val="auto"/>
              </w:rPr>
            </w:pPr>
          </w:p>
        </w:tc>
        <w:tc>
          <w:tcPr>
            <w:tcW w:w="40" w:type="dxa"/>
            <w:vAlign w:val="bottom"/>
            <w:shd w:val="clear" w:color="auto" w:fill="F3F3F3"/>
          </w:tcPr>
          <w:p>
            <w:pPr>
              <w:spacing w:after="0"/>
              <w:rPr>
                <w:sz w:val="8"/>
                <w:szCs w:val="8"/>
                <w:color w:val="auto"/>
              </w:rPr>
            </w:pPr>
          </w:p>
        </w:tc>
        <w:tc>
          <w:tcPr>
            <w:tcW w:w="1140" w:type="dxa"/>
            <w:vAlign w:val="bottom"/>
            <w:tcBorders>
              <w:right w:val="single" w:sz="8" w:color="231F20"/>
            </w:tcBorders>
            <w:shd w:val="clear" w:color="auto" w:fill="F3F3F3"/>
          </w:tcPr>
          <w:p>
            <w:pPr>
              <w:ind w:left="20"/>
              <w:spacing w:after="0" w:line="95" w:lineRule="exact"/>
              <w:rPr>
                <w:sz w:val="20"/>
                <w:szCs w:val="20"/>
                <w:color w:val="auto"/>
              </w:rPr>
            </w:pPr>
            <w:r>
              <w:rPr>
                <w:rFonts w:ascii="Arial" w:cs="Arial" w:eastAsia="Arial" w:hAnsi="Arial"/>
                <w:sz w:val="10"/>
                <w:szCs w:val="10"/>
                <w:color w:val="231F20"/>
              </w:rPr>
              <w:t>Expanded into Asia with</w:t>
            </w:r>
          </w:p>
        </w:tc>
        <w:tc>
          <w:tcPr>
            <w:tcW w:w="20" w:type="dxa"/>
            <w:vAlign w:val="bottom"/>
            <w:shd w:val="clear" w:color="auto" w:fill="F3F3F3"/>
          </w:tcPr>
          <w:p>
            <w:pPr>
              <w:spacing w:after="0"/>
              <w:rPr>
                <w:sz w:val="8"/>
                <w:szCs w:val="8"/>
                <w:color w:val="auto"/>
              </w:rPr>
            </w:pPr>
          </w:p>
        </w:tc>
        <w:tc>
          <w:tcPr>
            <w:tcW w:w="1380" w:type="dxa"/>
            <w:vAlign w:val="bottom"/>
            <w:tcBorders>
              <w:right w:val="single" w:sz="8" w:color="231F20"/>
            </w:tcBorders>
            <w:shd w:val="clear" w:color="auto" w:fill="F3F3F3"/>
          </w:tcPr>
          <w:p>
            <w:pPr>
              <w:ind w:left="20"/>
              <w:spacing w:after="0" w:line="95" w:lineRule="exact"/>
              <w:rPr>
                <w:sz w:val="20"/>
                <w:szCs w:val="20"/>
                <w:color w:val="auto"/>
              </w:rPr>
            </w:pPr>
            <w:r>
              <w:rPr>
                <w:rFonts w:ascii="Arial" w:cs="Arial" w:eastAsia="Arial" w:hAnsi="Arial"/>
                <w:sz w:val="10"/>
                <w:szCs w:val="10"/>
                <w:color w:val="231F20"/>
              </w:rPr>
              <w:t>Retail client sector</w:t>
            </w:r>
          </w:p>
        </w:tc>
        <w:tc>
          <w:tcPr>
            <w:tcW w:w="1220" w:type="dxa"/>
            <w:vAlign w:val="bottom"/>
            <w:tcBorders>
              <w:right w:val="single" w:sz="8" w:color="231F20"/>
            </w:tcBorders>
            <w:shd w:val="clear" w:color="auto" w:fill="F3F3F3"/>
          </w:tcPr>
          <w:p>
            <w:pPr>
              <w:ind w:left="40"/>
              <w:spacing w:after="0" w:line="95" w:lineRule="exact"/>
              <w:rPr>
                <w:sz w:val="20"/>
                <w:szCs w:val="20"/>
                <w:color w:val="auto"/>
              </w:rPr>
            </w:pPr>
            <w:r>
              <w:rPr>
                <w:rFonts w:ascii="Arial" w:cs="Arial" w:eastAsia="Arial" w:hAnsi="Arial"/>
                <w:sz w:val="10"/>
                <w:szCs w:val="10"/>
                <w:color w:val="231F20"/>
              </w:rPr>
              <w:t>Acquired BondDesk to</w:t>
            </w:r>
          </w:p>
        </w:tc>
        <w:tc>
          <w:tcPr>
            <w:tcW w:w="1200" w:type="dxa"/>
            <w:vAlign w:val="bottom"/>
            <w:tcBorders>
              <w:right w:val="single" w:sz="8" w:color="231F20"/>
            </w:tcBorders>
            <w:shd w:val="clear" w:color="auto" w:fill="F3F3F3"/>
          </w:tcPr>
          <w:p>
            <w:pPr>
              <w:spacing w:after="0"/>
              <w:rPr>
                <w:sz w:val="8"/>
                <w:szCs w:val="8"/>
                <w:color w:val="auto"/>
              </w:rPr>
            </w:pPr>
          </w:p>
        </w:tc>
        <w:tc>
          <w:tcPr>
            <w:tcW w:w="1380" w:type="dxa"/>
            <w:vAlign w:val="bottom"/>
            <w:tcBorders>
              <w:right w:val="single" w:sz="8" w:color="231F20"/>
            </w:tcBorders>
            <w:shd w:val="clear" w:color="auto" w:fill="F3F3F3"/>
          </w:tcPr>
          <w:p>
            <w:pPr>
              <w:spacing w:after="0"/>
              <w:rPr>
                <w:sz w:val="8"/>
                <w:szCs w:val="8"/>
                <w:color w:val="auto"/>
              </w:rPr>
            </w:pPr>
          </w:p>
        </w:tc>
        <w:tc>
          <w:tcPr>
            <w:tcW w:w="600" w:type="dxa"/>
            <w:vAlign w:val="bottom"/>
            <w:shd w:val="clear" w:color="auto" w:fill="F3F3F3"/>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ind w:left="40"/>
              <w:spacing w:after="0" w:line="81" w:lineRule="exact"/>
              <w:rPr>
                <w:sz w:val="20"/>
                <w:szCs w:val="20"/>
                <w:color w:val="auto"/>
              </w:rPr>
            </w:pPr>
            <w:r>
              <w:rPr>
                <w:rFonts w:ascii="Arial" w:cs="Arial" w:eastAsia="Arial" w:hAnsi="Arial"/>
                <w:sz w:val="9"/>
                <w:szCs w:val="9"/>
                <w:color w:val="231F20"/>
              </w:rPr>
              <w:t>4 banks in the U.S.</w:t>
            </w: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color w:val="231F20"/>
              </w:rPr>
              <w:t>opening of Singapore</w:t>
            </w: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b w:val="1"/>
                <w:bCs w:val="1"/>
                <w:color w:val="231F20"/>
              </w:rPr>
              <w:t>2008</w:t>
            </w:r>
          </w:p>
        </w:tc>
        <w:tc>
          <w:tcPr>
            <w:tcW w:w="122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expand Retail client sector</w:t>
            </w:r>
          </w:p>
        </w:tc>
        <w:tc>
          <w:tcPr>
            <w:tcW w:w="1200" w:type="dxa"/>
            <w:vAlign w:val="bottom"/>
            <w:tcBorders>
              <w:right w:val="single" w:sz="8" w:color="231F20"/>
            </w:tcBorders>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spacing w:after="0"/>
              <w:rPr>
                <w:sz w:val="7"/>
                <w:szCs w:val="7"/>
                <w:color w:val="auto"/>
              </w:rPr>
            </w:pPr>
          </w:p>
        </w:tc>
        <w:tc>
          <w:tcPr>
            <w:tcW w:w="600" w:type="dxa"/>
            <w:vAlign w:val="bottom"/>
            <w:shd w:val="clear" w:color="auto" w:fill="F3F3F3"/>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and Hong Kong offices</w:t>
            </w: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color w:val="231F20"/>
              </w:rPr>
              <w:t>Acquired Hillard Farber &amp; Co.</w:t>
            </w:r>
          </w:p>
        </w:tc>
        <w:tc>
          <w:tcPr>
            <w:tcW w:w="1220" w:type="dxa"/>
            <w:vAlign w:val="bottom"/>
            <w:tcBorders>
              <w:right w:val="single" w:sz="8" w:color="231F20"/>
            </w:tcBorders>
            <w:shd w:val="clear" w:color="auto" w:fill="F3F3F3"/>
          </w:tcPr>
          <w:p>
            <w:pPr>
              <w:ind w:left="40"/>
              <w:spacing w:after="0"/>
              <w:rPr>
                <w:sz w:val="20"/>
                <w:szCs w:val="20"/>
                <w:color w:val="auto"/>
              </w:rPr>
            </w:pPr>
            <w:r>
              <w:rPr>
                <w:rFonts w:ascii="Arial" w:cs="Arial" w:eastAsia="Arial" w:hAnsi="Arial"/>
                <w:sz w:val="10"/>
                <w:szCs w:val="10"/>
                <w:color w:val="231F20"/>
              </w:rPr>
              <w:t>presence</w:t>
            </w: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860" w:type="dxa"/>
            <w:vAlign w:val="bottom"/>
            <w:shd w:val="clear" w:color="auto" w:fill="E9EAEB"/>
          </w:tcPr>
          <w:p>
            <w:pPr>
              <w:spacing w:after="0"/>
              <w:rPr>
                <w:sz w:val="2"/>
                <w:szCs w:val="2"/>
                <w:color w:val="auto"/>
              </w:rPr>
            </w:pPr>
          </w:p>
        </w:tc>
        <w:tc>
          <w:tcPr>
            <w:tcW w:w="100" w:type="dxa"/>
            <w:vAlign w:val="bottom"/>
            <w:tcBorders>
              <w:right w:val="single" w:sz="8" w:color="231F20"/>
            </w:tcBorders>
            <w:shd w:val="clear" w:color="auto" w:fill="E9EAEB"/>
          </w:tcPr>
          <w:p>
            <w:pPr>
              <w:spacing w:after="0"/>
              <w:rPr>
                <w:sz w:val="2"/>
                <w:szCs w:val="2"/>
                <w:color w:val="auto"/>
              </w:rPr>
            </w:pPr>
          </w:p>
        </w:tc>
        <w:tc>
          <w:tcPr>
            <w:tcW w:w="900" w:type="dxa"/>
            <w:vAlign w:val="bottom"/>
            <w:shd w:val="clear" w:color="auto" w:fill="F3F3F3"/>
          </w:tcPr>
          <w:p>
            <w:pPr>
              <w:spacing w:after="0"/>
              <w:rPr>
                <w:sz w:val="2"/>
                <w:szCs w:val="2"/>
                <w:color w:val="auto"/>
              </w:rPr>
            </w:pPr>
          </w:p>
        </w:tc>
        <w:tc>
          <w:tcPr>
            <w:tcW w:w="220" w:type="dxa"/>
            <w:vAlign w:val="bottom"/>
            <w:tcBorders>
              <w:right w:val="single" w:sz="8" w:color="231F20"/>
            </w:tcBorders>
            <w:shd w:val="clear" w:color="auto" w:fill="F3F3F3"/>
          </w:tcPr>
          <w:p>
            <w:pPr>
              <w:spacing w:after="0"/>
              <w:rPr>
                <w:sz w:val="2"/>
                <w:szCs w:val="2"/>
                <w:color w:val="auto"/>
              </w:rPr>
            </w:pPr>
          </w:p>
        </w:tc>
        <w:tc>
          <w:tcPr>
            <w:tcW w:w="40" w:type="dxa"/>
            <w:vAlign w:val="bottom"/>
            <w:shd w:val="clear" w:color="auto" w:fill="F3F3F3"/>
          </w:tcPr>
          <w:p>
            <w:pPr>
              <w:spacing w:after="0"/>
              <w:rPr>
                <w:sz w:val="2"/>
                <w:szCs w:val="2"/>
                <w:color w:val="auto"/>
              </w:rPr>
            </w:pPr>
          </w:p>
        </w:tc>
        <w:tc>
          <w:tcPr>
            <w:tcW w:w="1140" w:type="dxa"/>
            <w:vAlign w:val="bottom"/>
            <w:tcBorders>
              <w:right w:val="single" w:sz="8" w:color="231F20"/>
            </w:tcBorders>
            <w:shd w:val="clear" w:color="auto" w:fill="F3F3F3"/>
          </w:tcPr>
          <w:p>
            <w:pPr>
              <w:spacing w:after="0"/>
              <w:rPr>
                <w:sz w:val="2"/>
                <w:szCs w:val="2"/>
                <w:color w:val="auto"/>
              </w:rPr>
            </w:pPr>
          </w:p>
        </w:tc>
        <w:tc>
          <w:tcPr>
            <w:tcW w:w="20" w:type="dxa"/>
            <w:vAlign w:val="bottom"/>
            <w:shd w:val="clear" w:color="auto" w:fill="F3F3F3"/>
          </w:tcPr>
          <w:p>
            <w:pPr>
              <w:spacing w:after="0"/>
              <w:rPr>
                <w:sz w:val="2"/>
                <w:szCs w:val="2"/>
                <w:color w:val="auto"/>
              </w:rPr>
            </w:pPr>
          </w:p>
        </w:tc>
        <w:tc>
          <w:tcPr>
            <w:tcW w:w="1380" w:type="dxa"/>
            <w:vAlign w:val="bottom"/>
            <w:tcBorders>
              <w:right w:val="single" w:sz="8" w:color="231F20"/>
            </w:tcBorders>
            <w:vMerge w:val="continue"/>
            <w:shd w:val="clear" w:color="auto" w:fill="F3F3F3"/>
          </w:tcPr>
          <w:p>
            <w:pPr>
              <w:spacing w:after="0"/>
              <w:rPr>
                <w:sz w:val="2"/>
                <w:szCs w:val="2"/>
                <w:color w:val="auto"/>
              </w:rPr>
            </w:pPr>
          </w:p>
        </w:tc>
        <w:tc>
          <w:tcPr>
            <w:tcW w:w="1220" w:type="dxa"/>
            <w:vAlign w:val="bottom"/>
            <w:tcBorders>
              <w:right w:val="single" w:sz="8" w:color="231F20"/>
            </w:tcBorders>
            <w:shd w:val="clear" w:color="auto" w:fill="F3F3F3"/>
          </w:tcPr>
          <w:p>
            <w:pPr>
              <w:spacing w:after="0"/>
              <w:rPr>
                <w:sz w:val="2"/>
                <w:szCs w:val="2"/>
                <w:color w:val="auto"/>
              </w:rPr>
            </w:pPr>
          </w:p>
        </w:tc>
        <w:tc>
          <w:tcPr>
            <w:tcW w:w="1200" w:type="dxa"/>
            <w:vAlign w:val="bottom"/>
            <w:tcBorders>
              <w:right w:val="single" w:sz="8" w:color="231F20"/>
            </w:tcBorders>
            <w:shd w:val="clear" w:color="auto" w:fill="F3F3F3"/>
          </w:tcPr>
          <w:p>
            <w:pPr>
              <w:spacing w:after="0"/>
              <w:rPr>
                <w:sz w:val="2"/>
                <w:szCs w:val="2"/>
                <w:color w:val="auto"/>
              </w:rPr>
            </w:pPr>
          </w:p>
        </w:tc>
        <w:tc>
          <w:tcPr>
            <w:tcW w:w="1380" w:type="dxa"/>
            <w:vAlign w:val="bottom"/>
            <w:tcBorders>
              <w:right w:val="single" w:sz="8" w:color="231F20"/>
            </w:tcBorders>
            <w:shd w:val="clear" w:color="auto" w:fill="F3F3F3"/>
          </w:tcPr>
          <w:p>
            <w:pPr>
              <w:spacing w:after="0"/>
              <w:rPr>
                <w:sz w:val="2"/>
                <w:szCs w:val="2"/>
                <w:color w:val="auto"/>
              </w:rPr>
            </w:pPr>
          </w:p>
        </w:tc>
        <w:tc>
          <w:tcPr>
            <w:tcW w:w="600" w:type="dxa"/>
            <w:vAlign w:val="bottom"/>
            <w:shd w:val="clear" w:color="auto" w:fill="F3F3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spacing w:after="0"/>
              <w:rPr>
                <w:sz w:val="7"/>
                <w:szCs w:val="7"/>
                <w:color w:val="auto"/>
              </w:rPr>
            </w:pP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shd w:val="clear" w:color="auto" w:fill="F3F3F3"/>
          </w:tcPr>
          <w:p>
            <w:pPr>
              <w:spacing w:after="0"/>
              <w:rPr>
                <w:sz w:val="7"/>
                <w:szCs w:val="7"/>
                <w:color w:val="auto"/>
              </w:rPr>
            </w:pP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color w:val="231F20"/>
              </w:rPr>
              <w:t>Inc. to enter Wholesale client</w:t>
            </w:r>
          </w:p>
        </w:tc>
        <w:tc>
          <w:tcPr>
            <w:tcW w:w="1220" w:type="dxa"/>
            <w:vAlign w:val="bottom"/>
            <w:tcBorders>
              <w:right w:val="single" w:sz="8" w:color="231F20"/>
            </w:tcBorders>
            <w:shd w:val="clear" w:color="auto" w:fill="F3F3F3"/>
          </w:tcPr>
          <w:p>
            <w:pPr>
              <w:spacing w:after="0"/>
              <w:rPr>
                <w:sz w:val="7"/>
                <w:szCs w:val="7"/>
                <w:color w:val="auto"/>
              </w:rPr>
            </w:pPr>
          </w:p>
        </w:tc>
        <w:tc>
          <w:tcPr>
            <w:tcW w:w="1200" w:type="dxa"/>
            <w:vAlign w:val="bottom"/>
            <w:tcBorders>
              <w:right w:val="single" w:sz="8" w:color="231F20"/>
            </w:tcBorders>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spacing w:after="0"/>
              <w:rPr>
                <w:sz w:val="7"/>
                <w:szCs w:val="7"/>
                <w:color w:val="auto"/>
              </w:rPr>
            </w:pPr>
          </w:p>
        </w:tc>
        <w:tc>
          <w:tcPr>
            <w:tcW w:w="600" w:type="dxa"/>
            <w:vAlign w:val="bottom"/>
            <w:shd w:val="clear" w:color="auto" w:fill="F3F3F3"/>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spacing w:after="0"/>
              <w:rPr>
                <w:sz w:val="10"/>
                <w:szCs w:val="10"/>
                <w:color w:val="auto"/>
              </w:rPr>
            </w:pP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sector</w:t>
            </w:r>
          </w:p>
        </w:tc>
        <w:tc>
          <w:tcPr>
            <w:tcW w:w="1220" w:type="dxa"/>
            <w:vAlign w:val="bottom"/>
            <w:tcBorders>
              <w:right w:val="single" w:sz="8" w:color="231F20"/>
            </w:tcBorders>
            <w:shd w:val="clear" w:color="auto" w:fill="F3F3F3"/>
          </w:tcPr>
          <w:p>
            <w:pPr>
              <w:spacing w:after="0"/>
              <w:rPr>
                <w:sz w:val="10"/>
                <w:szCs w:val="10"/>
                <w:color w:val="auto"/>
              </w:rPr>
            </w:pP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389"/>
        </w:trPr>
        <w:tc>
          <w:tcPr>
            <w:tcW w:w="860" w:type="dxa"/>
            <w:vAlign w:val="bottom"/>
            <w:tcBorders>
              <w:bottom w:val="single" w:sz="8" w:color="231F20"/>
            </w:tcBorders>
            <w:shd w:val="clear" w:color="auto" w:fill="E9EAEB"/>
          </w:tcPr>
          <w:p>
            <w:pPr>
              <w:spacing w:after="0"/>
              <w:rPr>
                <w:sz w:val="24"/>
                <w:szCs w:val="24"/>
                <w:color w:val="auto"/>
              </w:rPr>
            </w:pPr>
          </w:p>
        </w:tc>
        <w:tc>
          <w:tcPr>
            <w:tcW w:w="100" w:type="dxa"/>
            <w:vAlign w:val="bottom"/>
            <w:tcBorders>
              <w:bottom w:val="single" w:sz="8" w:color="231F20"/>
              <w:right w:val="single" w:sz="8" w:color="231F20"/>
            </w:tcBorders>
            <w:shd w:val="clear" w:color="auto" w:fill="E9EAEB"/>
          </w:tcPr>
          <w:p>
            <w:pPr>
              <w:spacing w:after="0"/>
              <w:rPr>
                <w:sz w:val="24"/>
                <w:szCs w:val="24"/>
                <w:color w:val="auto"/>
              </w:rPr>
            </w:pPr>
          </w:p>
        </w:tc>
        <w:tc>
          <w:tcPr>
            <w:tcW w:w="900" w:type="dxa"/>
            <w:vAlign w:val="bottom"/>
            <w:tcBorders>
              <w:bottom w:val="single" w:sz="8" w:color="231F20"/>
            </w:tcBorders>
            <w:shd w:val="clear" w:color="auto" w:fill="F3F3F3"/>
          </w:tcPr>
          <w:p>
            <w:pPr>
              <w:spacing w:after="0"/>
              <w:rPr>
                <w:sz w:val="24"/>
                <w:szCs w:val="24"/>
                <w:color w:val="auto"/>
              </w:rPr>
            </w:pPr>
          </w:p>
        </w:tc>
        <w:tc>
          <w:tcPr>
            <w:tcW w:w="220" w:type="dxa"/>
            <w:vAlign w:val="bottom"/>
            <w:tcBorders>
              <w:bottom w:val="single" w:sz="8" w:color="231F20"/>
              <w:right w:val="single" w:sz="8" w:color="231F20"/>
            </w:tcBorders>
            <w:shd w:val="clear" w:color="auto" w:fill="F3F3F3"/>
          </w:tcPr>
          <w:p>
            <w:pPr>
              <w:spacing w:after="0"/>
              <w:rPr>
                <w:sz w:val="24"/>
                <w:szCs w:val="24"/>
                <w:color w:val="auto"/>
              </w:rPr>
            </w:pPr>
          </w:p>
        </w:tc>
        <w:tc>
          <w:tcPr>
            <w:tcW w:w="40" w:type="dxa"/>
            <w:vAlign w:val="bottom"/>
            <w:tcBorders>
              <w:bottom w:val="single" w:sz="8" w:color="231F20"/>
            </w:tcBorders>
            <w:shd w:val="clear" w:color="auto" w:fill="F3F3F3"/>
          </w:tcPr>
          <w:p>
            <w:pPr>
              <w:spacing w:after="0"/>
              <w:rPr>
                <w:sz w:val="24"/>
                <w:szCs w:val="24"/>
                <w:color w:val="auto"/>
              </w:rPr>
            </w:pPr>
          </w:p>
        </w:tc>
        <w:tc>
          <w:tcPr>
            <w:tcW w:w="1140" w:type="dxa"/>
            <w:vAlign w:val="bottom"/>
            <w:tcBorders>
              <w:bottom w:val="single" w:sz="8" w:color="231F20"/>
              <w:right w:val="single" w:sz="8" w:color="231F20"/>
            </w:tcBorders>
            <w:shd w:val="clear" w:color="auto" w:fill="F3F3F3"/>
          </w:tcPr>
          <w:p>
            <w:pPr>
              <w:spacing w:after="0"/>
              <w:rPr>
                <w:sz w:val="24"/>
                <w:szCs w:val="24"/>
                <w:color w:val="auto"/>
              </w:rPr>
            </w:pPr>
          </w:p>
        </w:tc>
        <w:tc>
          <w:tcPr>
            <w:tcW w:w="20" w:type="dxa"/>
            <w:vAlign w:val="bottom"/>
            <w:tcBorders>
              <w:bottom w:val="single" w:sz="8" w:color="231F20"/>
            </w:tcBorders>
            <w:shd w:val="clear" w:color="auto" w:fill="F3F3F3"/>
          </w:tcPr>
          <w:p>
            <w:pPr>
              <w:spacing w:after="0"/>
              <w:rPr>
                <w:sz w:val="24"/>
                <w:szCs w:val="24"/>
                <w:color w:val="auto"/>
              </w:rPr>
            </w:pPr>
          </w:p>
        </w:tc>
        <w:tc>
          <w:tcPr>
            <w:tcW w:w="1380" w:type="dxa"/>
            <w:vAlign w:val="bottom"/>
            <w:tcBorders>
              <w:bottom w:val="single" w:sz="8" w:color="231F20"/>
              <w:right w:val="single" w:sz="8" w:color="231F20"/>
            </w:tcBorders>
            <w:shd w:val="clear" w:color="auto" w:fill="F3F3F3"/>
          </w:tcPr>
          <w:p>
            <w:pPr>
              <w:spacing w:after="0"/>
              <w:rPr>
                <w:sz w:val="24"/>
                <w:szCs w:val="24"/>
                <w:color w:val="auto"/>
              </w:rPr>
            </w:pPr>
          </w:p>
        </w:tc>
        <w:tc>
          <w:tcPr>
            <w:tcW w:w="1220" w:type="dxa"/>
            <w:vAlign w:val="bottom"/>
            <w:tcBorders>
              <w:bottom w:val="single" w:sz="8" w:color="231F20"/>
              <w:right w:val="single" w:sz="8" w:color="231F20"/>
            </w:tcBorders>
            <w:shd w:val="clear" w:color="auto" w:fill="F3F3F3"/>
          </w:tcPr>
          <w:p>
            <w:pPr>
              <w:spacing w:after="0"/>
              <w:rPr>
                <w:sz w:val="24"/>
                <w:szCs w:val="24"/>
                <w:color w:val="auto"/>
              </w:rPr>
            </w:pPr>
          </w:p>
        </w:tc>
        <w:tc>
          <w:tcPr>
            <w:tcW w:w="1200" w:type="dxa"/>
            <w:vAlign w:val="bottom"/>
            <w:tcBorders>
              <w:bottom w:val="single" w:sz="8" w:color="231F20"/>
              <w:right w:val="single" w:sz="8" w:color="231F20"/>
            </w:tcBorders>
            <w:shd w:val="clear" w:color="auto" w:fill="F3F3F3"/>
          </w:tcPr>
          <w:p>
            <w:pPr>
              <w:spacing w:after="0"/>
              <w:rPr>
                <w:sz w:val="24"/>
                <w:szCs w:val="24"/>
                <w:color w:val="auto"/>
              </w:rPr>
            </w:pPr>
          </w:p>
        </w:tc>
        <w:tc>
          <w:tcPr>
            <w:tcW w:w="1380" w:type="dxa"/>
            <w:vAlign w:val="bottom"/>
            <w:tcBorders>
              <w:bottom w:val="single" w:sz="8" w:color="231F20"/>
              <w:right w:val="single" w:sz="8" w:color="231F20"/>
            </w:tcBorders>
            <w:shd w:val="clear" w:color="auto" w:fill="F3F3F3"/>
          </w:tcPr>
          <w:p>
            <w:pPr>
              <w:spacing w:after="0"/>
              <w:rPr>
                <w:sz w:val="24"/>
                <w:szCs w:val="24"/>
                <w:color w:val="auto"/>
              </w:rPr>
            </w:pPr>
          </w:p>
        </w:tc>
        <w:tc>
          <w:tcPr>
            <w:tcW w:w="600" w:type="dxa"/>
            <w:vAlign w:val="bottom"/>
            <w:tcBorders>
              <w:bottom w:val="single" w:sz="8" w:color="231F20"/>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60" w:type="dxa"/>
            <w:vAlign w:val="bottom"/>
            <w:shd w:val="clear" w:color="auto" w:fill="E9EAEB"/>
          </w:tcPr>
          <w:p>
            <w:pPr>
              <w:ind w:left="80"/>
              <w:spacing w:after="0" w:line="102" w:lineRule="exact"/>
              <w:rPr>
                <w:sz w:val="20"/>
                <w:szCs w:val="20"/>
                <w:color w:val="auto"/>
              </w:rPr>
            </w:pPr>
            <w:r>
              <w:rPr>
                <w:rFonts w:ascii="Arial" w:cs="Arial" w:eastAsia="Arial" w:hAnsi="Arial"/>
                <w:sz w:val="10"/>
                <w:szCs w:val="10"/>
                <w:b w:val="1"/>
                <w:bCs w:val="1"/>
                <w:color w:val="231F20"/>
              </w:rPr>
              <w:t>MAJOR</w:t>
            </w:r>
          </w:p>
        </w:tc>
        <w:tc>
          <w:tcPr>
            <w:tcW w:w="100" w:type="dxa"/>
            <w:vAlign w:val="bottom"/>
            <w:tcBorders>
              <w:right w:val="single" w:sz="8" w:color="231F20"/>
            </w:tcBorders>
            <w:shd w:val="clear" w:color="auto" w:fill="E9EAEB"/>
          </w:tcPr>
          <w:p>
            <w:pPr>
              <w:spacing w:after="0"/>
              <w:rPr>
                <w:sz w:val="8"/>
                <w:szCs w:val="8"/>
                <w:color w:val="auto"/>
              </w:rPr>
            </w:pPr>
          </w:p>
        </w:tc>
        <w:tc>
          <w:tcPr>
            <w:tcW w:w="900" w:type="dxa"/>
            <w:vAlign w:val="bottom"/>
            <w:shd w:val="clear" w:color="auto" w:fill="F3F3F3"/>
          </w:tcPr>
          <w:p>
            <w:pPr>
              <w:ind w:left="40"/>
              <w:spacing w:after="0" w:line="102" w:lineRule="exact"/>
              <w:rPr>
                <w:sz w:val="20"/>
                <w:szCs w:val="20"/>
                <w:color w:val="auto"/>
              </w:rPr>
            </w:pPr>
            <w:r>
              <w:rPr>
                <w:rFonts w:ascii="Arial" w:cs="Arial" w:eastAsia="Arial" w:hAnsi="Arial"/>
                <w:sz w:val="10"/>
                <w:szCs w:val="10"/>
                <w:b w:val="1"/>
                <w:bCs w:val="1"/>
                <w:color w:val="231F20"/>
              </w:rPr>
              <w:t>1998</w:t>
            </w:r>
          </w:p>
        </w:tc>
        <w:tc>
          <w:tcPr>
            <w:tcW w:w="220" w:type="dxa"/>
            <w:vAlign w:val="bottom"/>
            <w:tcBorders>
              <w:right w:val="single" w:sz="8" w:color="231F20"/>
            </w:tcBorders>
            <w:shd w:val="clear" w:color="auto" w:fill="F3F3F3"/>
          </w:tcPr>
          <w:p>
            <w:pPr>
              <w:spacing w:after="0"/>
              <w:rPr>
                <w:sz w:val="8"/>
                <w:szCs w:val="8"/>
                <w:color w:val="auto"/>
              </w:rPr>
            </w:pPr>
          </w:p>
        </w:tc>
        <w:tc>
          <w:tcPr>
            <w:tcW w:w="40" w:type="dxa"/>
            <w:vAlign w:val="bottom"/>
            <w:shd w:val="clear" w:color="auto" w:fill="F3F3F3"/>
          </w:tcPr>
          <w:p>
            <w:pPr>
              <w:spacing w:after="0"/>
              <w:rPr>
                <w:sz w:val="8"/>
                <w:szCs w:val="8"/>
                <w:color w:val="auto"/>
              </w:rPr>
            </w:pPr>
          </w:p>
        </w:tc>
        <w:tc>
          <w:tcPr>
            <w:tcW w:w="1140" w:type="dxa"/>
            <w:vAlign w:val="bottom"/>
            <w:tcBorders>
              <w:right w:val="single" w:sz="8" w:color="231F20"/>
            </w:tcBorders>
            <w:shd w:val="clear" w:color="auto" w:fill="F3F3F3"/>
          </w:tcPr>
          <w:p>
            <w:pPr>
              <w:ind w:left="20"/>
              <w:spacing w:after="0" w:line="102" w:lineRule="exact"/>
              <w:rPr>
                <w:sz w:val="20"/>
                <w:szCs w:val="20"/>
                <w:color w:val="auto"/>
              </w:rPr>
            </w:pPr>
            <w:r>
              <w:rPr>
                <w:rFonts w:ascii="Arial" w:cs="Arial" w:eastAsia="Arial" w:hAnsi="Arial"/>
                <w:sz w:val="10"/>
                <w:szCs w:val="10"/>
                <w:b w:val="1"/>
                <w:bCs w:val="1"/>
                <w:color w:val="231F20"/>
              </w:rPr>
              <w:t>2000</w:t>
            </w:r>
          </w:p>
        </w:tc>
        <w:tc>
          <w:tcPr>
            <w:tcW w:w="20" w:type="dxa"/>
            <w:vAlign w:val="bottom"/>
            <w:shd w:val="clear" w:color="auto" w:fill="F3F3F3"/>
          </w:tcPr>
          <w:p>
            <w:pPr>
              <w:spacing w:after="0"/>
              <w:rPr>
                <w:sz w:val="8"/>
                <w:szCs w:val="8"/>
                <w:color w:val="auto"/>
              </w:rPr>
            </w:pPr>
          </w:p>
        </w:tc>
        <w:tc>
          <w:tcPr>
            <w:tcW w:w="1380" w:type="dxa"/>
            <w:vAlign w:val="bottom"/>
            <w:tcBorders>
              <w:right w:val="single" w:sz="8" w:color="231F20"/>
            </w:tcBorders>
            <w:shd w:val="clear" w:color="auto" w:fill="F3F3F3"/>
          </w:tcPr>
          <w:p>
            <w:pPr>
              <w:ind w:left="20"/>
              <w:spacing w:after="0" w:line="102" w:lineRule="exact"/>
              <w:rPr>
                <w:sz w:val="20"/>
                <w:szCs w:val="20"/>
                <w:color w:val="auto"/>
              </w:rPr>
            </w:pPr>
            <w:r>
              <w:rPr>
                <w:rFonts w:ascii="Arial" w:cs="Arial" w:eastAsia="Arial" w:hAnsi="Arial"/>
                <w:sz w:val="10"/>
                <w:szCs w:val="10"/>
                <w:b w:val="1"/>
                <w:bCs w:val="1"/>
                <w:color w:val="231F20"/>
              </w:rPr>
              <w:t>2005</w:t>
            </w:r>
          </w:p>
        </w:tc>
        <w:tc>
          <w:tcPr>
            <w:tcW w:w="1220" w:type="dxa"/>
            <w:vAlign w:val="bottom"/>
            <w:tcBorders>
              <w:right w:val="single" w:sz="8" w:color="231F20"/>
            </w:tcBorders>
            <w:shd w:val="clear" w:color="auto" w:fill="F3F3F3"/>
          </w:tcPr>
          <w:p>
            <w:pPr>
              <w:ind w:left="40"/>
              <w:spacing w:after="0" w:line="102" w:lineRule="exact"/>
              <w:rPr>
                <w:sz w:val="20"/>
                <w:szCs w:val="20"/>
                <w:color w:val="auto"/>
              </w:rPr>
            </w:pPr>
            <w:r>
              <w:rPr>
                <w:rFonts w:ascii="Arial" w:cs="Arial" w:eastAsia="Arial" w:hAnsi="Arial"/>
                <w:sz w:val="10"/>
                <w:szCs w:val="10"/>
                <w:b w:val="1"/>
                <w:bCs w:val="1"/>
                <w:color w:val="231F20"/>
              </w:rPr>
              <w:t>2010</w:t>
            </w:r>
          </w:p>
        </w:tc>
        <w:tc>
          <w:tcPr>
            <w:tcW w:w="1200" w:type="dxa"/>
            <w:vAlign w:val="bottom"/>
            <w:tcBorders>
              <w:right w:val="single" w:sz="8" w:color="231F20"/>
            </w:tcBorders>
            <w:shd w:val="clear" w:color="auto" w:fill="F3F3F3"/>
          </w:tcPr>
          <w:p>
            <w:pPr>
              <w:ind w:left="40"/>
              <w:spacing w:after="0" w:line="102" w:lineRule="exact"/>
              <w:rPr>
                <w:sz w:val="20"/>
                <w:szCs w:val="20"/>
                <w:color w:val="auto"/>
              </w:rPr>
            </w:pPr>
            <w:r>
              <w:rPr>
                <w:rFonts w:ascii="Arial" w:cs="Arial" w:eastAsia="Arial" w:hAnsi="Arial"/>
                <w:sz w:val="10"/>
                <w:szCs w:val="10"/>
                <w:b w:val="1"/>
                <w:bCs w:val="1"/>
                <w:color w:val="231F20"/>
              </w:rPr>
              <w:t>2016</w:t>
            </w:r>
          </w:p>
        </w:tc>
        <w:tc>
          <w:tcPr>
            <w:tcW w:w="1380" w:type="dxa"/>
            <w:vAlign w:val="bottom"/>
            <w:tcBorders>
              <w:right w:val="single" w:sz="8" w:color="231F20"/>
            </w:tcBorders>
            <w:shd w:val="clear" w:color="auto" w:fill="F3F3F3"/>
          </w:tcPr>
          <w:p>
            <w:pPr>
              <w:ind w:left="40"/>
              <w:spacing w:after="0" w:line="102" w:lineRule="exact"/>
              <w:rPr>
                <w:sz w:val="20"/>
                <w:szCs w:val="20"/>
                <w:color w:val="auto"/>
              </w:rPr>
            </w:pPr>
            <w:r>
              <w:rPr>
                <w:rFonts w:ascii="Arial" w:cs="Arial" w:eastAsia="Arial" w:hAnsi="Arial"/>
                <w:sz w:val="10"/>
                <w:szCs w:val="10"/>
                <w:b w:val="1"/>
                <w:bCs w:val="1"/>
                <w:color w:val="231F20"/>
              </w:rPr>
              <w:t>2018</w:t>
            </w:r>
          </w:p>
        </w:tc>
        <w:tc>
          <w:tcPr>
            <w:tcW w:w="600" w:type="dxa"/>
            <w:vAlign w:val="bottom"/>
            <w:shd w:val="clear" w:color="auto" w:fill="F3F3F3"/>
          </w:tcPr>
          <w:p>
            <w:pPr>
              <w:ind w:left="40"/>
              <w:spacing w:after="0" w:line="102" w:lineRule="exact"/>
              <w:rPr>
                <w:sz w:val="20"/>
                <w:szCs w:val="20"/>
                <w:color w:val="auto"/>
              </w:rPr>
            </w:pPr>
            <w:r>
              <w:rPr>
                <w:rFonts w:ascii="Arial" w:cs="Arial" w:eastAsia="Arial" w:hAnsi="Arial"/>
                <w:sz w:val="10"/>
                <w:szCs w:val="10"/>
                <w:b w:val="1"/>
                <w:bCs w:val="1"/>
                <w:color w:val="231F20"/>
              </w:rPr>
              <w:t>2019</w:t>
            </w:r>
          </w:p>
        </w:tc>
        <w:tc>
          <w:tcPr>
            <w:tcW w:w="0" w:type="dxa"/>
            <w:vAlign w:val="bottom"/>
          </w:tcPr>
          <w:p>
            <w:pPr>
              <w:spacing w:after="0"/>
              <w:rPr>
                <w:sz w:val="1"/>
                <w:szCs w:val="1"/>
                <w:color w:val="auto"/>
              </w:rPr>
            </w:pPr>
          </w:p>
        </w:tc>
      </w:tr>
      <w:tr>
        <w:trPr>
          <w:trHeight w:val="108"/>
        </w:trPr>
        <w:tc>
          <w:tcPr>
            <w:tcW w:w="860" w:type="dxa"/>
            <w:vAlign w:val="bottom"/>
            <w:shd w:val="clear" w:color="auto" w:fill="E9EAEB"/>
          </w:tcPr>
          <w:p>
            <w:pPr>
              <w:ind w:left="80"/>
              <w:spacing w:after="0" w:line="108" w:lineRule="exact"/>
              <w:rPr>
                <w:sz w:val="20"/>
                <w:szCs w:val="20"/>
                <w:color w:val="auto"/>
              </w:rPr>
            </w:pPr>
            <w:r>
              <w:rPr>
                <w:rFonts w:ascii="Arial" w:cs="Arial" w:eastAsia="Arial" w:hAnsi="Arial"/>
                <w:sz w:val="10"/>
                <w:szCs w:val="10"/>
                <w:b w:val="1"/>
                <w:bCs w:val="1"/>
                <w:color w:val="231F20"/>
              </w:rPr>
              <w:t>LAUNCHES</w:t>
            </w:r>
          </w:p>
        </w:tc>
        <w:tc>
          <w:tcPr>
            <w:tcW w:w="100" w:type="dxa"/>
            <w:vAlign w:val="bottom"/>
            <w:tcBorders>
              <w:right w:val="single" w:sz="8" w:color="231F20"/>
            </w:tcBorders>
            <w:shd w:val="clear" w:color="auto" w:fill="E9EAEB"/>
          </w:tcPr>
          <w:p>
            <w:pPr>
              <w:spacing w:after="0"/>
              <w:rPr>
                <w:sz w:val="9"/>
                <w:szCs w:val="9"/>
                <w:color w:val="auto"/>
              </w:rPr>
            </w:pPr>
          </w:p>
        </w:tc>
        <w:tc>
          <w:tcPr>
            <w:tcW w:w="900" w:type="dxa"/>
            <w:vAlign w:val="bottom"/>
            <w:shd w:val="clear" w:color="auto" w:fill="F3F3F3"/>
          </w:tcPr>
          <w:p>
            <w:pPr>
              <w:ind w:left="40"/>
              <w:spacing w:after="0" w:line="108" w:lineRule="exact"/>
              <w:rPr>
                <w:sz w:val="20"/>
                <w:szCs w:val="20"/>
                <w:color w:val="auto"/>
              </w:rPr>
            </w:pPr>
            <w:r>
              <w:rPr>
                <w:rFonts w:ascii="Arial" w:cs="Arial" w:eastAsia="Arial" w:hAnsi="Arial"/>
                <w:sz w:val="10"/>
                <w:szCs w:val="10"/>
                <w:color w:val="231F20"/>
              </w:rPr>
              <w:t>Entered Rates and</w:t>
            </w:r>
          </w:p>
        </w:tc>
        <w:tc>
          <w:tcPr>
            <w:tcW w:w="220" w:type="dxa"/>
            <w:vAlign w:val="bottom"/>
            <w:tcBorders>
              <w:right w:val="single" w:sz="8" w:color="231F20"/>
            </w:tcBorders>
            <w:shd w:val="clear" w:color="auto" w:fill="F3F3F3"/>
          </w:tcPr>
          <w:p>
            <w:pPr>
              <w:spacing w:after="0"/>
              <w:rPr>
                <w:sz w:val="9"/>
                <w:szCs w:val="9"/>
                <w:color w:val="auto"/>
              </w:rPr>
            </w:pPr>
          </w:p>
        </w:tc>
        <w:tc>
          <w:tcPr>
            <w:tcW w:w="40" w:type="dxa"/>
            <w:vAlign w:val="bottom"/>
            <w:shd w:val="clear" w:color="auto" w:fill="F3F3F3"/>
          </w:tcPr>
          <w:p>
            <w:pPr>
              <w:spacing w:after="0"/>
              <w:rPr>
                <w:sz w:val="9"/>
                <w:szCs w:val="9"/>
                <w:color w:val="auto"/>
              </w:rPr>
            </w:pPr>
          </w:p>
        </w:tc>
        <w:tc>
          <w:tcPr>
            <w:tcW w:w="1140" w:type="dxa"/>
            <w:vAlign w:val="bottom"/>
            <w:tcBorders>
              <w:right w:val="single" w:sz="8" w:color="231F20"/>
            </w:tcBorders>
            <w:shd w:val="clear" w:color="auto" w:fill="F3F3F3"/>
          </w:tcPr>
          <w:p>
            <w:pPr>
              <w:ind w:left="20"/>
              <w:spacing w:after="0" w:line="108" w:lineRule="exact"/>
              <w:rPr>
                <w:sz w:val="20"/>
                <w:szCs w:val="20"/>
                <w:color w:val="auto"/>
              </w:rPr>
            </w:pPr>
            <w:r>
              <w:rPr>
                <w:rFonts w:ascii="Arial" w:cs="Arial" w:eastAsia="Arial" w:hAnsi="Arial"/>
                <w:sz w:val="10"/>
                <w:szCs w:val="10"/>
                <w:color w:val="231F20"/>
              </w:rPr>
              <w:t>Launched European</w:t>
            </w:r>
          </w:p>
        </w:tc>
        <w:tc>
          <w:tcPr>
            <w:tcW w:w="20" w:type="dxa"/>
            <w:vAlign w:val="bottom"/>
            <w:shd w:val="clear" w:color="auto" w:fill="F3F3F3"/>
          </w:tcPr>
          <w:p>
            <w:pPr>
              <w:spacing w:after="0"/>
              <w:rPr>
                <w:sz w:val="9"/>
                <w:szCs w:val="9"/>
                <w:color w:val="auto"/>
              </w:rPr>
            </w:pPr>
          </w:p>
        </w:tc>
        <w:tc>
          <w:tcPr>
            <w:tcW w:w="1380" w:type="dxa"/>
            <w:vAlign w:val="bottom"/>
            <w:tcBorders>
              <w:right w:val="single" w:sz="8" w:color="231F20"/>
            </w:tcBorders>
            <w:shd w:val="clear" w:color="auto" w:fill="F3F3F3"/>
          </w:tcPr>
          <w:p>
            <w:pPr>
              <w:ind w:left="20"/>
              <w:spacing w:after="0" w:line="108" w:lineRule="exact"/>
              <w:rPr>
                <w:sz w:val="20"/>
                <w:szCs w:val="20"/>
                <w:color w:val="auto"/>
              </w:rPr>
            </w:pPr>
            <w:r>
              <w:rPr>
                <w:rFonts w:ascii="Arial" w:cs="Arial" w:eastAsia="Arial" w:hAnsi="Arial"/>
                <w:sz w:val="10"/>
                <w:szCs w:val="10"/>
                <w:color w:val="231F20"/>
              </w:rPr>
              <w:t>Launched interest rates</w:t>
            </w: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Entered Equities with</w:t>
            </w:r>
          </w:p>
        </w:tc>
        <w:tc>
          <w:tcPr>
            <w:tcW w:w="120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Launched U.S. ETFs</w:t>
            </w:r>
          </w:p>
        </w:tc>
        <w:tc>
          <w:tcPr>
            <w:tcW w:w="138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Launched APA</w:t>
            </w:r>
          </w:p>
        </w:tc>
        <w:tc>
          <w:tcPr>
            <w:tcW w:w="6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Launched</w:t>
            </w:r>
          </w:p>
        </w:tc>
        <w:tc>
          <w:tcPr>
            <w:tcW w:w="0" w:type="dxa"/>
            <w:vAlign w:val="bottom"/>
          </w:tcPr>
          <w:p>
            <w:pPr>
              <w:spacing w:after="0"/>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ind w:left="40"/>
              <w:spacing w:after="0" w:line="81" w:lineRule="exact"/>
              <w:rPr>
                <w:sz w:val="20"/>
                <w:szCs w:val="20"/>
                <w:color w:val="auto"/>
              </w:rPr>
            </w:pPr>
            <w:r>
              <w:rPr>
                <w:rFonts w:ascii="Arial" w:cs="Arial" w:eastAsia="Arial" w:hAnsi="Arial"/>
                <w:sz w:val="9"/>
                <w:szCs w:val="9"/>
                <w:color w:val="231F20"/>
              </w:rPr>
              <w:t>launched first multi-</w:t>
            </w: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color w:val="231F20"/>
              </w:rPr>
              <w:t>government bonds</w:t>
            </w: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color w:val="231F20"/>
              </w:rPr>
              <w:t>swaps</w:t>
            </w:r>
          </w:p>
        </w:tc>
        <w:tc>
          <w:tcPr>
            <w:tcW w:w="1220" w:type="dxa"/>
            <w:vAlign w:val="bottom"/>
            <w:tcBorders>
              <w:right w:val="single" w:sz="8" w:color="231F20"/>
            </w:tcBorders>
            <w:vMerge w:val="continue"/>
            <w:shd w:val="clear" w:color="auto" w:fill="F3F3F3"/>
          </w:tcPr>
          <w:p>
            <w:pPr>
              <w:spacing w:after="0"/>
              <w:rPr>
                <w:sz w:val="7"/>
                <w:szCs w:val="7"/>
                <w:color w:val="auto"/>
              </w:rPr>
            </w:pPr>
          </w:p>
        </w:tc>
        <w:tc>
          <w:tcPr>
            <w:tcW w:w="1200" w:type="dxa"/>
            <w:vAlign w:val="bottom"/>
            <w:tcBorders>
              <w:right w:val="single" w:sz="8" w:color="231F20"/>
            </w:tcBorders>
            <w:vMerge w:val="continue"/>
            <w:shd w:val="clear" w:color="auto" w:fill="F3F3F3"/>
          </w:tcPr>
          <w:p>
            <w:pPr>
              <w:spacing w:after="0"/>
              <w:rPr>
                <w:sz w:val="7"/>
                <w:szCs w:val="7"/>
                <w:color w:val="auto"/>
              </w:rPr>
            </w:pPr>
          </w:p>
        </w:tc>
        <w:tc>
          <w:tcPr>
            <w:tcW w:w="1380" w:type="dxa"/>
            <w:vAlign w:val="bottom"/>
            <w:tcBorders>
              <w:right w:val="single" w:sz="8" w:color="231F20"/>
            </w:tcBorders>
            <w:vMerge w:val="continue"/>
            <w:shd w:val="clear" w:color="auto" w:fill="F3F3F3"/>
          </w:tcPr>
          <w:p>
            <w:pPr>
              <w:spacing w:after="0"/>
              <w:rPr>
                <w:sz w:val="7"/>
                <w:szCs w:val="7"/>
                <w:color w:val="auto"/>
              </w:rPr>
            </w:pPr>
          </w:p>
        </w:tc>
        <w:tc>
          <w:tcPr>
            <w:tcW w:w="600" w:type="dxa"/>
            <w:vAlign w:val="bottom"/>
            <w:vMerge w:val="continue"/>
            <w:shd w:val="clear" w:color="auto" w:fill="F3F3F3"/>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ind w:left="40"/>
              <w:spacing w:after="0" w:line="81" w:lineRule="exact"/>
              <w:rPr>
                <w:sz w:val="20"/>
                <w:szCs w:val="20"/>
                <w:color w:val="auto"/>
              </w:rPr>
            </w:pPr>
            <w:r>
              <w:rPr>
                <w:rFonts w:ascii="Arial" w:cs="Arial" w:eastAsia="Arial" w:hAnsi="Arial"/>
                <w:sz w:val="9"/>
                <w:szCs w:val="9"/>
                <w:color w:val="231F20"/>
              </w:rPr>
              <w:t>dealer online RFQ</w:t>
            </w: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shd w:val="clear" w:color="auto" w:fill="F3F3F3"/>
          </w:tcPr>
          <w:p>
            <w:pPr>
              <w:spacing w:after="0"/>
              <w:rPr>
                <w:sz w:val="7"/>
                <w:szCs w:val="7"/>
                <w:color w:val="auto"/>
              </w:rPr>
            </w:pP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spacing w:after="0"/>
              <w:rPr>
                <w:sz w:val="7"/>
                <w:szCs w:val="7"/>
                <w:color w:val="auto"/>
              </w:rPr>
            </w:pPr>
          </w:p>
        </w:tc>
        <w:tc>
          <w:tcPr>
            <w:tcW w:w="122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European derivatives</w:t>
            </w:r>
          </w:p>
        </w:tc>
        <w:tc>
          <w:tcPr>
            <w:tcW w:w="120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b w:val="1"/>
                <w:bCs w:val="1"/>
                <w:color w:val="231F20"/>
              </w:rPr>
              <w:t>2017</w:t>
            </w:r>
          </w:p>
        </w:tc>
        <w:tc>
          <w:tcPr>
            <w:tcW w:w="138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service</w:t>
            </w:r>
          </w:p>
        </w:tc>
        <w:tc>
          <w:tcPr>
            <w:tcW w:w="600" w:type="dxa"/>
            <w:vAlign w:val="bottom"/>
            <w:shd w:val="clear" w:color="auto" w:fill="F3F3F3"/>
          </w:tcPr>
          <w:p>
            <w:pPr>
              <w:ind w:left="40"/>
              <w:spacing w:after="0" w:line="81" w:lineRule="exact"/>
              <w:rPr>
                <w:sz w:val="20"/>
                <w:szCs w:val="20"/>
                <w:color w:val="auto"/>
              </w:rPr>
            </w:pPr>
            <w:r>
              <w:rPr>
                <w:rFonts w:ascii="Arial" w:cs="Arial" w:eastAsia="Arial" w:hAnsi="Arial"/>
                <w:sz w:val="9"/>
                <w:szCs w:val="9"/>
                <w:color w:val="231F20"/>
              </w:rPr>
              <w:t>portfolio</w:t>
            </w:r>
          </w:p>
        </w:tc>
        <w:tc>
          <w:tcPr>
            <w:tcW w:w="0" w:type="dxa"/>
            <w:vAlign w:val="bottom"/>
          </w:tcPr>
          <w:p>
            <w:pPr>
              <w:spacing w:after="0"/>
              <w:rPr>
                <w:sz w:val="1"/>
                <w:szCs w:val="1"/>
                <w:color w:val="auto"/>
              </w:rPr>
            </w:pPr>
          </w:p>
        </w:tc>
      </w:tr>
      <w:tr>
        <w:trPr>
          <w:trHeight w:val="108"/>
        </w:trPr>
        <w:tc>
          <w:tcPr>
            <w:tcW w:w="860" w:type="dxa"/>
            <w:vAlign w:val="bottom"/>
            <w:shd w:val="clear" w:color="auto" w:fill="E9EAEB"/>
          </w:tcPr>
          <w:p>
            <w:pPr>
              <w:spacing w:after="0"/>
              <w:rPr>
                <w:sz w:val="9"/>
                <w:szCs w:val="9"/>
                <w:color w:val="auto"/>
              </w:rPr>
            </w:pPr>
          </w:p>
        </w:tc>
        <w:tc>
          <w:tcPr>
            <w:tcW w:w="100" w:type="dxa"/>
            <w:vAlign w:val="bottom"/>
            <w:tcBorders>
              <w:right w:val="single" w:sz="8" w:color="231F20"/>
            </w:tcBorders>
            <w:shd w:val="clear" w:color="auto" w:fill="E9EAEB"/>
          </w:tcPr>
          <w:p>
            <w:pPr>
              <w:spacing w:after="0"/>
              <w:rPr>
                <w:sz w:val="9"/>
                <w:szCs w:val="9"/>
                <w:color w:val="auto"/>
              </w:rPr>
            </w:pPr>
          </w:p>
        </w:tc>
        <w:tc>
          <w:tcPr>
            <w:tcW w:w="900" w:type="dxa"/>
            <w:vAlign w:val="bottom"/>
            <w:shd w:val="clear" w:color="auto" w:fill="F3F3F3"/>
          </w:tcPr>
          <w:p>
            <w:pPr>
              <w:ind w:left="40"/>
              <w:spacing w:after="0" w:line="108" w:lineRule="exact"/>
              <w:rPr>
                <w:sz w:val="20"/>
                <w:szCs w:val="20"/>
                <w:color w:val="auto"/>
              </w:rPr>
            </w:pPr>
            <w:r>
              <w:rPr>
                <w:rFonts w:ascii="Arial" w:cs="Arial" w:eastAsia="Arial" w:hAnsi="Arial"/>
                <w:sz w:val="10"/>
                <w:szCs w:val="10"/>
                <w:color w:val="231F20"/>
                <w:w w:val="92"/>
              </w:rPr>
              <w:t>marketplace for U.S.</w:t>
            </w:r>
          </w:p>
        </w:tc>
        <w:tc>
          <w:tcPr>
            <w:tcW w:w="220" w:type="dxa"/>
            <w:vAlign w:val="bottom"/>
            <w:tcBorders>
              <w:right w:val="single" w:sz="8" w:color="231F20"/>
            </w:tcBorders>
            <w:shd w:val="clear" w:color="auto" w:fill="F3F3F3"/>
          </w:tcPr>
          <w:p>
            <w:pPr>
              <w:spacing w:after="0"/>
              <w:rPr>
                <w:sz w:val="9"/>
                <w:szCs w:val="9"/>
                <w:color w:val="auto"/>
              </w:rPr>
            </w:pPr>
          </w:p>
        </w:tc>
        <w:tc>
          <w:tcPr>
            <w:tcW w:w="40" w:type="dxa"/>
            <w:vAlign w:val="bottom"/>
            <w:shd w:val="clear" w:color="auto" w:fill="F3F3F3"/>
          </w:tcPr>
          <w:p>
            <w:pPr>
              <w:spacing w:after="0"/>
              <w:rPr>
                <w:sz w:val="9"/>
                <w:szCs w:val="9"/>
                <w:color w:val="auto"/>
              </w:rPr>
            </w:pPr>
          </w:p>
        </w:tc>
        <w:tc>
          <w:tcPr>
            <w:tcW w:w="1140" w:type="dxa"/>
            <w:vAlign w:val="bottom"/>
            <w:tcBorders>
              <w:right w:val="single" w:sz="8" w:color="231F20"/>
            </w:tcBorders>
            <w:shd w:val="clear" w:color="auto" w:fill="F3F3F3"/>
          </w:tcPr>
          <w:p>
            <w:pPr>
              <w:ind w:left="20"/>
              <w:spacing w:after="0" w:line="108" w:lineRule="exact"/>
              <w:rPr>
                <w:sz w:val="20"/>
                <w:szCs w:val="20"/>
                <w:color w:val="auto"/>
              </w:rPr>
            </w:pPr>
            <w:r>
              <w:rPr>
                <w:rFonts w:ascii="Arial" w:cs="Arial" w:eastAsia="Arial" w:hAnsi="Arial"/>
                <w:sz w:val="10"/>
                <w:szCs w:val="10"/>
                <w:b w:val="1"/>
                <w:bCs w:val="1"/>
                <w:color w:val="231F20"/>
              </w:rPr>
              <w:t>2001</w:t>
            </w:r>
          </w:p>
        </w:tc>
        <w:tc>
          <w:tcPr>
            <w:tcW w:w="20" w:type="dxa"/>
            <w:vAlign w:val="bottom"/>
            <w:shd w:val="clear" w:color="auto" w:fill="F3F3F3"/>
          </w:tcPr>
          <w:p>
            <w:pPr>
              <w:spacing w:after="0"/>
              <w:rPr>
                <w:sz w:val="9"/>
                <w:szCs w:val="9"/>
                <w:color w:val="auto"/>
              </w:rPr>
            </w:pPr>
          </w:p>
        </w:tc>
        <w:tc>
          <w:tcPr>
            <w:tcW w:w="1380" w:type="dxa"/>
            <w:vAlign w:val="bottom"/>
            <w:tcBorders>
              <w:right w:val="single" w:sz="8" w:color="231F20"/>
            </w:tcBorders>
            <w:shd w:val="clear" w:color="auto" w:fill="F3F3F3"/>
          </w:tcPr>
          <w:p>
            <w:pPr>
              <w:ind w:left="20"/>
              <w:spacing w:after="0" w:line="108" w:lineRule="exact"/>
              <w:rPr>
                <w:sz w:val="20"/>
                <w:szCs w:val="20"/>
                <w:color w:val="auto"/>
              </w:rPr>
            </w:pPr>
            <w:r>
              <w:rPr>
                <w:rFonts w:ascii="Arial" w:cs="Arial" w:eastAsia="Arial" w:hAnsi="Arial"/>
                <w:sz w:val="10"/>
                <w:szCs w:val="10"/>
                <w:color w:val="231F20"/>
              </w:rPr>
              <w:t>Entered Credit with</w:t>
            </w: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b w:val="1"/>
                <w:bCs w:val="1"/>
                <w:color w:val="231F20"/>
              </w:rPr>
              <w:t>2012</w:t>
            </w:r>
          </w:p>
        </w:tc>
        <w:tc>
          <w:tcPr>
            <w:tcW w:w="1200" w:type="dxa"/>
            <w:vAlign w:val="bottom"/>
            <w:tcBorders>
              <w:right w:val="single" w:sz="8" w:color="231F20"/>
            </w:tcBorders>
            <w:vMerge w:val="continue"/>
            <w:shd w:val="clear" w:color="auto" w:fill="F3F3F3"/>
          </w:tcPr>
          <w:p>
            <w:pPr>
              <w:spacing w:after="0"/>
              <w:rPr>
                <w:sz w:val="9"/>
                <w:szCs w:val="9"/>
                <w:color w:val="auto"/>
              </w:rPr>
            </w:pPr>
          </w:p>
        </w:tc>
        <w:tc>
          <w:tcPr>
            <w:tcW w:w="1380" w:type="dxa"/>
            <w:vAlign w:val="bottom"/>
            <w:tcBorders>
              <w:right w:val="single" w:sz="8" w:color="231F20"/>
            </w:tcBorders>
            <w:shd w:val="clear" w:color="auto" w:fill="F3F3F3"/>
          </w:tcPr>
          <w:p>
            <w:pPr>
              <w:spacing w:after="0"/>
              <w:rPr>
                <w:sz w:val="9"/>
                <w:szCs w:val="9"/>
                <w:color w:val="auto"/>
              </w:rPr>
            </w:pPr>
          </w:p>
        </w:tc>
        <w:tc>
          <w:tcPr>
            <w:tcW w:w="600" w:type="dxa"/>
            <w:vAlign w:val="bottom"/>
            <w:shd w:val="clear" w:color="auto" w:fill="F3F3F3"/>
          </w:tcPr>
          <w:p>
            <w:pPr>
              <w:ind w:left="40"/>
              <w:spacing w:after="0" w:line="108" w:lineRule="exact"/>
              <w:rPr>
                <w:sz w:val="20"/>
                <w:szCs w:val="20"/>
                <w:color w:val="auto"/>
              </w:rPr>
            </w:pPr>
            <w:r>
              <w:rPr>
                <w:rFonts w:ascii="Arial" w:cs="Arial" w:eastAsia="Arial" w:hAnsi="Arial"/>
                <w:sz w:val="10"/>
                <w:szCs w:val="10"/>
                <w:color w:val="231F20"/>
              </w:rPr>
              <w:t>trading for</w:t>
            </w:r>
          </w:p>
        </w:tc>
        <w:tc>
          <w:tcPr>
            <w:tcW w:w="0" w:type="dxa"/>
            <w:vAlign w:val="bottom"/>
          </w:tcPr>
          <w:p>
            <w:pPr>
              <w:spacing w:after="0"/>
              <w:rPr>
                <w:sz w:val="1"/>
                <w:szCs w:val="1"/>
                <w:color w:val="auto"/>
              </w:rPr>
            </w:pPr>
          </w:p>
        </w:tc>
      </w:tr>
      <w:tr>
        <w:trPr>
          <w:trHeight w:val="68"/>
        </w:trPr>
        <w:tc>
          <w:tcPr>
            <w:tcW w:w="860" w:type="dxa"/>
            <w:vAlign w:val="bottom"/>
            <w:shd w:val="clear" w:color="auto" w:fill="E9EAEB"/>
          </w:tcPr>
          <w:p>
            <w:pPr>
              <w:spacing w:after="0"/>
              <w:rPr>
                <w:sz w:val="5"/>
                <w:szCs w:val="5"/>
                <w:color w:val="auto"/>
              </w:rPr>
            </w:pPr>
          </w:p>
        </w:tc>
        <w:tc>
          <w:tcPr>
            <w:tcW w:w="100" w:type="dxa"/>
            <w:vAlign w:val="bottom"/>
            <w:tcBorders>
              <w:right w:val="single" w:sz="8" w:color="231F20"/>
            </w:tcBorders>
            <w:shd w:val="clear" w:color="auto" w:fill="E9EAEB"/>
          </w:tcPr>
          <w:p>
            <w:pPr>
              <w:spacing w:after="0"/>
              <w:rPr>
                <w:sz w:val="5"/>
                <w:szCs w:val="5"/>
                <w:color w:val="auto"/>
              </w:rPr>
            </w:pPr>
          </w:p>
        </w:tc>
        <w:tc>
          <w:tcPr>
            <w:tcW w:w="900" w:type="dxa"/>
            <w:vAlign w:val="bottom"/>
            <w:shd w:val="clear" w:color="auto" w:fill="F3F3F3"/>
          </w:tcPr>
          <w:p>
            <w:pPr>
              <w:ind w:left="40"/>
              <w:spacing w:after="0" w:line="68" w:lineRule="exact"/>
              <w:rPr>
                <w:sz w:val="20"/>
                <w:szCs w:val="20"/>
                <w:color w:val="auto"/>
              </w:rPr>
            </w:pPr>
            <w:r>
              <w:rPr>
                <w:rFonts w:ascii="Arial" w:cs="Arial" w:eastAsia="Arial" w:hAnsi="Arial"/>
                <w:sz w:val="7"/>
                <w:szCs w:val="7"/>
                <w:color w:val="231F20"/>
              </w:rPr>
              <w:t>Treasuries</w:t>
            </w:r>
          </w:p>
        </w:tc>
        <w:tc>
          <w:tcPr>
            <w:tcW w:w="220" w:type="dxa"/>
            <w:vAlign w:val="bottom"/>
            <w:tcBorders>
              <w:right w:val="single" w:sz="8" w:color="231F20"/>
            </w:tcBorders>
            <w:shd w:val="clear" w:color="auto" w:fill="F3F3F3"/>
          </w:tcPr>
          <w:p>
            <w:pPr>
              <w:spacing w:after="0"/>
              <w:rPr>
                <w:sz w:val="5"/>
                <w:szCs w:val="5"/>
                <w:color w:val="auto"/>
              </w:rPr>
            </w:pPr>
          </w:p>
        </w:tc>
        <w:tc>
          <w:tcPr>
            <w:tcW w:w="40" w:type="dxa"/>
            <w:vAlign w:val="bottom"/>
            <w:shd w:val="clear" w:color="auto" w:fill="F3F3F3"/>
          </w:tcPr>
          <w:p>
            <w:pPr>
              <w:spacing w:after="0"/>
              <w:rPr>
                <w:sz w:val="5"/>
                <w:szCs w:val="5"/>
                <w:color w:val="auto"/>
              </w:rPr>
            </w:pPr>
          </w:p>
        </w:tc>
        <w:tc>
          <w:tcPr>
            <w:tcW w:w="114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color w:val="231F20"/>
              </w:rPr>
              <w:t>Launched mortgage</w:t>
            </w:r>
          </w:p>
        </w:tc>
        <w:tc>
          <w:tcPr>
            <w:tcW w:w="20" w:type="dxa"/>
            <w:vAlign w:val="bottom"/>
            <w:shd w:val="clear" w:color="auto" w:fill="F3F3F3"/>
          </w:tcPr>
          <w:p>
            <w:pPr>
              <w:spacing w:after="0"/>
              <w:rPr>
                <w:sz w:val="5"/>
                <w:szCs w:val="5"/>
                <w:color w:val="auto"/>
              </w:rPr>
            </w:pPr>
          </w:p>
        </w:tc>
        <w:tc>
          <w:tcPr>
            <w:tcW w:w="138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color w:val="231F20"/>
              </w:rPr>
              <w:t>CDS indices</w:t>
            </w:r>
          </w:p>
        </w:tc>
        <w:tc>
          <w:tcPr>
            <w:tcW w:w="1220" w:type="dxa"/>
            <w:vAlign w:val="bottom"/>
            <w:tcBorders>
              <w:right w:val="single" w:sz="8" w:color="231F20"/>
            </w:tcBorders>
            <w:vMerge w:val="continue"/>
            <w:shd w:val="clear" w:color="auto" w:fill="F3F3F3"/>
          </w:tcPr>
          <w:p>
            <w:pPr>
              <w:spacing w:after="0"/>
              <w:rPr>
                <w:sz w:val="5"/>
                <w:szCs w:val="5"/>
                <w:color w:val="auto"/>
              </w:rPr>
            </w:pPr>
          </w:p>
        </w:tc>
        <w:tc>
          <w:tcPr>
            <w:tcW w:w="1200" w:type="dxa"/>
            <w:vAlign w:val="bottom"/>
            <w:tcBorders>
              <w:right w:val="single" w:sz="8" w:color="231F20"/>
            </w:tcBorders>
            <w:shd w:val="clear" w:color="auto" w:fill="F3F3F3"/>
          </w:tcPr>
          <w:p>
            <w:pPr>
              <w:ind w:left="40"/>
              <w:spacing w:after="0" w:line="68" w:lineRule="exact"/>
              <w:rPr>
                <w:sz w:val="20"/>
                <w:szCs w:val="20"/>
                <w:color w:val="auto"/>
              </w:rPr>
            </w:pPr>
            <w:r>
              <w:rPr>
                <w:rFonts w:ascii="Arial" w:cs="Arial" w:eastAsia="Arial" w:hAnsi="Arial"/>
                <w:sz w:val="7"/>
                <w:szCs w:val="7"/>
                <w:color w:val="231F20"/>
              </w:rPr>
              <w:t>First to provide</w:t>
            </w:r>
          </w:p>
        </w:tc>
        <w:tc>
          <w:tcPr>
            <w:tcW w:w="1380" w:type="dxa"/>
            <w:vAlign w:val="bottom"/>
            <w:tcBorders>
              <w:right w:val="single" w:sz="8" w:color="231F20"/>
            </w:tcBorders>
            <w:shd w:val="clear" w:color="auto" w:fill="F3F3F3"/>
          </w:tcPr>
          <w:p>
            <w:pPr>
              <w:spacing w:after="0"/>
              <w:rPr>
                <w:sz w:val="5"/>
                <w:szCs w:val="5"/>
                <w:color w:val="auto"/>
              </w:rPr>
            </w:pPr>
          </w:p>
        </w:tc>
        <w:tc>
          <w:tcPr>
            <w:tcW w:w="6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corporate</w:t>
            </w:r>
          </w:p>
        </w:tc>
        <w:tc>
          <w:tcPr>
            <w:tcW w:w="0" w:type="dxa"/>
            <w:vAlign w:val="bottom"/>
          </w:tcPr>
          <w:p>
            <w:pPr>
              <w:spacing w:after="0"/>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spacing w:after="0"/>
              <w:rPr>
                <w:sz w:val="7"/>
                <w:szCs w:val="7"/>
                <w:color w:val="auto"/>
              </w:rPr>
            </w:pP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vMerge w:val="continue"/>
            <w:shd w:val="clear" w:color="auto" w:fill="F3F3F3"/>
          </w:tcPr>
          <w:p>
            <w:pPr>
              <w:spacing w:after="0"/>
              <w:rPr>
                <w:sz w:val="7"/>
                <w:szCs w:val="7"/>
                <w:color w:val="auto"/>
              </w:rPr>
            </w:pP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vMerge w:val="continue"/>
            <w:shd w:val="clear" w:color="auto" w:fill="F3F3F3"/>
          </w:tcPr>
          <w:p>
            <w:pPr>
              <w:spacing w:after="0"/>
              <w:rPr>
                <w:sz w:val="7"/>
                <w:szCs w:val="7"/>
                <w:color w:val="auto"/>
              </w:rPr>
            </w:pP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Launched European</w:t>
            </w:r>
          </w:p>
        </w:tc>
        <w:tc>
          <w:tcPr>
            <w:tcW w:w="120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international investors</w:t>
            </w:r>
          </w:p>
        </w:tc>
        <w:tc>
          <w:tcPr>
            <w:tcW w:w="1380" w:type="dxa"/>
            <w:vAlign w:val="bottom"/>
            <w:tcBorders>
              <w:right w:val="single" w:sz="8" w:color="231F20"/>
            </w:tcBorders>
            <w:shd w:val="clear" w:color="auto" w:fill="F3F3F3"/>
          </w:tcPr>
          <w:p>
            <w:pPr>
              <w:spacing w:after="0"/>
              <w:rPr>
                <w:sz w:val="7"/>
                <w:szCs w:val="7"/>
                <w:color w:val="auto"/>
              </w:rPr>
            </w:pPr>
          </w:p>
        </w:tc>
        <w:tc>
          <w:tcPr>
            <w:tcW w:w="600" w:type="dxa"/>
            <w:vAlign w:val="bottom"/>
            <w:vMerge w:val="continue"/>
            <w:shd w:val="clear" w:color="auto" w:fill="F3F3F3"/>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spacing w:after="0"/>
              <w:rPr>
                <w:sz w:val="7"/>
                <w:szCs w:val="7"/>
                <w:color w:val="auto"/>
              </w:rPr>
            </w:pP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color w:val="231F20"/>
              </w:rPr>
              <w:t>backed securities</w:t>
            </w: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b w:val="1"/>
                <w:bCs w:val="1"/>
                <w:color w:val="231F20"/>
              </w:rPr>
              <w:t>2008</w:t>
            </w:r>
          </w:p>
        </w:tc>
        <w:tc>
          <w:tcPr>
            <w:tcW w:w="1220" w:type="dxa"/>
            <w:vAlign w:val="bottom"/>
            <w:tcBorders>
              <w:right w:val="single" w:sz="8" w:color="231F20"/>
            </w:tcBorders>
            <w:vMerge w:val="continue"/>
            <w:shd w:val="clear" w:color="auto" w:fill="F3F3F3"/>
          </w:tcPr>
          <w:p>
            <w:pPr>
              <w:spacing w:after="0"/>
              <w:rPr>
                <w:sz w:val="7"/>
                <w:szCs w:val="7"/>
                <w:color w:val="auto"/>
              </w:rPr>
            </w:pPr>
          </w:p>
        </w:tc>
        <w:tc>
          <w:tcPr>
            <w:tcW w:w="120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access to China bond</w:t>
            </w:r>
          </w:p>
        </w:tc>
        <w:tc>
          <w:tcPr>
            <w:tcW w:w="1380" w:type="dxa"/>
            <w:vAlign w:val="bottom"/>
            <w:tcBorders>
              <w:right w:val="single" w:sz="8" w:color="231F20"/>
            </w:tcBorders>
            <w:shd w:val="clear" w:color="auto" w:fill="F3F3F3"/>
          </w:tcPr>
          <w:p>
            <w:pPr>
              <w:spacing w:after="0"/>
              <w:rPr>
                <w:sz w:val="7"/>
                <w:szCs w:val="7"/>
                <w:color w:val="auto"/>
              </w:rPr>
            </w:pPr>
          </w:p>
        </w:tc>
        <w:tc>
          <w:tcPr>
            <w:tcW w:w="600" w:type="dxa"/>
            <w:vAlign w:val="bottom"/>
            <w:shd w:val="clear" w:color="auto" w:fill="F3F3F3"/>
          </w:tcPr>
          <w:p>
            <w:pPr>
              <w:ind w:left="40"/>
              <w:spacing w:after="0" w:line="81" w:lineRule="exact"/>
              <w:rPr>
                <w:sz w:val="20"/>
                <w:szCs w:val="20"/>
                <w:color w:val="auto"/>
              </w:rPr>
            </w:pPr>
            <w:r>
              <w:rPr>
                <w:rFonts w:ascii="Arial" w:cs="Arial" w:eastAsia="Arial" w:hAnsi="Arial"/>
                <w:sz w:val="9"/>
                <w:szCs w:val="9"/>
                <w:color w:val="231F20"/>
              </w:rPr>
              <w:t>bonds</w:t>
            </w:r>
          </w:p>
        </w:tc>
        <w:tc>
          <w:tcPr>
            <w:tcW w:w="0" w:type="dxa"/>
            <w:vAlign w:val="bottom"/>
          </w:tcPr>
          <w:p>
            <w:pPr>
              <w:spacing w:after="0"/>
              <w:rPr>
                <w:sz w:val="1"/>
                <w:szCs w:val="1"/>
                <w:color w:val="auto"/>
              </w:rPr>
            </w:pPr>
          </w:p>
        </w:tc>
      </w:tr>
      <w:tr>
        <w:trPr>
          <w:trHeight w:val="81"/>
        </w:trPr>
        <w:tc>
          <w:tcPr>
            <w:tcW w:w="860" w:type="dxa"/>
            <w:vAlign w:val="bottom"/>
            <w:shd w:val="clear" w:color="auto" w:fill="E9EAEB"/>
          </w:tcPr>
          <w:p>
            <w:pPr>
              <w:spacing w:after="0"/>
              <w:rPr>
                <w:sz w:val="7"/>
                <w:szCs w:val="7"/>
                <w:color w:val="auto"/>
              </w:rPr>
            </w:pPr>
          </w:p>
        </w:tc>
        <w:tc>
          <w:tcPr>
            <w:tcW w:w="100" w:type="dxa"/>
            <w:vAlign w:val="bottom"/>
            <w:tcBorders>
              <w:right w:val="single" w:sz="8" w:color="231F20"/>
            </w:tcBorders>
            <w:shd w:val="clear" w:color="auto" w:fill="E9EAEB"/>
          </w:tcPr>
          <w:p>
            <w:pPr>
              <w:spacing w:after="0"/>
              <w:rPr>
                <w:sz w:val="7"/>
                <w:szCs w:val="7"/>
                <w:color w:val="auto"/>
              </w:rPr>
            </w:pPr>
          </w:p>
        </w:tc>
        <w:tc>
          <w:tcPr>
            <w:tcW w:w="900" w:type="dxa"/>
            <w:vAlign w:val="bottom"/>
            <w:shd w:val="clear" w:color="auto" w:fill="F3F3F3"/>
          </w:tcPr>
          <w:p>
            <w:pPr>
              <w:spacing w:after="0"/>
              <w:rPr>
                <w:sz w:val="7"/>
                <w:szCs w:val="7"/>
                <w:color w:val="auto"/>
              </w:rPr>
            </w:pPr>
          </w:p>
        </w:tc>
        <w:tc>
          <w:tcPr>
            <w:tcW w:w="220" w:type="dxa"/>
            <w:vAlign w:val="bottom"/>
            <w:tcBorders>
              <w:right w:val="single" w:sz="8" w:color="231F20"/>
            </w:tcBorders>
            <w:shd w:val="clear" w:color="auto" w:fill="F3F3F3"/>
          </w:tcPr>
          <w:p>
            <w:pPr>
              <w:spacing w:after="0"/>
              <w:rPr>
                <w:sz w:val="7"/>
                <w:szCs w:val="7"/>
                <w:color w:val="auto"/>
              </w:rPr>
            </w:pPr>
          </w:p>
        </w:tc>
        <w:tc>
          <w:tcPr>
            <w:tcW w:w="40" w:type="dxa"/>
            <w:vAlign w:val="bottom"/>
            <w:shd w:val="clear" w:color="auto" w:fill="F3F3F3"/>
          </w:tcPr>
          <w:p>
            <w:pPr>
              <w:spacing w:after="0"/>
              <w:rPr>
                <w:sz w:val="7"/>
                <w:szCs w:val="7"/>
                <w:color w:val="auto"/>
              </w:rPr>
            </w:pPr>
          </w:p>
        </w:tc>
        <w:tc>
          <w:tcPr>
            <w:tcW w:w="1140" w:type="dxa"/>
            <w:vAlign w:val="bottom"/>
            <w:tcBorders>
              <w:right w:val="single" w:sz="8" w:color="231F20"/>
            </w:tcBorders>
            <w:shd w:val="clear" w:color="auto" w:fill="F3F3F3"/>
          </w:tcPr>
          <w:p>
            <w:pPr>
              <w:ind w:left="20"/>
              <w:spacing w:after="0" w:line="81" w:lineRule="exact"/>
              <w:rPr>
                <w:sz w:val="20"/>
                <w:szCs w:val="20"/>
                <w:color w:val="auto"/>
              </w:rPr>
            </w:pPr>
            <w:r>
              <w:rPr>
                <w:rFonts w:ascii="Arial" w:cs="Arial" w:eastAsia="Arial" w:hAnsi="Arial"/>
                <w:sz w:val="9"/>
                <w:szCs w:val="9"/>
                <w:color w:val="231F20"/>
              </w:rPr>
              <w:t>Launched market data</w:t>
            </w:r>
          </w:p>
        </w:tc>
        <w:tc>
          <w:tcPr>
            <w:tcW w:w="20" w:type="dxa"/>
            <w:vAlign w:val="bottom"/>
            <w:shd w:val="clear" w:color="auto" w:fill="F3F3F3"/>
          </w:tcPr>
          <w:p>
            <w:pPr>
              <w:spacing w:after="0"/>
              <w:rPr>
                <w:sz w:val="7"/>
                <w:szCs w:val="7"/>
                <w:color w:val="auto"/>
              </w:rPr>
            </w:pPr>
          </w:p>
        </w:tc>
        <w:tc>
          <w:tcPr>
            <w:tcW w:w="1380" w:type="dxa"/>
            <w:vAlign w:val="bottom"/>
            <w:tcBorders>
              <w:right w:val="single" w:sz="8" w:color="231F20"/>
            </w:tcBorders>
            <w:vMerge w:val="restart"/>
            <w:shd w:val="clear" w:color="auto" w:fill="F3F3F3"/>
          </w:tcPr>
          <w:p>
            <w:pPr>
              <w:ind w:left="20"/>
              <w:spacing w:after="0"/>
              <w:rPr>
                <w:sz w:val="20"/>
                <w:szCs w:val="20"/>
                <w:color w:val="auto"/>
              </w:rPr>
            </w:pPr>
            <w:r>
              <w:rPr>
                <w:rFonts w:ascii="Arial" w:cs="Arial" w:eastAsia="Arial" w:hAnsi="Arial"/>
                <w:sz w:val="10"/>
                <w:szCs w:val="10"/>
                <w:color w:val="231F20"/>
              </w:rPr>
              <w:t>Entered Wholesale market</w:t>
            </w:r>
          </w:p>
        </w:tc>
        <w:tc>
          <w:tcPr>
            <w:tcW w:w="122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ETFs</w:t>
            </w:r>
          </w:p>
        </w:tc>
        <w:tc>
          <w:tcPr>
            <w:tcW w:w="1200" w:type="dxa"/>
            <w:vAlign w:val="bottom"/>
            <w:tcBorders>
              <w:right w:val="single" w:sz="8" w:color="231F20"/>
            </w:tcBorders>
            <w:shd w:val="clear" w:color="auto" w:fill="F3F3F3"/>
          </w:tcPr>
          <w:p>
            <w:pPr>
              <w:ind w:left="40"/>
              <w:spacing w:after="0" w:line="81" w:lineRule="exact"/>
              <w:rPr>
                <w:sz w:val="20"/>
                <w:szCs w:val="20"/>
                <w:color w:val="auto"/>
              </w:rPr>
            </w:pPr>
            <w:r>
              <w:rPr>
                <w:rFonts w:ascii="Arial" w:cs="Arial" w:eastAsia="Arial" w:hAnsi="Arial"/>
                <w:sz w:val="9"/>
                <w:szCs w:val="9"/>
                <w:color w:val="231F20"/>
              </w:rPr>
              <w:t>market through</w:t>
            </w:r>
          </w:p>
        </w:tc>
        <w:tc>
          <w:tcPr>
            <w:tcW w:w="1380" w:type="dxa"/>
            <w:vAlign w:val="bottom"/>
            <w:tcBorders>
              <w:right w:val="single" w:sz="8" w:color="231F20"/>
            </w:tcBorders>
            <w:shd w:val="clear" w:color="auto" w:fill="F3F3F3"/>
          </w:tcPr>
          <w:p>
            <w:pPr>
              <w:spacing w:after="0"/>
              <w:rPr>
                <w:sz w:val="7"/>
                <w:szCs w:val="7"/>
                <w:color w:val="auto"/>
              </w:rPr>
            </w:pPr>
          </w:p>
        </w:tc>
        <w:tc>
          <w:tcPr>
            <w:tcW w:w="600" w:type="dxa"/>
            <w:vAlign w:val="bottom"/>
            <w:shd w:val="clear" w:color="auto" w:fill="F3F3F3"/>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business</w:t>
            </w: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vMerge w:val="continue"/>
            <w:shd w:val="clear" w:color="auto" w:fill="F3F3F3"/>
          </w:tcPr>
          <w:p>
            <w:pPr>
              <w:spacing w:after="0"/>
              <w:rPr>
                <w:sz w:val="10"/>
                <w:szCs w:val="10"/>
                <w:color w:val="auto"/>
              </w:rPr>
            </w:pP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b w:val="1"/>
                <w:bCs w:val="1"/>
                <w:color w:val="231F20"/>
              </w:rPr>
              <w:t>2013</w:t>
            </w:r>
          </w:p>
        </w:tc>
        <w:tc>
          <w:tcPr>
            <w:tcW w:w="1200" w:type="dxa"/>
            <w:vAlign w:val="bottom"/>
            <w:tcBorders>
              <w:right w:val="single" w:sz="8" w:color="231F20"/>
            </w:tcBorders>
            <w:shd w:val="clear" w:color="auto" w:fill="F3F3F3"/>
          </w:tcPr>
          <w:p>
            <w:pPr>
              <w:ind w:left="40"/>
              <w:spacing w:after="0"/>
              <w:rPr>
                <w:sz w:val="20"/>
                <w:szCs w:val="20"/>
                <w:color w:val="auto"/>
              </w:rPr>
            </w:pPr>
            <w:r>
              <w:rPr>
                <w:rFonts w:ascii="Arial" w:cs="Arial" w:eastAsia="Arial" w:hAnsi="Arial"/>
                <w:sz w:val="10"/>
                <w:szCs w:val="10"/>
                <w:color w:val="231F20"/>
              </w:rPr>
              <w:t>BondConnect</w:t>
            </w: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b w:val="1"/>
                <w:bCs w:val="1"/>
                <w:color w:val="231F20"/>
              </w:rPr>
              <w:t>2003</w:t>
            </w: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1220" w:type="dxa"/>
            <w:vAlign w:val="bottom"/>
            <w:tcBorders>
              <w:right w:val="single" w:sz="8" w:color="231F20"/>
            </w:tcBorders>
            <w:vMerge w:val="continue"/>
            <w:shd w:val="clear" w:color="auto" w:fill="F3F3F3"/>
          </w:tcPr>
          <w:p>
            <w:pPr>
              <w:spacing w:after="0"/>
              <w:rPr>
                <w:sz w:val="10"/>
                <w:szCs w:val="10"/>
                <w:color w:val="auto"/>
              </w:rPr>
            </w:pPr>
          </w:p>
        </w:tc>
        <w:tc>
          <w:tcPr>
            <w:tcW w:w="1200" w:type="dxa"/>
            <w:vAlign w:val="bottom"/>
            <w:tcBorders>
              <w:right w:val="single" w:sz="8" w:color="231F20"/>
            </w:tcBorders>
            <w:shd w:val="clear" w:color="auto" w:fill="F3F3F3"/>
          </w:tcPr>
          <w:p>
            <w:pPr>
              <w:ind w:left="40"/>
              <w:spacing w:after="0"/>
              <w:rPr>
                <w:sz w:val="20"/>
                <w:szCs w:val="20"/>
                <w:color w:val="auto"/>
              </w:rPr>
            </w:pPr>
            <w:r>
              <w:rPr>
                <w:rFonts w:ascii="Arial" w:cs="Arial" w:eastAsia="Arial" w:hAnsi="Arial"/>
                <w:sz w:val="10"/>
                <w:szCs w:val="10"/>
                <w:color w:val="231F20"/>
              </w:rPr>
              <w:t>Launched Asian ETFs</w:t>
            </w: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ind w:left="40"/>
              <w:spacing w:after="0"/>
              <w:rPr>
                <w:sz w:val="20"/>
                <w:szCs w:val="20"/>
                <w:color w:val="auto"/>
              </w:rPr>
            </w:pPr>
            <w:r>
              <w:rPr>
                <w:rFonts w:ascii="Arial" w:cs="Arial" w:eastAsia="Arial" w:hAnsi="Arial"/>
                <w:sz w:val="10"/>
                <w:szCs w:val="10"/>
                <w:color w:val="231F20"/>
              </w:rPr>
              <w:t>Launched</w:t>
            </w:r>
          </w:p>
        </w:tc>
        <w:tc>
          <w:tcPr>
            <w:tcW w:w="0" w:type="dxa"/>
            <w:vAlign w:val="bottom"/>
          </w:tcPr>
          <w:p>
            <w:pPr>
              <w:spacing w:after="0"/>
              <w:rPr>
                <w:sz w:val="1"/>
                <w:szCs w:val="1"/>
                <w:color w:val="auto"/>
              </w:rPr>
            </w:pPr>
          </w:p>
        </w:tc>
      </w:tr>
      <w:tr>
        <w:trPr>
          <w:trHeight w:val="122"/>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Entered Money Markets</w:t>
            </w: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1220" w:type="dxa"/>
            <w:vAlign w:val="bottom"/>
            <w:tcBorders>
              <w:right w:val="single" w:sz="8" w:color="231F20"/>
            </w:tcBorders>
            <w:shd w:val="clear" w:color="auto" w:fill="F3F3F3"/>
          </w:tcPr>
          <w:p>
            <w:pPr>
              <w:ind w:left="40"/>
              <w:spacing w:after="0"/>
              <w:rPr>
                <w:sz w:val="20"/>
                <w:szCs w:val="20"/>
                <w:color w:val="auto"/>
              </w:rPr>
            </w:pPr>
            <w:r>
              <w:rPr>
                <w:rFonts w:ascii="Arial" w:cs="Arial" w:eastAsia="Arial" w:hAnsi="Arial"/>
                <w:sz w:val="10"/>
                <w:szCs w:val="10"/>
                <w:color w:val="231F20"/>
              </w:rPr>
              <w:t>Launched session</w:t>
            </w: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ind w:left="40"/>
              <w:spacing w:after="0"/>
              <w:rPr>
                <w:sz w:val="20"/>
                <w:szCs w:val="20"/>
                <w:color w:val="auto"/>
              </w:rPr>
            </w:pPr>
            <w:r>
              <w:rPr>
                <w:rFonts w:ascii="Arial" w:cs="Arial" w:eastAsia="Arial" w:hAnsi="Arial"/>
                <w:sz w:val="10"/>
                <w:szCs w:val="10"/>
                <w:color w:val="231F20"/>
              </w:rPr>
              <w:t>fully</w:t>
            </w:r>
          </w:p>
        </w:tc>
        <w:tc>
          <w:tcPr>
            <w:tcW w:w="0" w:type="dxa"/>
            <w:vAlign w:val="bottom"/>
          </w:tcPr>
          <w:p>
            <w:pPr>
              <w:spacing w:after="0"/>
              <w:rPr>
                <w:sz w:val="1"/>
                <w:szCs w:val="1"/>
                <w:color w:val="auto"/>
              </w:rPr>
            </w:pPr>
          </w:p>
        </w:tc>
      </w:tr>
      <w:tr>
        <w:trPr>
          <w:trHeight w:val="108"/>
        </w:trPr>
        <w:tc>
          <w:tcPr>
            <w:tcW w:w="860" w:type="dxa"/>
            <w:vAlign w:val="bottom"/>
            <w:shd w:val="clear" w:color="auto" w:fill="E9EAEB"/>
          </w:tcPr>
          <w:p>
            <w:pPr>
              <w:spacing w:after="0"/>
              <w:rPr>
                <w:sz w:val="9"/>
                <w:szCs w:val="9"/>
                <w:color w:val="auto"/>
              </w:rPr>
            </w:pPr>
          </w:p>
        </w:tc>
        <w:tc>
          <w:tcPr>
            <w:tcW w:w="100" w:type="dxa"/>
            <w:vAlign w:val="bottom"/>
            <w:tcBorders>
              <w:right w:val="single" w:sz="8" w:color="231F20"/>
            </w:tcBorders>
            <w:shd w:val="clear" w:color="auto" w:fill="E9EAEB"/>
          </w:tcPr>
          <w:p>
            <w:pPr>
              <w:spacing w:after="0"/>
              <w:rPr>
                <w:sz w:val="9"/>
                <w:szCs w:val="9"/>
                <w:color w:val="auto"/>
              </w:rPr>
            </w:pPr>
          </w:p>
        </w:tc>
        <w:tc>
          <w:tcPr>
            <w:tcW w:w="900" w:type="dxa"/>
            <w:vAlign w:val="bottom"/>
            <w:shd w:val="clear" w:color="auto" w:fill="F3F3F3"/>
          </w:tcPr>
          <w:p>
            <w:pPr>
              <w:spacing w:after="0"/>
              <w:rPr>
                <w:sz w:val="9"/>
                <w:szCs w:val="9"/>
                <w:color w:val="auto"/>
              </w:rPr>
            </w:pPr>
          </w:p>
        </w:tc>
        <w:tc>
          <w:tcPr>
            <w:tcW w:w="220" w:type="dxa"/>
            <w:vAlign w:val="bottom"/>
            <w:tcBorders>
              <w:right w:val="single" w:sz="8" w:color="231F20"/>
            </w:tcBorders>
            <w:shd w:val="clear" w:color="auto" w:fill="F3F3F3"/>
          </w:tcPr>
          <w:p>
            <w:pPr>
              <w:spacing w:after="0"/>
              <w:rPr>
                <w:sz w:val="9"/>
                <w:szCs w:val="9"/>
                <w:color w:val="auto"/>
              </w:rPr>
            </w:pPr>
          </w:p>
        </w:tc>
        <w:tc>
          <w:tcPr>
            <w:tcW w:w="40" w:type="dxa"/>
            <w:vAlign w:val="bottom"/>
            <w:shd w:val="clear" w:color="auto" w:fill="F3F3F3"/>
          </w:tcPr>
          <w:p>
            <w:pPr>
              <w:spacing w:after="0"/>
              <w:rPr>
                <w:sz w:val="9"/>
                <w:szCs w:val="9"/>
                <w:color w:val="auto"/>
              </w:rPr>
            </w:pPr>
          </w:p>
        </w:tc>
        <w:tc>
          <w:tcPr>
            <w:tcW w:w="1140" w:type="dxa"/>
            <w:vAlign w:val="bottom"/>
            <w:tcBorders>
              <w:right w:val="single" w:sz="8" w:color="231F20"/>
            </w:tcBorders>
            <w:shd w:val="clear" w:color="auto" w:fill="F3F3F3"/>
          </w:tcPr>
          <w:p>
            <w:pPr>
              <w:ind w:left="20"/>
              <w:spacing w:after="0" w:line="108" w:lineRule="exact"/>
              <w:rPr>
                <w:sz w:val="20"/>
                <w:szCs w:val="20"/>
                <w:color w:val="auto"/>
              </w:rPr>
            </w:pPr>
            <w:r>
              <w:rPr>
                <w:rFonts w:ascii="Arial" w:cs="Arial" w:eastAsia="Arial" w:hAnsi="Arial"/>
                <w:sz w:val="10"/>
                <w:szCs w:val="10"/>
                <w:color w:val="231F20"/>
                <w:w w:val="93"/>
              </w:rPr>
              <w:t>with U.S. agency discount</w:t>
            </w:r>
          </w:p>
        </w:tc>
        <w:tc>
          <w:tcPr>
            <w:tcW w:w="20" w:type="dxa"/>
            <w:vAlign w:val="bottom"/>
            <w:shd w:val="clear" w:color="auto" w:fill="F3F3F3"/>
          </w:tcPr>
          <w:p>
            <w:pPr>
              <w:spacing w:after="0"/>
              <w:rPr>
                <w:sz w:val="9"/>
                <w:szCs w:val="9"/>
                <w:color w:val="auto"/>
              </w:rPr>
            </w:pPr>
          </w:p>
        </w:tc>
        <w:tc>
          <w:tcPr>
            <w:tcW w:w="1380" w:type="dxa"/>
            <w:vAlign w:val="bottom"/>
            <w:tcBorders>
              <w:right w:val="single" w:sz="8" w:color="231F20"/>
            </w:tcBorders>
            <w:shd w:val="clear" w:color="auto" w:fill="F3F3F3"/>
          </w:tcPr>
          <w:p>
            <w:pPr>
              <w:spacing w:after="0"/>
              <w:rPr>
                <w:sz w:val="9"/>
                <w:szCs w:val="9"/>
                <w:color w:val="auto"/>
              </w:rPr>
            </w:pPr>
          </w:p>
        </w:tc>
        <w:tc>
          <w:tcPr>
            <w:tcW w:w="1220" w:type="dxa"/>
            <w:vAlign w:val="bottom"/>
            <w:tcBorders>
              <w:right w:val="single" w:sz="8" w:color="231F20"/>
            </w:tcBorders>
            <w:shd w:val="clear" w:color="auto" w:fill="F3F3F3"/>
          </w:tcPr>
          <w:p>
            <w:pPr>
              <w:ind w:left="40"/>
              <w:spacing w:after="0" w:line="108" w:lineRule="exact"/>
              <w:rPr>
                <w:sz w:val="20"/>
                <w:szCs w:val="20"/>
                <w:color w:val="auto"/>
              </w:rPr>
            </w:pPr>
            <w:r>
              <w:rPr>
                <w:rFonts w:ascii="Arial" w:cs="Arial" w:eastAsia="Arial" w:hAnsi="Arial"/>
                <w:sz w:val="10"/>
                <w:szCs w:val="10"/>
                <w:color w:val="231F20"/>
              </w:rPr>
              <w:t>trading in Europe</w:t>
            </w:r>
          </w:p>
        </w:tc>
        <w:tc>
          <w:tcPr>
            <w:tcW w:w="1200" w:type="dxa"/>
            <w:vAlign w:val="bottom"/>
            <w:tcBorders>
              <w:right w:val="single" w:sz="8" w:color="231F20"/>
            </w:tcBorders>
            <w:shd w:val="clear" w:color="auto" w:fill="F3F3F3"/>
          </w:tcPr>
          <w:p>
            <w:pPr>
              <w:spacing w:after="0"/>
              <w:rPr>
                <w:sz w:val="9"/>
                <w:szCs w:val="9"/>
                <w:color w:val="auto"/>
              </w:rPr>
            </w:pPr>
          </w:p>
        </w:tc>
        <w:tc>
          <w:tcPr>
            <w:tcW w:w="1380" w:type="dxa"/>
            <w:vAlign w:val="bottom"/>
            <w:tcBorders>
              <w:right w:val="single" w:sz="8" w:color="231F20"/>
            </w:tcBorders>
            <w:shd w:val="clear" w:color="auto" w:fill="F3F3F3"/>
          </w:tcPr>
          <w:p>
            <w:pPr>
              <w:spacing w:after="0"/>
              <w:rPr>
                <w:sz w:val="9"/>
                <w:szCs w:val="9"/>
                <w:color w:val="auto"/>
              </w:rPr>
            </w:pPr>
          </w:p>
        </w:tc>
        <w:tc>
          <w:tcPr>
            <w:tcW w:w="600" w:type="dxa"/>
            <w:vAlign w:val="bottom"/>
            <w:shd w:val="clear" w:color="auto" w:fill="F3F3F3"/>
          </w:tcPr>
          <w:p>
            <w:pPr>
              <w:ind w:left="40"/>
              <w:spacing w:after="0" w:line="108" w:lineRule="exact"/>
              <w:rPr>
                <w:sz w:val="20"/>
                <w:szCs w:val="20"/>
                <w:color w:val="auto"/>
              </w:rPr>
            </w:pPr>
            <w:r>
              <w:rPr>
                <w:rFonts w:ascii="Arial" w:cs="Arial" w:eastAsia="Arial" w:hAnsi="Arial"/>
                <w:sz w:val="10"/>
                <w:szCs w:val="10"/>
                <w:color w:val="231F20"/>
              </w:rPr>
              <w:t>electronic</w:t>
            </w:r>
          </w:p>
        </w:tc>
        <w:tc>
          <w:tcPr>
            <w:tcW w:w="0" w:type="dxa"/>
            <w:vAlign w:val="bottom"/>
          </w:tcPr>
          <w:p>
            <w:pPr>
              <w:spacing w:after="0"/>
              <w:rPr>
                <w:sz w:val="1"/>
                <w:szCs w:val="1"/>
                <w:color w:val="auto"/>
              </w:rPr>
            </w:pPr>
          </w:p>
        </w:tc>
      </w:tr>
      <w:tr>
        <w:trPr>
          <w:trHeight w:val="122"/>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ind w:left="20"/>
              <w:spacing w:after="0"/>
              <w:rPr>
                <w:sz w:val="20"/>
                <w:szCs w:val="20"/>
                <w:color w:val="auto"/>
              </w:rPr>
            </w:pPr>
            <w:r>
              <w:rPr>
                <w:rFonts w:ascii="Arial" w:cs="Arial" w:eastAsia="Arial" w:hAnsi="Arial"/>
                <w:sz w:val="10"/>
                <w:szCs w:val="10"/>
                <w:color w:val="231F20"/>
              </w:rPr>
              <w:t>notes</w:t>
            </w: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1220" w:type="dxa"/>
            <w:vAlign w:val="bottom"/>
            <w:tcBorders>
              <w:right w:val="single" w:sz="8" w:color="231F20"/>
            </w:tcBorders>
            <w:shd w:val="clear" w:color="auto" w:fill="F3F3F3"/>
          </w:tcPr>
          <w:p>
            <w:pPr>
              <w:ind w:left="40"/>
              <w:spacing w:after="0"/>
              <w:rPr>
                <w:sz w:val="20"/>
                <w:szCs w:val="20"/>
                <w:color w:val="auto"/>
              </w:rPr>
            </w:pPr>
            <w:r>
              <w:rPr>
                <w:rFonts w:ascii="Arial" w:cs="Arial" w:eastAsia="Arial" w:hAnsi="Arial"/>
                <w:sz w:val="10"/>
                <w:szCs w:val="10"/>
                <w:b w:val="1"/>
                <w:bCs w:val="1"/>
                <w:color w:val="231F20"/>
              </w:rPr>
              <w:t>2014</w:t>
            </w: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multi-asset</w:t>
            </w:r>
          </w:p>
        </w:tc>
        <w:tc>
          <w:tcPr>
            <w:tcW w:w="0" w:type="dxa"/>
            <w:vAlign w:val="bottom"/>
          </w:tcPr>
          <w:p>
            <w:pPr>
              <w:spacing w:after="0"/>
              <w:rPr>
                <w:sz w:val="1"/>
                <w:szCs w:val="1"/>
                <w:color w:val="auto"/>
              </w:rPr>
            </w:pPr>
          </w:p>
        </w:tc>
      </w:tr>
      <w:tr>
        <w:trPr>
          <w:trHeight w:val="25"/>
        </w:trPr>
        <w:tc>
          <w:tcPr>
            <w:tcW w:w="860" w:type="dxa"/>
            <w:vAlign w:val="bottom"/>
            <w:shd w:val="clear" w:color="auto" w:fill="E9EAEB"/>
          </w:tcPr>
          <w:p>
            <w:pPr>
              <w:spacing w:after="0"/>
              <w:rPr>
                <w:sz w:val="2"/>
                <w:szCs w:val="2"/>
                <w:color w:val="auto"/>
              </w:rPr>
            </w:pPr>
          </w:p>
        </w:tc>
        <w:tc>
          <w:tcPr>
            <w:tcW w:w="100" w:type="dxa"/>
            <w:vAlign w:val="bottom"/>
            <w:tcBorders>
              <w:right w:val="single" w:sz="8" w:color="231F20"/>
            </w:tcBorders>
            <w:shd w:val="clear" w:color="auto" w:fill="E9EAEB"/>
          </w:tcPr>
          <w:p>
            <w:pPr>
              <w:spacing w:after="0"/>
              <w:rPr>
                <w:sz w:val="2"/>
                <w:szCs w:val="2"/>
                <w:color w:val="auto"/>
              </w:rPr>
            </w:pPr>
          </w:p>
        </w:tc>
        <w:tc>
          <w:tcPr>
            <w:tcW w:w="900" w:type="dxa"/>
            <w:vAlign w:val="bottom"/>
            <w:shd w:val="clear" w:color="auto" w:fill="F3F3F3"/>
          </w:tcPr>
          <w:p>
            <w:pPr>
              <w:spacing w:after="0"/>
              <w:rPr>
                <w:sz w:val="2"/>
                <w:szCs w:val="2"/>
                <w:color w:val="auto"/>
              </w:rPr>
            </w:pPr>
          </w:p>
        </w:tc>
        <w:tc>
          <w:tcPr>
            <w:tcW w:w="220" w:type="dxa"/>
            <w:vAlign w:val="bottom"/>
            <w:tcBorders>
              <w:right w:val="single" w:sz="8" w:color="231F20"/>
            </w:tcBorders>
            <w:shd w:val="clear" w:color="auto" w:fill="F3F3F3"/>
          </w:tcPr>
          <w:p>
            <w:pPr>
              <w:spacing w:after="0"/>
              <w:rPr>
                <w:sz w:val="2"/>
                <w:szCs w:val="2"/>
                <w:color w:val="auto"/>
              </w:rPr>
            </w:pPr>
          </w:p>
        </w:tc>
        <w:tc>
          <w:tcPr>
            <w:tcW w:w="40" w:type="dxa"/>
            <w:vAlign w:val="bottom"/>
            <w:shd w:val="clear" w:color="auto" w:fill="F3F3F3"/>
          </w:tcPr>
          <w:p>
            <w:pPr>
              <w:spacing w:after="0"/>
              <w:rPr>
                <w:sz w:val="2"/>
                <w:szCs w:val="2"/>
                <w:color w:val="auto"/>
              </w:rPr>
            </w:pPr>
          </w:p>
        </w:tc>
        <w:tc>
          <w:tcPr>
            <w:tcW w:w="1140" w:type="dxa"/>
            <w:vAlign w:val="bottom"/>
            <w:tcBorders>
              <w:right w:val="single" w:sz="8" w:color="231F20"/>
            </w:tcBorders>
            <w:shd w:val="clear" w:color="auto" w:fill="F3F3F3"/>
          </w:tcPr>
          <w:p>
            <w:pPr>
              <w:spacing w:after="0"/>
              <w:rPr>
                <w:sz w:val="2"/>
                <w:szCs w:val="2"/>
                <w:color w:val="auto"/>
              </w:rPr>
            </w:pPr>
          </w:p>
        </w:tc>
        <w:tc>
          <w:tcPr>
            <w:tcW w:w="20" w:type="dxa"/>
            <w:vAlign w:val="bottom"/>
            <w:shd w:val="clear" w:color="auto" w:fill="F3F3F3"/>
          </w:tcPr>
          <w:p>
            <w:pPr>
              <w:spacing w:after="0"/>
              <w:rPr>
                <w:sz w:val="2"/>
                <w:szCs w:val="2"/>
                <w:color w:val="auto"/>
              </w:rPr>
            </w:pPr>
          </w:p>
        </w:tc>
        <w:tc>
          <w:tcPr>
            <w:tcW w:w="1380" w:type="dxa"/>
            <w:vAlign w:val="bottom"/>
            <w:tcBorders>
              <w:right w:val="single" w:sz="8" w:color="231F20"/>
            </w:tcBorders>
            <w:shd w:val="clear" w:color="auto" w:fill="F3F3F3"/>
          </w:tcPr>
          <w:p>
            <w:pPr>
              <w:spacing w:after="0"/>
              <w:rPr>
                <w:sz w:val="2"/>
                <w:szCs w:val="2"/>
                <w:color w:val="auto"/>
              </w:rPr>
            </w:pPr>
          </w:p>
        </w:tc>
        <w:tc>
          <w:tcPr>
            <w:tcW w:w="1220" w:type="dxa"/>
            <w:vAlign w:val="bottom"/>
            <w:tcBorders>
              <w:right w:val="single" w:sz="8" w:color="231F20"/>
            </w:tcBorders>
            <w:vMerge w:val="restart"/>
            <w:shd w:val="clear" w:color="auto" w:fill="F3F3F3"/>
          </w:tcPr>
          <w:p>
            <w:pPr>
              <w:ind w:left="40"/>
              <w:spacing w:after="0"/>
              <w:rPr>
                <w:sz w:val="20"/>
                <w:szCs w:val="20"/>
                <w:color w:val="auto"/>
              </w:rPr>
            </w:pPr>
            <w:r>
              <w:rPr>
                <w:rFonts w:ascii="Arial" w:cs="Arial" w:eastAsia="Arial" w:hAnsi="Arial"/>
                <w:sz w:val="10"/>
                <w:szCs w:val="10"/>
                <w:color w:val="231F20"/>
              </w:rPr>
              <w:t>Launched U.S.</w:t>
            </w:r>
          </w:p>
        </w:tc>
        <w:tc>
          <w:tcPr>
            <w:tcW w:w="1200" w:type="dxa"/>
            <w:vAlign w:val="bottom"/>
            <w:tcBorders>
              <w:right w:val="single" w:sz="8" w:color="231F20"/>
            </w:tcBorders>
            <w:shd w:val="clear" w:color="auto" w:fill="F3F3F3"/>
          </w:tcPr>
          <w:p>
            <w:pPr>
              <w:spacing w:after="0"/>
              <w:rPr>
                <w:sz w:val="2"/>
                <w:szCs w:val="2"/>
                <w:color w:val="auto"/>
              </w:rPr>
            </w:pPr>
          </w:p>
        </w:tc>
        <w:tc>
          <w:tcPr>
            <w:tcW w:w="1380" w:type="dxa"/>
            <w:vAlign w:val="bottom"/>
            <w:tcBorders>
              <w:right w:val="single" w:sz="8" w:color="231F20"/>
            </w:tcBorders>
            <w:shd w:val="clear" w:color="auto" w:fill="F3F3F3"/>
          </w:tcPr>
          <w:p>
            <w:pPr>
              <w:spacing w:after="0"/>
              <w:rPr>
                <w:sz w:val="2"/>
                <w:szCs w:val="2"/>
                <w:color w:val="auto"/>
              </w:rPr>
            </w:pPr>
          </w:p>
        </w:tc>
        <w:tc>
          <w:tcPr>
            <w:tcW w:w="600" w:type="dxa"/>
            <w:vAlign w:val="bottom"/>
            <w:vMerge w:val="continue"/>
            <w:shd w:val="clear" w:color="auto" w:fill="F3F3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860" w:type="dxa"/>
            <w:vAlign w:val="bottom"/>
            <w:shd w:val="clear" w:color="auto" w:fill="E9EAEB"/>
          </w:tcPr>
          <w:p>
            <w:pPr>
              <w:spacing w:after="0"/>
              <w:rPr>
                <w:sz w:val="8"/>
                <w:szCs w:val="8"/>
                <w:color w:val="auto"/>
              </w:rPr>
            </w:pPr>
          </w:p>
        </w:tc>
        <w:tc>
          <w:tcPr>
            <w:tcW w:w="100" w:type="dxa"/>
            <w:vAlign w:val="bottom"/>
            <w:tcBorders>
              <w:right w:val="single" w:sz="8" w:color="231F20"/>
            </w:tcBorders>
            <w:shd w:val="clear" w:color="auto" w:fill="E9EAEB"/>
          </w:tcPr>
          <w:p>
            <w:pPr>
              <w:spacing w:after="0"/>
              <w:rPr>
                <w:sz w:val="8"/>
                <w:szCs w:val="8"/>
                <w:color w:val="auto"/>
              </w:rPr>
            </w:pPr>
          </w:p>
        </w:tc>
        <w:tc>
          <w:tcPr>
            <w:tcW w:w="900" w:type="dxa"/>
            <w:vAlign w:val="bottom"/>
            <w:shd w:val="clear" w:color="auto" w:fill="F3F3F3"/>
          </w:tcPr>
          <w:p>
            <w:pPr>
              <w:spacing w:after="0"/>
              <w:rPr>
                <w:sz w:val="8"/>
                <w:szCs w:val="8"/>
                <w:color w:val="auto"/>
              </w:rPr>
            </w:pPr>
          </w:p>
        </w:tc>
        <w:tc>
          <w:tcPr>
            <w:tcW w:w="220" w:type="dxa"/>
            <w:vAlign w:val="bottom"/>
            <w:tcBorders>
              <w:right w:val="single" w:sz="8" w:color="231F20"/>
            </w:tcBorders>
            <w:shd w:val="clear" w:color="auto" w:fill="F3F3F3"/>
          </w:tcPr>
          <w:p>
            <w:pPr>
              <w:spacing w:after="0"/>
              <w:rPr>
                <w:sz w:val="8"/>
                <w:szCs w:val="8"/>
                <w:color w:val="auto"/>
              </w:rPr>
            </w:pPr>
          </w:p>
        </w:tc>
        <w:tc>
          <w:tcPr>
            <w:tcW w:w="40" w:type="dxa"/>
            <w:vAlign w:val="bottom"/>
            <w:shd w:val="clear" w:color="auto" w:fill="F3F3F3"/>
          </w:tcPr>
          <w:p>
            <w:pPr>
              <w:spacing w:after="0"/>
              <w:rPr>
                <w:sz w:val="8"/>
                <w:szCs w:val="8"/>
                <w:color w:val="auto"/>
              </w:rPr>
            </w:pPr>
          </w:p>
        </w:tc>
        <w:tc>
          <w:tcPr>
            <w:tcW w:w="1140" w:type="dxa"/>
            <w:vAlign w:val="bottom"/>
            <w:tcBorders>
              <w:right w:val="single" w:sz="8" w:color="231F20"/>
            </w:tcBorders>
            <w:shd w:val="clear" w:color="auto" w:fill="F3F3F3"/>
          </w:tcPr>
          <w:p>
            <w:pPr>
              <w:spacing w:after="0"/>
              <w:rPr>
                <w:sz w:val="8"/>
                <w:szCs w:val="8"/>
                <w:color w:val="auto"/>
              </w:rPr>
            </w:pPr>
          </w:p>
        </w:tc>
        <w:tc>
          <w:tcPr>
            <w:tcW w:w="20" w:type="dxa"/>
            <w:vAlign w:val="bottom"/>
            <w:shd w:val="clear" w:color="auto" w:fill="F3F3F3"/>
          </w:tcPr>
          <w:p>
            <w:pPr>
              <w:spacing w:after="0"/>
              <w:rPr>
                <w:sz w:val="8"/>
                <w:szCs w:val="8"/>
                <w:color w:val="auto"/>
              </w:rPr>
            </w:pPr>
          </w:p>
        </w:tc>
        <w:tc>
          <w:tcPr>
            <w:tcW w:w="1380" w:type="dxa"/>
            <w:vAlign w:val="bottom"/>
            <w:tcBorders>
              <w:right w:val="single" w:sz="8" w:color="231F20"/>
            </w:tcBorders>
            <w:shd w:val="clear" w:color="auto" w:fill="F3F3F3"/>
          </w:tcPr>
          <w:p>
            <w:pPr>
              <w:spacing w:after="0"/>
              <w:rPr>
                <w:sz w:val="8"/>
                <w:szCs w:val="8"/>
                <w:color w:val="auto"/>
              </w:rPr>
            </w:pPr>
          </w:p>
        </w:tc>
        <w:tc>
          <w:tcPr>
            <w:tcW w:w="1220" w:type="dxa"/>
            <w:vAlign w:val="bottom"/>
            <w:tcBorders>
              <w:right w:val="single" w:sz="8" w:color="231F20"/>
            </w:tcBorders>
            <w:vMerge w:val="continue"/>
            <w:shd w:val="clear" w:color="auto" w:fill="F3F3F3"/>
          </w:tcPr>
          <w:p>
            <w:pPr>
              <w:spacing w:after="0"/>
              <w:rPr>
                <w:sz w:val="8"/>
                <w:szCs w:val="8"/>
                <w:color w:val="auto"/>
              </w:rPr>
            </w:pPr>
          </w:p>
        </w:tc>
        <w:tc>
          <w:tcPr>
            <w:tcW w:w="1200" w:type="dxa"/>
            <w:vAlign w:val="bottom"/>
            <w:tcBorders>
              <w:right w:val="single" w:sz="8" w:color="231F20"/>
            </w:tcBorders>
            <w:shd w:val="clear" w:color="auto" w:fill="F3F3F3"/>
          </w:tcPr>
          <w:p>
            <w:pPr>
              <w:spacing w:after="0"/>
              <w:rPr>
                <w:sz w:val="8"/>
                <w:szCs w:val="8"/>
                <w:color w:val="auto"/>
              </w:rPr>
            </w:pPr>
          </w:p>
        </w:tc>
        <w:tc>
          <w:tcPr>
            <w:tcW w:w="1380" w:type="dxa"/>
            <w:vAlign w:val="bottom"/>
            <w:tcBorders>
              <w:right w:val="single" w:sz="8" w:color="231F20"/>
            </w:tcBorders>
            <w:shd w:val="clear" w:color="auto" w:fill="F3F3F3"/>
          </w:tcPr>
          <w:p>
            <w:pPr>
              <w:spacing w:after="0"/>
              <w:rPr>
                <w:sz w:val="8"/>
                <w:szCs w:val="8"/>
                <w:color w:val="auto"/>
              </w:rPr>
            </w:pPr>
          </w:p>
        </w:tc>
        <w:tc>
          <w:tcPr>
            <w:tcW w:w="600" w:type="dxa"/>
            <w:vAlign w:val="bottom"/>
            <w:shd w:val="clear" w:color="auto" w:fill="F3F3F3"/>
          </w:tcPr>
          <w:p>
            <w:pPr>
              <w:ind w:left="40"/>
              <w:spacing w:after="0" w:line="96" w:lineRule="exact"/>
              <w:rPr>
                <w:sz w:val="20"/>
                <w:szCs w:val="20"/>
                <w:color w:val="auto"/>
              </w:rPr>
            </w:pPr>
            <w:r>
              <w:rPr>
                <w:rFonts w:ascii="Arial" w:cs="Arial" w:eastAsia="Arial" w:hAnsi="Arial"/>
                <w:sz w:val="10"/>
                <w:szCs w:val="10"/>
                <w:color w:val="231F20"/>
              </w:rPr>
              <w:t>package</w:t>
            </w:r>
          </w:p>
        </w:tc>
        <w:tc>
          <w:tcPr>
            <w:tcW w:w="0" w:type="dxa"/>
            <w:vAlign w:val="bottom"/>
          </w:tcPr>
          <w:p>
            <w:pPr>
              <w:spacing w:after="0"/>
              <w:rPr>
                <w:sz w:val="1"/>
                <w:szCs w:val="1"/>
                <w:color w:val="auto"/>
              </w:rPr>
            </w:pPr>
          </w:p>
        </w:tc>
      </w:tr>
      <w:tr>
        <w:trPr>
          <w:trHeight w:val="122"/>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spacing w:after="0"/>
              <w:rPr>
                <w:sz w:val="10"/>
                <w:szCs w:val="10"/>
                <w:color w:val="auto"/>
              </w:rPr>
            </w:pP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1220" w:type="dxa"/>
            <w:vAlign w:val="bottom"/>
            <w:tcBorders>
              <w:right w:val="single" w:sz="8" w:color="231F20"/>
            </w:tcBorders>
            <w:shd w:val="clear" w:color="auto" w:fill="F3F3F3"/>
          </w:tcPr>
          <w:p>
            <w:pPr>
              <w:ind w:left="40"/>
              <w:spacing w:after="0"/>
              <w:rPr>
                <w:sz w:val="20"/>
                <w:szCs w:val="20"/>
                <w:color w:val="auto"/>
              </w:rPr>
            </w:pPr>
            <w:r>
              <w:rPr>
                <w:rFonts w:ascii="Arial" w:cs="Arial" w:eastAsia="Arial" w:hAnsi="Arial"/>
                <w:sz w:val="10"/>
                <w:szCs w:val="10"/>
                <w:color w:val="231F20"/>
              </w:rPr>
              <w:t>corporate bonds</w:t>
            </w: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vMerge w:val="restart"/>
            <w:shd w:val="clear" w:color="auto" w:fill="F3F3F3"/>
          </w:tcPr>
          <w:p>
            <w:pPr>
              <w:ind w:left="40"/>
              <w:spacing w:after="0"/>
              <w:rPr>
                <w:sz w:val="20"/>
                <w:szCs w:val="20"/>
                <w:color w:val="auto"/>
              </w:rPr>
            </w:pPr>
            <w:r>
              <w:rPr>
                <w:rFonts w:ascii="Arial" w:cs="Arial" w:eastAsia="Arial" w:hAnsi="Arial"/>
                <w:sz w:val="10"/>
                <w:szCs w:val="10"/>
                <w:color w:val="231F20"/>
              </w:rPr>
              <w:t>trading</w:t>
            </w:r>
          </w:p>
        </w:tc>
        <w:tc>
          <w:tcPr>
            <w:tcW w:w="0" w:type="dxa"/>
            <w:vAlign w:val="bottom"/>
          </w:tcPr>
          <w:p>
            <w:pPr>
              <w:spacing w:after="0"/>
              <w:rPr>
                <w:sz w:val="1"/>
                <w:szCs w:val="1"/>
                <w:color w:val="auto"/>
              </w:rPr>
            </w:pPr>
          </w:p>
        </w:tc>
      </w:tr>
      <w:tr>
        <w:trPr>
          <w:trHeight w:val="25"/>
        </w:trPr>
        <w:tc>
          <w:tcPr>
            <w:tcW w:w="860" w:type="dxa"/>
            <w:vAlign w:val="bottom"/>
            <w:shd w:val="clear" w:color="auto" w:fill="E9EAEB"/>
          </w:tcPr>
          <w:p>
            <w:pPr>
              <w:spacing w:after="0"/>
              <w:rPr>
                <w:sz w:val="2"/>
                <w:szCs w:val="2"/>
                <w:color w:val="auto"/>
              </w:rPr>
            </w:pPr>
          </w:p>
        </w:tc>
        <w:tc>
          <w:tcPr>
            <w:tcW w:w="100" w:type="dxa"/>
            <w:vAlign w:val="bottom"/>
            <w:tcBorders>
              <w:right w:val="single" w:sz="8" w:color="231F20"/>
            </w:tcBorders>
            <w:shd w:val="clear" w:color="auto" w:fill="E9EAEB"/>
          </w:tcPr>
          <w:p>
            <w:pPr>
              <w:spacing w:after="0"/>
              <w:rPr>
                <w:sz w:val="2"/>
                <w:szCs w:val="2"/>
                <w:color w:val="auto"/>
              </w:rPr>
            </w:pPr>
          </w:p>
        </w:tc>
        <w:tc>
          <w:tcPr>
            <w:tcW w:w="900" w:type="dxa"/>
            <w:vAlign w:val="bottom"/>
            <w:shd w:val="clear" w:color="auto" w:fill="F3F3F3"/>
          </w:tcPr>
          <w:p>
            <w:pPr>
              <w:spacing w:after="0"/>
              <w:rPr>
                <w:sz w:val="2"/>
                <w:szCs w:val="2"/>
                <w:color w:val="auto"/>
              </w:rPr>
            </w:pPr>
          </w:p>
        </w:tc>
        <w:tc>
          <w:tcPr>
            <w:tcW w:w="220" w:type="dxa"/>
            <w:vAlign w:val="bottom"/>
            <w:tcBorders>
              <w:right w:val="single" w:sz="8" w:color="231F20"/>
            </w:tcBorders>
            <w:shd w:val="clear" w:color="auto" w:fill="F3F3F3"/>
          </w:tcPr>
          <w:p>
            <w:pPr>
              <w:spacing w:after="0"/>
              <w:rPr>
                <w:sz w:val="2"/>
                <w:szCs w:val="2"/>
                <w:color w:val="auto"/>
              </w:rPr>
            </w:pPr>
          </w:p>
        </w:tc>
        <w:tc>
          <w:tcPr>
            <w:tcW w:w="40" w:type="dxa"/>
            <w:vAlign w:val="bottom"/>
            <w:shd w:val="clear" w:color="auto" w:fill="F3F3F3"/>
          </w:tcPr>
          <w:p>
            <w:pPr>
              <w:spacing w:after="0"/>
              <w:rPr>
                <w:sz w:val="2"/>
                <w:szCs w:val="2"/>
                <w:color w:val="auto"/>
              </w:rPr>
            </w:pPr>
          </w:p>
        </w:tc>
        <w:tc>
          <w:tcPr>
            <w:tcW w:w="1140" w:type="dxa"/>
            <w:vAlign w:val="bottom"/>
            <w:tcBorders>
              <w:right w:val="single" w:sz="8" w:color="231F20"/>
            </w:tcBorders>
            <w:shd w:val="clear" w:color="auto" w:fill="F3F3F3"/>
          </w:tcPr>
          <w:p>
            <w:pPr>
              <w:spacing w:after="0"/>
              <w:rPr>
                <w:sz w:val="2"/>
                <w:szCs w:val="2"/>
                <w:color w:val="auto"/>
              </w:rPr>
            </w:pPr>
          </w:p>
        </w:tc>
        <w:tc>
          <w:tcPr>
            <w:tcW w:w="20" w:type="dxa"/>
            <w:vAlign w:val="bottom"/>
            <w:shd w:val="clear" w:color="auto" w:fill="F3F3F3"/>
          </w:tcPr>
          <w:p>
            <w:pPr>
              <w:spacing w:after="0"/>
              <w:rPr>
                <w:sz w:val="2"/>
                <w:szCs w:val="2"/>
                <w:color w:val="auto"/>
              </w:rPr>
            </w:pPr>
          </w:p>
        </w:tc>
        <w:tc>
          <w:tcPr>
            <w:tcW w:w="1380" w:type="dxa"/>
            <w:vAlign w:val="bottom"/>
            <w:tcBorders>
              <w:right w:val="single" w:sz="8" w:color="231F20"/>
            </w:tcBorders>
            <w:shd w:val="clear" w:color="auto" w:fill="F3F3F3"/>
          </w:tcPr>
          <w:p>
            <w:pPr>
              <w:spacing w:after="0"/>
              <w:rPr>
                <w:sz w:val="2"/>
                <w:szCs w:val="2"/>
                <w:color w:val="auto"/>
              </w:rPr>
            </w:pPr>
          </w:p>
        </w:tc>
        <w:tc>
          <w:tcPr>
            <w:tcW w:w="1220" w:type="dxa"/>
            <w:vAlign w:val="bottom"/>
            <w:tcBorders>
              <w:right w:val="single" w:sz="8" w:color="231F20"/>
            </w:tcBorders>
            <w:shd w:val="clear" w:color="auto" w:fill="F3F3F3"/>
          </w:tcPr>
          <w:p>
            <w:pPr>
              <w:spacing w:after="0"/>
              <w:rPr>
                <w:sz w:val="2"/>
                <w:szCs w:val="2"/>
                <w:color w:val="auto"/>
              </w:rPr>
            </w:pPr>
          </w:p>
        </w:tc>
        <w:tc>
          <w:tcPr>
            <w:tcW w:w="1200" w:type="dxa"/>
            <w:vAlign w:val="bottom"/>
            <w:tcBorders>
              <w:right w:val="single" w:sz="8" w:color="231F20"/>
            </w:tcBorders>
            <w:shd w:val="clear" w:color="auto" w:fill="F3F3F3"/>
          </w:tcPr>
          <w:p>
            <w:pPr>
              <w:spacing w:after="0"/>
              <w:rPr>
                <w:sz w:val="2"/>
                <w:szCs w:val="2"/>
                <w:color w:val="auto"/>
              </w:rPr>
            </w:pPr>
          </w:p>
        </w:tc>
        <w:tc>
          <w:tcPr>
            <w:tcW w:w="1380" w:type="dxa"/>
            <w:vAlign w:val="bottom"/>
            <w:tcBorders>
              <w:right w:val="single" w:sz="8" w:color="231F20"/>
            </w:tcBorders>
            <w:shd w:val="clear" w:color="auto" w:fill="F3F3F3"/>
          </w:tcPr>
          <w:p>
            <w:pPr>
              <w:spacing w:after="0"/>
              <w:rPr>
                <w:sz w:val="2"/>
                <w:szCs w:val="2"/>
                <w:color w:val="auto"/>
              </w:rPr>
            </w:pPr>
          </w:p>
        </w:tc>
        <w:tc>
          <w:tcPr>
            <w:tcW w:w="600" w:type="dxa"/>
            <w:vAlign w:val="bottom"/>
            <w:vMerge w:val="continue"/>
            <w:shd w:val="clear" w:color="auto" w:fill="F3F3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860" w:type="dxa"/>
            <w:vAlign w:val="bottom"/>
            <w:shd w:val="clear" w:color="auto" w:fill="E9EAEB"/>
          </w:tcPr>
          <w:p>
            <w:pPr>
              <w:spacing w:after="0"/>
              <w:rPr>
                <w:sz w:val="10"/>
                <w:szCs w:val="10"/>
                <w:color w:val="auto"/>
              </w:rPr>
            </w:pPr>
          </w:p>
        </w:tc>
        <w:tc>
          <w:tcPr>
            <w:tcW w:w="100" w:type="dxa"/>
            <w:vAlign w:val="bottom"/>
            <w:tcBorders>
              <w:right w:val="single" w:sz="8" w:color="231F20"/>
            </w:tcBorders>
            <w:shd w:val="clear" w:color="auto" w:fill="E9EAEB"/>
          </w:tcPr>
          <w:p>
            <w:pPr>
              <w:spacing w:after="0"/>
              <w:rPr>
                <w:sz w:val="10"/>
                <w:szCs w:val="10"/>
                <w:color w:val="auto"/>
              </w:rPr>
            </w:pPr>
          </w:p>
        </w:tc>
        <w:tc>
          <w:tcPr>
            <w:tcW w:w="900" w:type="dxa"/>
            <w:vAlign w:val="bottom"/>
            <w:shd w:val="clear" w:color="auto" w:fill="F3F3F3"/>
          </w:tcPr>
          <w:p>
            <w:pPr>
              <w:spacing w:after="0"/>
              <w:rPr>
                <w:sz w:val="10"/>
                <w:szCs w:val="10"/>
                <w:color w:val="auto"/>
              </w:rPr>
            </w:pPr>
          </w:p>
        </w:tc>
        <w:tc>
          <w:tcPr>
            <w:tcW w:w="220" w:type="dxa"/>
            <w:vAlign w:val="bottom"/>
            <w:tcBorders>
              <w:right w:val="single" w:sz="8" w:color="231F20"/>
            </w:tcBorders>
            <w:shd w:val="clear" w:color="auto" w:fill="F3F3F3"/>
          </w:tcPr>
          <w:p>
            <w:pPr>
              <w:spacing w:after="0"/>
              <w:rPr>
                <w:sz w:val="10"/>
                <w:szCs w:val="10"/>
                <w:color w:val="auto"/>
              </w:rPr>
            </w:pPr>
          </w:p>
        </w:tc>
        <w:tc>
          <w:tcPr>
            <w:tcW w:w="40" w:type="dxa"/>
            <w:vAlign w:val="bottom"/>
            <w:shd w:val="clear" w:color="auto" w:fill="F3F3F3"/>
          </w:tcPr>
          <w:p>
            <w:pPr>
              <w:spacing w:after="0"/>
              <w:rPr>
                <w:sz w:val="10"/>
                <w:szCs w:val="10"/>
                <w:color w:val="auto"/>
              </w:rPr>
            </w:pPr>
          </w:p>
        </w:tc>
        <w:tc>
          <w:tcPr>
            <w:tcW w:w="1140" w:type="dxa"/>
            <w:vAlign w:val="bottom"/>
            <w:tcBorders>
              <w:right w:val="single" w:sz="8" w:color="231F20"/>
            </w:tcBorders>
            <w:shd w:val="clear" w:color="auto" w:fill="F3F3F3"/>
          </w:tcPr>
          <w:p>
            <w:pPr>
              <w:spacing w:after="0"/>
              <w:rPr>
                <w:sz w:val="10"/>
                <w:szCs w:val="10"/>
                <w:color w:val="auto"/>
              </w:rPr>
            </w:pPr>
          </w:p>
        </w:tc>
        <w:tc>
          <w:tcPr>
            <w:tcW w:w="20" w:type="dxa"/>
            <w:vAlign w:val="bottom"/>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1220" w:type="dxa"/>
            <w:vAlign w:val="bottom"/>
            <w:tcBorders>
              <w:right w:val="single" w:sz="8" w:color="231F20"/>
            </w:tcBorders>
            <w:shd w:val="clear" w:color="auto" w:fill="F3F3F3"/>
          </w:tcPr>
          <w:p>
            <w:pPr>
              <w:spacing w:after="0"/>
              <w:rPr>
                <w:sz w:val="10"/>
                <w:szCs w:val="10"/>
                <w:color w:val="auto"/>
              </w:rPr>
            </w:pPr>
          </w:p>
        </w:tc>
        <w:tc>
          <w:tcPr>
            <w:tcW w:w="1200" w:type="dxa"/>
            <w:vAlign w:val="bottom"/>
            <w:tcBorders>
              <w:right w:val="single" w:sz="8" w:color="231F20"/>
            </w:tcBorders>
            <w:shd w:val="clear" w:color="auto" w:fill="F3F3F3"/>
          </w:tcPr>
          <w:p>
            <w:pPr>
              <w:spacing w:after="0"/>
              <w:rPr>
                <w:sz w:val="10"/>
                <w:szCs w:val="10"/>
                <w:color w:val="auto"/>
              </w:rPr>
            </w:pPr>
          </w:p>
        </w:tc>
        <w:tc>
          <w:tcPr>
            <w:tcW w:w="1380" w:type="dxa"/>
            <w:vAlign w:val="bottom"/>
            <w:tcBorders>
              <w:right w:val="single" w:sz="8" w:color="231F20"/>
            </w:tcBorders>
            <w:shd w:val="clear" w:color="auto" w:fill="F3F3F3"/>
          </w:tcPr>
          <w:p>
            <w:pPr>
              <w:spacing w:after="0"/>
              <w:rPr>
                <w:sz w:val="10"/>
                <w:szCs w:val="10"/>
                <w:color w:val="auto"/>
              </w:rPr>
            </w:pPr>
          </w:p>
        </w:tc>
        <w:tc>
          <w:tcPr>
            <w:tcW w:w="600" w:type="dxa"/>
            <w:vAlign w:val="bottom"/>
            <w:shd w:val="clear" w:color="auto" w:fill="F3F3F3"/>
          </w:tcPr>
          <w:p>
            <w:pPr>
              <w:ind w:left="40"/>
              <w:spacing w:after="0"/>
              <w:rPr>
                <w:sz w:val="20"/>
                <w:szCs w:val="20"/>
                <w:color w:val="auto"/>
              </w:rPr>
            </w:pPr>
            <w:r>
              <w:rPr>
                <w:rFonts w:ascii="Arial" w:cs="Arial" w:eastAsia="Arial" w:hAnsi="Arial"/>
                <w:sz w:val="10"/>
                <w:szCs w:val="10"/>
                <w:color w:val="231F20"/>
              </w:rPr>
              <w:t>functionality</w:t>
            </w:r>
          </w:p>
        </w:tc>
        <w:tc>
          <w:tcPr>
            <w:tcW w:w="0" w:type="dxa"/>
            <w:vAlign w:val="bottom"/>
          </w:tcPr>
          <w:p>
            <w:pPr>
              <w:spacing w:after="0"/>
              <w:rPr>
                <w:sz w:val="1"/>
                <w:szCs w:val="1"/>
                <w:color w:val="auto"/>
              </w:rPr>
            </w:pPr>
          </w:p>
        </w:tc>
      </w:tr>
      <w:tr>
        <w:trPr>
          <w:trHeight w:val="134"/>
        </w:trPr>
        <w:tc>
          <w:tcPr>
            <w:tcW w:w="860" w:type="dxa"/>
            <w:vAlign w:val="bottom"/>
            <w:shd w:val="clear" w:color="auto" w:fill="E9EAEB"/>
          </w:tcPr>
          <w:p>
            <w:pPr>
              <w:spacing w:after="0"/>
              <w:rPr>
                <w:sz w:val="11"/>
                <w:szCs w:val="11"/>
                <w:color w:val="auto"/>
              </w:rPr>
            </w:pPr>
          </w:p>
        </w:tc>
        <w:tc>
          <w:tcPr>
            <w:tcW w:w="100" w:type="dxa"/>
            <w:vAlign w:val="bottom"/>
            <w:tcBorders>
              <w:right w:val="single" w:sz="8" w:color="231F20"/>
            </w:tcBorders>
            <w:shd w:val="clear" w:color="auto" w:fill="E9EAEB"/>
          </w:tcPr>
          <w:p>
            <w:pPr>
              <w:spacing w:after="0"/>
              <w:rPr>
                <w:sz w:val="11"/>
                <w:szCs w:val="11"/>
                <w:color w:val="auto"/>
              </w:rPr>
            </w:pPr>
          </w:p>
        </w:tc>
        <w:tc>
          <w:tcPr>
            <w:tcW w:w="900" w:type="dxa"/>
            <w:vAlign w:val="bottom"/>
            <w:shd w:val="clear" w:color="auto" w:fill="F3F3F3"/>
          </w:tcPr>
          <w:p>
            <w:pPr>
              <w:spacing w:after="0"/>
              <w:rPr>
                <w:sz w:val="11"/>
                <w:szCs w:val="11"/>
                <w:color w:val="auto"/>
              </w:rPr>
            </w:pPr>
          </w:p>
        </w:tc>
        <w:tc>
          <w:tcPr>
            <w:tcW w:w="220" w:type="dxa"/>
            <w:vAlign w:val="bottom"/>
            <w:tcBorders>
              <w:right w:val="single" w:sz="8" w:color="231F20"/>
            </w:tcBorders>
            <w:shd w:val="clear" w:color="auto" w:fill="F3F3F3"/>
          </w:tcPr>
          <w:p>
            <w:pPr>
              <w:spacing w:after="0"/>
              <w:rPr>
                <w:sz w:val="11"/>
                <w:szCs w:val="11"/>
                <w:color w:val="auto"/>
              </w:rPr>
            </w:pPr>
          </w:p>
        </w:tc>
        <w:tc>
          <w:tcPr>
            <w:tcW w:w="40" w:type="dxa"/>
            <w:vAlign w:val="bottom"/>
            <w:shd w:val="clear" w:color="auto" w:fill="F3F3F3"/>
          </w:tcPr>
          <w:p>
            <w:pPr>
              <w:spacing w:after="0"/>
              <w:rPr>
                <w:sz w:val="11"/>
                <w:szCs w:val="11"/>
                <w:color w:val="auto"/>
              </w:rPr>
            </w:pPr>
          </w:p>
        </w:tc>
        <w:tc>
          <w:tcPr>
            <w:tcW w:w="1140" w:type="dxa"/>
            <w:vAlign w:val="bottom"/>
            <w:tcBorders>
              <w:right w:val="single" w:sz="8" w:color="231F20"/>
            </w:tcBorders>
            <w:shd w:val="clear" w:color="auto" w:fill="F3F3F3"/>
          </w:tcPr>
          <w:p>
            <w:pPr>
              <w:spacing w:after="0"/>
              <w:rPr>
                <w:sz w:val="11"/>
                <w:szCs w:val="11"/>
                <w:color w:val="auto"/>
              </w:rPr>
            </w:pPr>
          </w:p>
        </w:tc>
        <w:tc>
          <w:tcPr>
            <w:tcW w:w="20" w:type="dxa"/>
            <w:vAlign w:val="bottom"/>
            <w:shd w:val="clear" w:color="auto" w:fill="F3F3F3"/>
          </w:tcPr>
          <w:p>
            <w:pPr>
              <w:spacing w:after="0"/>
              <w:rPr>
                <w:sz w:val="11"/>
                <w:szCs w:val="11"/>
                <w:color w:val="auto"/>
              </w:rPr>
            </w:pPr>
          </w:p>
        </w:tc>
        <w:tc>
          <w:tcPr>
            <w:tcW w:w="1380" w:type="dxa"/>
            <w:vAlign w:val="bottom"/>
            <w:tcBorders>
              <w:right w:val="single" w:sz="8" w:color="231F20"/>
            </w:tcBorders>
            <w:shd w:val="clear" w:color="auto" w:fill="F3F3F3"/>
          </w:tcPr>
          <w:p>
            <w:pPr>
              <w:spacing w:after="0"/>
              <w:rPr>
                <w:sz w:val="11"/>
                <w:szCs w:val="11"/>
                <w:color w:val="auto"/>
              </w:rPr>
            </w:pPr>
          </w:p>
        </w:tc>
        <w:tc>
          <w:tcPr>
            <w:tcW w:w="1220" w:type="dxa"/>
            <w:vAlign w:val="bottom"/>
            <w:tcBorders>
              <w:right w:val="single" w:sz="8" w:color="231F20"/>
            </w:tcBorders>
            <w:shd w:val="clear" w:color="auto" w:fill="F3F3F3"/>
          </w:tcPr>
          <w:p>
            <w:pPr>
              <w:spacing w:after="0"/>
              <w:rPr>
                <w:sz w:val="11"/>
                <w:szCs w:val="11"/>
                <w:color w:val="auto"/>
              </w:rPr>
            </w:pPr>
          </w:p>
        </w:tc>
        <w:tc>
          <w:tcPr>
            <w:tcW w:w="1200" w:type="dxa"/>
            <w:vAlign w:val="bottom"/>
            <w:tcBorders>
              <w:right w:val="single" w:sz="8" w:color="231F20"/>
            </w:tcBorders>
            <w:shd w:val="clear" w:color="auto" w:fill="F3F3F3"/>
          </w:tcPr>
          <w:p>
            <w:pPr>
              <w:spacing w:after="0"/>
              <w:rPr>
                <w:sz w:val="11"/>
                <w:szCs w:val="11"/>
                <w:color w:val="auto"/>
              </w:rPr>
            </w:pPr>
          </w:p>
        </w:tc>
        <w:tc>
          <w:tcPr>
            <w:tcW w:w="1380" w:type="dxa"/>
            <w:vAlign w:val="bottom"/>
            <w:tcBorders>
              <w:right w:val="single" w:sz="8" w:color="231F20"/>
            </w:tcBorders>
            <w:shd w:val="clear" w:color="auto" w:fill="F3F3F3"/>
          </w:tcPr>
          <w:p>
            <w:pPr>
              <w:spacing w:after="0"/>
              <w:rPr>
                <w:sz w:val="11"/>
                <w:szCs w:val="11"/>
                <w:color w:val="auto"/>
              </w:rPr>
            </w:pPr>
          </w:p>
        </w:tc>
        <w:tc>
          <w:tcPr>
            <w:tcW w:w="600" w:type="dxa"/>
            <w:vAlign w:val="bottom"/>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860" w:type="dxa"/>
            <w:vAlign w:val="bottom"/>
            <w:shd w:val="clear" w:color="auto" w:fill="000000"/>
          </w:tcPr>
          <w:p>
            <w:pPr>
              <w:spacing w:after="0"/>
              <w:rPr>
                <w:sz w:val="20"/>
                <w:szCs w:val="20"/>
                <w:color w:val="auto"/>
              </w:rPr>
            </w:pPr>
          </w:p>
        </w:tc>
        <w:tc>
          <w:tcPr>
            <w:tcW w:w="1000" w:type="dxa"/>
            <w:vAlign w:val="bottom"/>
            <w:gridSpan w:val="2"/>
            <w:shd w:val="clear" w:color="auto" w:fill="000000"/>
          </w:tcPr>
          <w:p>
            <w:pPr>
              <w:jc w:val="right"/>
              <w:ind w:right="754"/>
              <w:spacing w:after="0"/>
              <w:rPr>
                <w:sz w:val="20"/>
                <w:szCs w:val="20"/>
                <w:color w:val="auto"/>
              </w:rPr>
            </w:pPr>
            <w:r>
              <w:rPr>
                <w:rFonts w:ascii="Arial" w:cs="Arial" w:eastAsia="Arial" w:hAnsi="Arial"/>
                <w:sz w:val="10"/>
                <w:szCs w:val="10"/>
                <w:b w:val="1"/>
                <w:bCs w:val="1"/>
                <w:color w:val="FFFFFF"/>
                <w:w w:val="80"/>
              </w:rPr>
              <w:t>1996</w:t>
            </w:r>
          </w:p>
        </w:tc>
        <w:tc>
          <w:tcPr>
            <w:tcW w:w="260" w:type="dxa"/>
            <w:vAlign w:val="bottom"/>
            <w:gridSpan w:val="2"/>
            <w:shd w:val="clear" w:color="auto" w:fill="000000"/>
          </w:tcPr>
          <w:p>
            <w:pPr>
              <w:jc w:val="right"/>
              <w:ind w:right="20"/>
              <w:spacing w:after="0"/>
              <w:rPr>
                <w:sz w:val="20"/>
                <w:szCs w:val="20"/>
                <w:color w:val="auto"/>
              </w:rPr>
            </w:pPr>
            <w:r>
              <w:rPr>
                <w:rFonts w:ascii="Arial" w:cs="Arial" w:eastAsia="Arial" w:hAnsi="Arial"/>
                <w:sz w:val="10"/>
                <w:szCs w:val="10"/>
                <w:b w:val="1"/>
                <w:bCs w:val="1"/>
                <w:color w:val="FFFFFF"/>
                <w:w w:val="98"/>
              </w:rPr>
              <w:t>2000</w:t>
            </w:r>
          </w:p>
        </w:tc>
        <w:tc>
          <w:tcPr>
            <w:tcW w:w="1160" w:type="dxa"/>
            <w:vAlign w:val="bottom"/>
            <w:gridSpan w:val="2"/>
            <w:shd w:val="clear" w:color="auto" w:fill="000000"/>
          </w:tcPr>
          <w:p>
            <w:pPr>
              <w:ind w:left="940"/>
              <w:spacing w:after="0"/>
              <w:rPr>
                <w:sz w:val="20"/>
                <w:szCs w:val="20"/>
                <w:color w:val="auto"/>
              </w:rPr>
            </w:pPr>
            <w:r>
              <w:rPr>
                <w:rFonts w:ascii="Arial" w:cs="Arial" w:eastAsia="Arial" w:hAnsi="Arial"/>
                <w:sz w:val="10"/>
                <w:szCs w:val="10"/>
                <w:b w:val="1"/>
                <w:bCs w:val="1"/>
                <w:color w:val="FFFFFF"/>
                <w:w w:val="89"/>
              </w:rPr>
              <w:t>2005</w:t>
            </w:r>
          </w:p>
        </w:tc>
        <w:tc>
          <w:tcPr>
            <w:tcW w:w="1380" w:type="dxa"/>
            <w:vAlign w:val="bottom"/>
            <w:tcBorders>
              <w:right w:val="single" w:sz="8" w:color="auto"/>
            </w:tcBorders>
            <w:shd w:val="clear" w:color="auto" w:fill="000000"/>
          </w:tcPr>
          <w:p>
            <w:pPr>
              <w:ind w:left="1060"/>
              <w:spacing w:after="0"/>
              <w:rPr>
                <w:sz w:val="20"/>
                <w:szCs w:val="20"/>
                <w:color w:val="auto"/>
              </w:rPr>
            </w:pPr>
            <w:r>
              <w:rPr>
                <w:rFonts w:ascii="Arial" w:cs="Arial" w:eastAsia="Arial" w:hAnsi="Arial"/>
                <w:sz w:val="10"/>
                <w:szCs w:val="10"/>
                <w:b w:val="1"/>
                <w:bCs w:val="1"/>
                <w:color w:val="FFFFFF"/>
              </w:rPr>
              <w:t>2010</w:t>
            </w:r>
          </w:p>
        </w:tc>
        <w:tc>
          <w:tcPr>
            <w:tcW w:w="1220" w:type="dxa"/>
            <w:vAlign w:val="bottom"/>
            <w:tcBorders>
              <w:right w:val="single" w:sz="8" w:color="auto"/>
            </w:tcBorders>
            <w:shd w:val="clear" w:color="auto" w:fill="000000"/>
          </w:tcPr>
          <w:p>
            <w:pPr>
              <w:ind w:left="1000"/>
              <w:spacing w:after="0"/>
              <w:rPr>
                <w:sz w:val="20"/>
                <w:szCs w:val="20"/>
                <w:color w:val="auto"/>
              </w:rPr>
            </w:pPr>
            <w:r>
              <w:rPr>
                <w:rFonts w:ascii="Arial" w:cs="Arial" w:eastAsia="Arial" w:hAnsi="Arial"/>
                <w:sz w:val="10"/>
                <w:szCs w:val="10"/>
                <w:b w:val="1"/>
                <w:bCs w:val="1"/>
                <w:color w:val="FFFFFF"/>
                <w:w w:val="80"/>
              </w:rPr>
              <w:t>2015</w:t>
            </w:r>
          </w:p>
        </w:tc>
        <w:tc>
          <w:tcPr>
            <w:tcW w:w="1200" w:type="dxa"/>
            <w:vAlign w:val="bottom"/>
            <w:tcBorders>
              <w:right w:val="single" w:sz="8" w:color="auto"/>
            </w:tcBorders>
            <w:shd w:val="clear" w:color="auto" w:fill="000000"/>
          </w:tcPr>
          <w:p>
            <w:pPr>
              <w:ind w:left="960"/>
              <w:spacing w:after="0"/>
              <w:rPr>
                <w:sz w:val="20"/>
                <w:szCs w:val="20"/>
                <w:color w:val="auto"/>
              </w:rPr>
            </w:pPr>
            <w:r>
              <w:rPr>
                <w:rFonts w:ascii="Arial" w:cs="Arial" w:eastAsia="Arial" w:hAnsi="Arial"/>
                <w:sz w:val="10"/>
                <w:szCs w:val="10"/>
                <w:b w:val="1"/>
                <w:bCs w:val="1"/>
                <w:color w:val="FFFFFF"/>
                <w:w w:val="89"/>
              </w:rPr>
              <w:t>2018</w:t>
            </w:r>
          </w:p>
        </w:tc>
        <w:tc>
          <w:tcPr>
            <w:tcW w:w="1380" w:type="dxa"/>
            <w:vAlign w:val="bottom"/>
            <w:tcBorders>
              <w:right w:val="single" w:sz="8" w:color="auto"/>
            </w:tcBorders>
            <w:shd w:val="clear" w:color="auto" w:fill="000000"/>
          </w:tcPr>
          <w:p>
            <w:pPr>
              <w:ind w:left="880"/>
              <w:spacing w:after="0"/>
              <w:rPr>
                <w:sz w:val="20"/>
                <w:szCs w:val="20"/>
                <w:color w:val="auto"/>
              </w:rPr>
            </w:pPr>
            <w:r>
              <w:rPr>
                <w:rFonts w:ascii="Arial" w:cs="Arial" w:eastAsia="Arial" w:hAnsi="Arial"/>
                <w:sz w:val="10"/>
                <w:szCs w:val="10"/>
                <w:b w:val="1"/>
                <w:bCs w:val="1"/>
                <w:color w:val="FFFFFF"/>
              </w:rPr>
              <w:t>2019</w:t>
            </w:r>
          </w:p>
        </w:tc>
        <w:tc>
          <w:tcPr>
            <w:tcW w:w="60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860" w:type="dxa"/>
            <w:vAlign w:val="bottom"/>
            <w:shd w:val="clear" w:color="auto" w:fill="000000"/>
          </w:tcPr>
          <w:p>
            <w:pPr>
              <w:spacing w:after="0"/>
              <w:rPr>
                <w:sz w:val="8"/>
                <w:szCs w:val="8"/>
                <w:color w:val="auto"/>
              </w:rPr>
            </w:pPr>
          </w:p>
        </w:tc>
        <w:tc>
          <w:tcPr>
            <w:tcW w:w="100" w:type="dxa"/>
            <w:vAlign w:val="bottom"/>
            <w:tcBorders>
              <w:right w:val="single" w:sz="8" w:color="auto"/>
            </w:tcBorders>
            <w:shd w:val="clear" w:color="auto" w:fill="000000"/>
          </w:tcPr>
          <w:p>
            <w:pPr>
              <w:spacing w:after="0"/>
              <w:rPr>
                <w:sz w:val="8"/>
                <w:szCs w:val="8"/>
                <w:color w:val="auto"/>
              </w:rPr>
            </w:pPr>
          </w:p>
        </w:tc>
        <w:tc>
          <w:tcPr>
            <w:tcW w:w="900" w:type="dxa"/>
            <w:vAlign w:val="bottom"/>
            <w:shd w:val="clear" w:color="auto" w:fill="000000"/>
          </w:tcPr>
          <w:p>
            <w:pPr>
              <w:spacing w:after="0"/>
              <w:rPr>
                <w:sz w:val="8"/>
                <w:szCs w:val="8"/>
                <w:color w:val="auto"/>
              </w:rPr>
            </w:pPr>
          </w:p>
        </w:tc>
        <w:tc>
          <w:tcPr>
            <w:tcW w:w="220" w:type="dxa"/>
            <w:vAlign w:val="bottom"/>
            <w:tcBorders>
              <w:right w:val="single" w:sz="8" w:color="auto"/>
            </w:tcBorders>
            <w:shd w:val="clear" w:color="auto" w:fill="000000"/>
          </w:tcPr>
          <w:p>
            <w:pPr>
              <w:spacing w:after="0"/>
              <w:rPr>
                <w:sz w:val="8"/>
                <w:szCs w:val="8"/>
                <w:color w:val="auto"/>
              </w:rPr>
            </w:pPr>
          </w:p>
        </w:tc>
        <w:tc>
          <w:tcPr>
            <w:tcW w:w="40" w:type="dxa"/>
            <w:vAlign w:val="bottom"/>
            <w:shd w:val="clear" w:color="auto" w:fill="000000"/>
          </w:tcPr>
          <w:p>
            <w:pPr>
              <w:spacing w:after="0"/>
              <w:rPr>
                <w:sz w:val="8"/>
                <w:szCs w:val="8"/>
                <w:color w:val="auto"/>
              </w:rPr>
            </w:pPr>
          </w:p>
        </w:tc>
        <w:tc>
          <w:tcPr>
            <w:tcW w:w="1140" w:type="dxa"/>
            <w:vAlign w:val="bottom"/>
            <w:tcBorders>
              <w:right w:val="single" w:sz="8" w:color="auto"/>
            </w:tcBorders>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380" w:type="dxa"/>
            <w:vAlign w:val="bottom"/>
            <w:tcBorders>
              <w:right w:val="single" w:sz="8" w:color="auto"/>
            </w:tcBorders>
            <w:shd w:val="clear" w:color="auto" w:fill="000000"/>
          </w:tcPr>
          <w:p>
            <w:pPr>
              <w:spacing w:after="0"/>
              <w:rPr>
                <w:sz w:val="8"/>
                <w:szCs w:val="8"/>
                <w:color w:val="auto"/>
              </w:rPr>
            </w:pPr>
          </w:p>
        </w:tc>
        <w:tc>
          <w:tcPr>
            <w:tcW w:w="1220" w:type="dxa"/>
            <w:vAlign w:val="bottom"/>
            <w:tcBorders>
              <w:right w:val="single" w:sz="8" w:color="auto"/>
            </w:tcBorders>
            <w:shd w:val="clear" w:color="auto" w:fill="000000"/>
          </w:tcPr>
          <w:p>
            <w:pPr>
              <w:spacing w:after="0"/>
              <w:rPr>
                <w:sz w:val="8"/>
                <w:szCs w:val="8"/>
                <w:color w:val="auto"/>
              </w:rPr>
            </w:pPr>
          </w:p>
        </w:tc>
        <w:tc>
          <w:tcPr>
            <w:tcW w:w="1200" w:type="dxa"/>
            <w:vAlign w:val="bottom"/>
            <w:tcBorders>
              <w:right w:val="single" w:sz="8" w:color="auto"/>
            </w:tcBorders>
            <w:shd w:val="clear" w:color="auto" w:fill="000000"/>
          </w:tcPr>
          <w:p>
            <w:pPr>
              <w:spacing w:after="0"/>
              <w:rPr>
                <w:sz w:val="8"/>
                <w:szCs w:val="8"/>
                <w:color w:val="auto"/>
              </w:rPr>
            </w:pPr>
          </w:p>
        </w:tc>
        <w:tc>
          <w:tcPr>
            <w:tcW w:w="1380" w:type="dxa"/>
            <w:vAlign w:val="bottom"/>
            <w:tcBorders>
              <w:right w:val="single" w:sz="8" w:color="auto"/>
            </w:tcBorders>
            <w:shd w:val="clear" w:color="auto" w:fill="000000"/>
          </w:tcPr>
          <w:p>
            <w:pPr>
              <w:spacing w:after="0"/>
              <w:rPr>
                <w:sz w:val="8"/>
                <w:szCs w:val="8"/>
                <w:color w:val="auto"/>
              </w:rPr>
            </w:pPr>
          </w:p>
        </w:tc>
        <w:tc>
          <w:tcPr>
            <w:tcW w:w="6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Market Opportunity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Continued Growth of Global Markets</w:t>
      </w:r>
    </w:p>
    <w:p>
      <w:pPr>
        <w:spacing w:after="0" w:line="225"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Based on industry sources and management estimates, the markets in which we participate are actively traded and growing, and we estimate that trading in rates, credit, ETFs and money markets generated average daily trading volumes of approximately $3.7 trillion, $0.1 trillion, $0.1 trillion and $2.3 trillion, respectively, during the year ended December 31, 2019 as compared to $2.1 trillion, $0.1 trillion, $0.1 trillion and $1.6 trillion, respectively, in 2015. As electronic trading in these markets continues to develop, we believe we are well positioned to increase our share of these markets over time. For the year ended December 31, 2019, calculated on the same basis as our calculation of our addressable markets, trading in certain of our rates, credit, ETFs and money markets products generated average daily trading volumes of $487 billion, $14 billion, $4 billion and $195 billion, respectively, and our average daily trading volumes for these product groups have increased by 25%, 32%, 12% and 23%, respectively, since 2015. Major market participants include large asset managers, hedge funds, central banks, banks and dealers, insurance companies, corporations, proprietary trading, brokerage and retail advisory firms, governments and retail investors</w:t>
      </w:r>
      <w:r>
        <w:rPr>
          <w:rFonts w:ascii="Arial" w:cs="Arial" w:eastAsia="Arial" w:hAnsi="Arial"/>
          <w:sz w:val="17"/>
          <w:szCs w:val="17"/>
          <w:color w:val="231F20"/>
        </w:rPr>
        <w:t>.</w:t>
      </w:r>
    </w:p>
    <w:p>
      <w:pPr>
        <w:spacing w:after="0" w:line="183"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 bond and Chinese bond markets have grown annually at 6% and 19%, respectively, since 2007, according to SIFMA and BIS. The U.S. and European ETF markets have each grown annually at nearly 20% since 2007, according to ETFGI. Continuing growth in these markets is expected to be driven by increasing global trading volumes, resulting from increased economic activity, new government and corporate debt issuances and the continued growth of passive investing. Markets have migrated to electronic trading platforms at different adoption rates — some gradually over time (e.g., government bonds and corporate bonds) and others on a more accelerated basis due to regulation (e.g., interest rate swaps).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 throughout the 24-hour trading day as market participants have become increasingly global and comprehensive, trading across multiple geographies, asset classes and currencies</w:t>
      </w:r>
      <w:r>
        <w:rPr>
          <w:rFonts w:ascii="Arial" w:cs="Arial" w:eastAsia="Arial" w:hAnsi="Arial"/>
          <w:sz w:val="18"/>
          <w:szCs w:val="18"/>
          <w:color w:val="231F20"/>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Electronification of Trading</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r>
        <w:rPr>
          <w:rFonts w:ascii="Arial" w:cs="Arial" w:eastAsia="Arial" w:hAnsi="Arial"/>
          <w:sz w:val="18"/>
          <w:szCs w:val="18"/>
          <w:color w:val="231F20"/>
        </w:rPr>
        <w:t>.</w:t>
      </w:r>
    </w:p>
    <w:p>
      <w:pPr>
        <w:spacing w:after="0" w:line="1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17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 confirmation systems and other third-party service providers. These integrations, which include over 375 proprietary client integrations and over 30 vendor integrations, help our clients to improve the efficiency of their front, middle and back offices and provide them with the opportunity to adopt end-to-end straight-through processing.</w:t>
      </w:r>
    </w:p>
    <w:p>
      <w:pPr>
        <w:spacing w:after="0" w:line="16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35% to 40% of overall trading volumes, according to industry sources and management estimates. Certain markets in which we operate have experienced higher rates of electronification, such as ETFs and 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18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Regulatory changes have also driven demand for electronification. The policy objectives of a number of post-2008 crisis reforms, such as the Dodd-Frank Wall Street Reform and Customer Protection Act (the “Dodd-Frank Act”), Basel III and Markets in Financial Instruments Directive II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and, in 2019, we had the leading market position in SEF trading for U.S. dollar-denominated interest rate swaps, excluding forward rate agreements, according to Clarus Financial Technology. In addition, higher capital requirements have driven dealers to reduce the size of their balance sheets and utilize the distribution and scale provided by electronic trading 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Unlocking the Value of Data for our Network</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r>
        <w:rPr>
          <w:rFonts w:ascii="Arial" w:cs="Arial" w:eastAsia="Arial" w:hAnsi="Arial"/>
          <w:sz w:val="16"/>
          <w:szCs w:val="16"/>
          <w:color w:val="231F20"/>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Network of Clients, Products, Geographies and Protocols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18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over 65 countries. For both the year ended December 31, 2019 and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pacing w:after="0" w:line="16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r>
        <w:rPr>
          <w:rFonts w:ascii="Arial" w:cs="Arial" w:eastAsia="Arial" w:hAnsi="Arial"/>
          <w:sz w:val="18"/>
          <w:szCs w:val="18"/>
          <w:color w:val="231F20"/>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Culture of Collaborative Innovation</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r>
        <w:rPr>
          <w:rFonts w:ascii="Arial" w:cs="Arial" w:eastAsia="Arial" w:hAnsi="Arial"/>
          <w:sz w:val="17"/>
          <w:szCs w:val="17"/>
          <w:color w:val="231F20"/>
        </w:rPr>
        <w: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and federal agencies to customize solutions for their particular needs in the TBA MBS market.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In conjunction with Freddie Mac, we developed a direct-to-Freddie Mac exchange path for institutional clients related to the single security initiative, paving the way for a combined Freddie Mac and Fannie Mae TBA market of Uniform Mortgage-Backed Securities. Through collaborative endeavors like these, we have become deeply integrated into our clients’ workflow and become a partner of choice for new innovations</w:t>
      </w:r>
      <w:r>
        <w:rPr>
          <w:rFonts w:ascii="Arial" w:cs="Arial" w:eastAsia="Arial" w:hAnsi="Arial"/>
          <w:sz w:val="17"/>
          <w:szCs w:val="17"/>
          <w:color w:val="231F20"/>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Scalable and Flexible Technology</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consistently use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and ongoing investments in technology and new product offerings, to help us stay at the forefront of the evolution of electronic trading</w:t>
      </w:r>
      <w:r>
        <w:rPr>
          <w:rFonts w:ascii="Arial" w:cs="Arial" w:eastAsia="Arial" w:hAnsi="Arial"/>
          <w:sz w:val="16"/>
          <w:szCs w:val="16"/>
          <w:color w:val="231F20"/>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Global Regulatory Footprint and Domain Expertise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r>
        <w:rPr>
          <w:rFonts w:ascii="Arial" w:cs="Arial" w:eastAsia="Arial" w:hAnsi="Arial"/>
          <w:sz w:val="18"/>
          <w:szCs w:val="18"/>
          <w:color w:val="231F20"/>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Platforms and Solutions Empowered by Data and Analytics</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Automated Intelligent Execution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 During the year ended December 31, 2019, the percentage of trades executed by our institutional clients using our AiEX functionality was 23% of total institutional trades, up from 6% in 2015, and we are seeing demand for AiEX continue to grow across some of our key products, including U.S. treasuries, European government bonds, global swaps, U.S. and European corporate bonds and global ETFs.</w:t>
      </w:r>
    </w:p>
    <w:p>
      <w:pPr>
        <w:spacing w:after="0" w:line="17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50,000 trades and over 1.0 billion pre-trade price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updates daily, that we collect centrally and use as inputs to our pre-trade indicative pricing and analytics. We maintain a full history of inquiries and transactions, which means, for example, we have 20 years of U.S. treasury data. We will seek to further monetize our data over time both through potential expansion of our existing market data license agreement with Refinitiv and through distributing additional datasets and analytics offerings through our own network or through other third-party networks.</w:t>
      </w:r>
    </w:p>
    <w:p>
      <w:pPr>
        <w:spacing w:after="0" w:line="188"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are continuously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and over-the-counter (“OTC”) reporting requirements under MiFID II. We now operate one of the largest fixed income APA services with over 100 clients, including 20 leading global banks, and expect to expand our APA service in the coming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Experienced Management Team</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14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Growth Strategies</w:t>
      </w:r>
    </w:p>
    <w:p>
      <w:pPr>
        <w:spacing w:after="0" w:line="225"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w:t>
      </w:r>
    </w:p>
    <w:p>
      <w:pPr>
        <w:spacing w:after="0"/>
        <w:rPr>
          <w:sz w:val="20"/>
          <w:szCs w:val="20"/>
          <w:color w:val="auto"/>
        </w:rPr>
      </w:pPr>
      <w:r>
        <w:rPr>
          <w:rFonts w:ascii="Arial" w:cs="Arial" w:eastAsia="Arial" w:hAnsi="Arial"/>
          <w:sz w:val="18"/>
          <w:szCs w:val="18"/>
          <w:color w:val="auto"/>
        </w:rPr>
        <w:t xml:space="preserve">advance </w:t>
      </w:r>
      <w:r>
        <w:rPr>
          <w:rFonts w:ascii="Arial" w:cs="Arial" w:eastAsia="Arial" w:hAnsi="Arial"/>
          <w:sz w:val="18"/>
          <w:szCs w:val="18"/>
          <w:color w:val="231F20"/>
        </w:rPr>
        <w:t>our leadership position by focusing our efforts on the following growth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Continue to Grow Our Existing Markets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r>
        <w:rPr>
          <w:rFonts w:ascii="Arial" w:cs="Arial" w:eastAsia="Arial" w:hAnsi="Arial"/>
          <w:sz w:val="18"/>
          <w:szCs w:val="18"/>
          <w:color w:val="231F20"/>
        </w:rPr>
        <w: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31F20"/>
        </w:rPr>
        <w:t>Growth in Our Underlying Asset Classes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231F20"/>
        </w:rPr>
        <w:t>The underlying volumes in our asset classes continue to increase due to expanded government and corporate issuance.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equities and money markets asset classes has grown at a compound annual growth rate of 13% from 2015 through the year ended December 31, 2019. Select products that we believe have a high growth potential due to current market trends include global government bonds, interest rate derivatives, ETFs and credit cash products.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31F20"/>
        </w:rPr>
        <w:t>Growth in Our Market Share</w:t>
      </w:r>
    </w:p>
    <w:p>
      <w:pPr>
        <w:spacing w:after="0" w:line="225"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Our clients represent most of the largest institutional, wholesale and retail market participants. The global rates, credit, equities and money markets asset classes continue to evolve electronically, and we seek to increase our market share by continuing to innovate to electronify workflows.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processing clients in our rates and credit asset classes. In particular, across many of our products, we are implementing an integrated approach to grow our market share — serving all three of our client sectors across all trade sizes, from odd-lot to block trades, through a variety of protocols.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over 90% of our U.S. institutional high grade cash credit trades leverage our U.S. treasury marketplace for spotting. During the year ended December 31, 2019, net spotting accounted for over 25% of our overall U.S. high grade credit notional volume and over 13% of our U.S. high grade electronic credit volume</w:t>
      </w:r>
      <w:r>
        <w:rPr>
          <w:rFonts w:ascii="Arial" w:cs="Arial" w:eastAsia="Arial" w:hAnsi="Arial"/>
          <w:sz w:val="16"/>
          <w:szCs w:val="16"/>
          <w:color w:val="231F20"/>
        </w:rPr>
        <w: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31F20"/>
        </w:rPr>
        <w:t>Electronification of Our Markets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17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believe that U.S. treasuries, global interest rate swaps, global ETFs, in particular, institutional block ETFs, and U.S. credit products, including corporate high grade and high yield bonds,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r>
        <w:rPr>
          <w:rFonts w:ascii="Arial" w:cs="Arial" w:eastAsia="Arial" w:hAnsi="Arial"/>
          <w:sz w:val="18"/>
          <w:szCs w:val="18"/>
          <w:color w:val="231F20"/>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Expand Our Product Set and Reach</w:t>
      </w:r>
    </w:p>
    <w:p>
      <w:pPr>
        <w:spacing w:after="0" w:line="225"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invest to add new products and expand into new complementary markets as client demand and market trends evolve. We expanded into China in 2017 and offer our global clients access to the Chinese bond market through our initiative with BondConnect. We continue to focus on that initiative and on other opportunities in China, and on expanding opportunities with clients in the Asia region more broadly. In addition, we have expanded our product set to include wholesale electronic repurchase agreements, as well as U.S. and European bilateral repurchase agreements, European cash equities and U.S. options for our institutional client sector.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On our institutional U.S. credit platform, our portfolio trading solution allows clients to obtain competitive prices on a full basket of securities and trade on net present value from dealers. In addition, multi-asset package (MAP) trading allows clients to simultaneously execute interest rate swaps, inflations swaps and government bonds in a single electronic package enabling clients to achieve more competitive pricing, reduce manual booking errors and increase execution speed. Net spotting, which links our institutional U.S. credit and U.S. treasury markets allows clients to reduce the operational stress and financial cost of executing offsetting Treasury hedges for corporate bonds that trade at a spread to the U.S. treasury. Given the breadth of expertise of our sales people and management, we have the ability to focus on new client opportunities and on selling additional solutions to existing clients.</w:t>
      </w:r>
    </w:p>
    <w:p>
      <w:pPr>
        <w:spacing w:after="0" w:line="19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addition, we believe our business model is well suited to serve market participants in other asset classes and geographies where our guiding principles can continue to transform markets and broaden our reach. We currently have clients in over 65 countries, and we plan to expand our platforms and solutions into additional geographies. Our international strategy involves offering our existing products to new geographies and then adding local products. In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addition, we believe we can, and will, continue to develop trading models in one product or asset class and deliver those models to other products or asset classes, irrespective of geography. For example, we have leveraged our session-based trading technology in European corporate bonds for session-based trading in U.S. corporate bonds and Off-the-Run U.S. treasuries, and we are focused on growing this newer trading protocol. We have significant scale and breadth across our platforms, which position us well to take advantage of favorable market dynamics when introducing new products or solutions or entering into new markets</w:t>
      </w:r>
      <w:r>
        <w:rPr>
          <w:rFonts w:ascii="Arial" w:cs="Arial" w:eastAsia="Arial" w:hAnsi="Arial"/>
          <w:sz w:val="17"/>
          <w:szCs w:val="17"/>
          <w:color w:val="231F20"/>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Enhance Underlying Data and Analytics Capabilities to Develop Innovative Solutions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continuous investments in data, technology and analytics enable us to do more quickly and efficiently. For example, we enhance our solutions by linking indicative pre-trade data to our clients’ specific trades to create predictive insights from client trading behavior. Our technology architecture reduces the time to market for new data solutions, which allows us to react quickly to client needs.</w:t>
      </w:r>
    </w:p>
    <w:p>
      <w:pPr>
        <w:spacing w:after="0" w:line="16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231F20"/>
        </w:rPr>
        <w:t>In November 2018, we extended our long-term agreement with Refinitiv, pursuant to which Refinitiv licenses certain data from us, which provides us with a predictable and growing revenue stream. In addition, we will continue to selectively pursue new strategic partnerships to expand our data and analytics offering over time.</w:t>
      </w:r>
    </w:p>
    <w:p>
      <w:pPr>
        <w:spacing w:after="0" w:line="16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have also launched a roster of closing prices partnering with FTSE for UK Gilts and ICE for US treasuries in response to the growing demand for trusted reference price data that enables firms to manage investment portfolios, evaluate the fair value of securities, perform compliance monitoring and satisfy general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Pursue Strategic Acquisitions and Alliances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intend to continue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r>
        <w:rPr>
          <w:rFonts w:ascii="Arial" w:cs="Arial" w:eastAsia="Arial" w:hAnsi="Arial"/>
          <w:sz w:val="18"/>
          <w:szCs w:val="18"/>
          <w:color w:val="231F20"/>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Client Sectors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over 20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provide deep liquidity pools to the institutional, wholesale and retail client sectors through our Tradeweb Institutional, Dealerweb and Tradeweb Direct platforms. We facilitated over $720 billion in average daily trading volume for the year ended December 31, 2019 across more than 40 products, and we have multi-year agreements with many of our significant dealer clients.</w:t>
      </w:r>
    </w:p>
    <w:p>
      <w:pPr>
        <w:spacing w:after="0" w:line="18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are dependent on our dealer clients, some of which are current and former stockholders, to support our marketplaces by providing liquidity on our trading platforms, and certain of our dealer clients may account for a significant portion of our trading volume. For the year ended December 31, 2019, the combined year ended December 31, 2018 and the year ended December 31, 2017, 44.8%, 42.2% and 41.3%, respectively, of our revenues were generated by the pre-IPO Bank Stockholders and their affiliates. Market knowledge and feedback from these dealer clients have also been important factors in the development of many of our offerings and solutions.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retail and wholesale channels. For example, in our institutional U.S. credit marketplace, we have integrated over $10 billion of live streaming retail liquidity. Given our technological capabilities, the diversity of our client sectors and the breadth of our products and trading protocols, we believe we are well positioned to capitalize on this emerging trend</w:t>
      </w:r>
      <w:r>
        <w:rPr>
          <w:rFonts w:ascii="Arial" w:cs="Arial" w:eastAsia="Arial" w:hAnsi="Arial"/>
          <w:sz w:val="17"/>
          <w:szCs w:val="17"/>
          <w:color w:val="231F20"/>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Institutional</w:t>
      </w:r>
    </w:p>
    <w:p>
      <w:pPr>
        <w:spacing w:after="0" w:line="225"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Tradeweb Institutional offers dealer-to-client and all-to-all trading and related solutions to over 1,900 liquidity-taking clients. Our clients include leading asset managers, hedge funds, insurance companies, regional dealers and central banks/sovereign entities. The Tradeweb Institutional platform serves over 90% of the world’s largest 100 asset managers, over 80% of the top 25 insurance companies and over 50 central banks/sovereign entities with more than 150 dealers providing liquidity. Tradeweb Institutional offers trading in a wide variety of products, including U.S. treasuries, European government bonds, TBA MBS, global interest rate swaps, global corporate bonds and ETFs. Our trading protocols include RFQ, Request-for-Market, Request-for-Stream, list trading, compression, blast all-to-all, Click-to-Trade, portfolio trading and inventory-based</w:t>
      </w:r>
      <w:r>
        <w:rPr>
          <w:rFonts w:ascii="Arial" w:cs="Arial" w:eastAsia="Arial" w:hAnsi="Arial"/>
          <w:sz w:val="17"/>
          <w:szCs w:val="17"/>
          <w:color w:val="231F20"/>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Wholesale</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provide fully electronic, hybrid and voice trading for the wholesale community on our Dealerweb platform. Our clients include more than 300 dealers with more than 100 dealers actively trading on our electronic and hybrid markets. Nearly all of our electronic and hybrid dealer clients also trade on the Tradeweb Institutional and Tradeweb Direct platforms. Dealerweb’s leading markets include TBA MBS, global credit products, U.S. treasuries, repurchase agreements and U.S. dollar-denominated swaps.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25% growth in the number of e-participants on our wholesale client sector markets since 2016</w:t>
      </w:r>
      <w:r>
        <w:rPr>
          <w:rFonts w:ascii="Arial" w:cs="Arial" w:eastAsia="Arial" w:hAnsi="Arial"/>
          <w:sz w:val="17"/>
          <w:szCs w:val="17"/>
          <w:color w:val="231F20"/>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Retail</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Tradeweb Direct, our regulated Alternative Trading System (“ATS”), offers financial advisors and their retail clients access to micro-lot liquidity provided by our network of broker-dealers. Tradeweb Direct serves over 45,000 financial advisors at more than 200 retail brokerage and advisory firms. In addition, certain Tradeweb Direct clients provide access to approximately 60,000 retail clients through white-labeled, web-based front ends. Tradeweb Direct also provides access to its ATS to large and middle-market asset managers. Tradeweb Direct offers trading in a range of products, including U.S. corporate bonds, treasuries, municipal bonds and certificates of deposit (CDs), using our Click-to-Trade, inventory-based and RFQ trading protocols. Participants on Tradeweb Direct have the ability to connect to our marketplaces via workstations or APIs or through access to websites that are white-labeled for our clients</w:t>
      </w:r>
      <w:r>
        <w:rPr>
          <w:rFonts w:ascii="Arial" w:cs="Arial" w:eastAsia="Arial" w:hAnsi="Arial"/>
          <w:sz w:val="17"/>
          <w:szCs w:val="17"/>
          <w:color w:val="231F20"/>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Asset Classes and Products</w:t>
      </w:r>
    </w:p>
    <w:p>
      <w:pPr>
        <w:spacing w:after="0" w:line="229"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For the year ended December 31, 2019, approximately 88% of our gross revenue was generated from fees and commissions earned from our asset class and product offerings. The primary source of the remainder of our gross revenue was generated from fees earned from our pre- and post-trade data and analytics solutions. See “— Our Solutions.”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offer efficient and transparent trading across a diverse range of asset classes</w:t>
      </w:r>
      <w:r>
        <w:rPr>
          <w:rFonts w:ascii="Arial" w:cs="Arial" w:eastAsia="Arial" w:hAnsi="Arial"/>
          <w:sz w:val="18"/>
          <w:szCs w:val="18"/>
          <w:color w:val="231F20"/>
        </w:rPr>
        <w:t>:</w:t>
      </w:r>
    </w:p>
    <w:p>
      <w:pPr>
        <w:spacing w:after="0" w:line="221" w:lineRule="exact"/>
        <w:rPr>
          <w:sz w:val="20"/>
          <w:szCs w:val="20"/>
          <w:color w:val="auto"/>
        </w:rPr>
      </w:pPr>
    </w:p>
    <w:p>
      <w:pPr>
        <w:ind w:left="660" w:right="140" w:hanging="333"/>
        <w:spacing w:after="0" w:line="31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u w:val="single" w:color="auto"/>
          <w:color w:val="231F20"/>
        </w:rPr>
        <w:t>Rates (56% of 2019 gross revenue)</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000000"/>
        </w:rPr>
        <w:t>We facilitate trading in a broad range of cash and derivatives rates products,</w:t>
      </w:r>
      <w:r>
        <w:rPr>
          <w:rFonts w:ascii="Arial" w:cs="Arial" w:eastAsia="Arial" w:hAnsi="Arial"/>
          <w:sz w:val="17"/>
          <w:szCs w:val="17"/>
          <w:b w:val="1"/>
          <w:bCs w:val="1"/>
          <w:color w:val="231F20"/>
        </w:rPr>
        <w:t xml:space="preserve"> </w:t>
      </w:r>
      <w:r>
        <w:rPr>
          <w:rFonts w:ascii="Arial" w:cs="Arial" w:eastAsia="Arial" w:hAnsi="Arial"/>
          <w:sz w:val="17"/>
          <w:szCs w:val="17"/>
          <w:color w:val="000000"/>
        </w:rPr>
        <w:t>including major government securities, such as U.S. treasury securities and European government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bonds, mortgage-backed securities, interest rate swaps and agency/supranational securities and other rates products</w:t>
      </w:r>
      <w:r>
        <w:rPr>
          <w:rFonts w:ascii="Arial" w:cs="Arial" w:eastAsia="Arial" w:hAnsi="Arial"/>
          <w:sz w:val="16"/>
          <w:szCs w:val="16"/>
          <w:color w:val="231F20"/>
        </w:rPr>
        <w:t>.</w:t>
      </w:r>
    </w:p>
    <w:p>
      <w:pPr>
        <w:spacing w:after="0" w:line="244" w:lineRule="exact"/>
        <w:rPr>
          <w:sz w:val="20"/>
          <w:szCs w:val="20"/>
          <w:color w:val="auto"/>
        </w:rPr>
      </w:pPr>
    </w:p>
    <w:p>
      <w:pPr>
        <w:ind w:left="660" w:right="80" w:hanging="333"/>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231F20"/>
        </w:rPr>
        <w:t>Credit (21% of 2019 gross revenue)</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We offer deep pools of liquidity for our clients in cash and derivatives credit</w:t>
      </w:r>
      <w:r>
        <w:rPr>
          <w:rFonts w:ascii="Arial" w:cs="Arial" w:eastAsia="Arial" w:hAnsi="Arial"/>
          <w:sz w:val="18"/>
          <w:szCs w:val="18"/>
          <w:b w:val="1"/>
          <w:bCs w:val="1"/>
          <w:color w:val="231F20"/>
        </w:rPr>
        <w:t xml:space="preserve"> </w:t>
      </w:r>
      <w:r>
        <w:rPr>
          <w:rFonts w:ascii="Arial" w:cs="Arial" w:eastAsia="Arial" w:hAnsi="Arial"/>
          <w:sz w:val="18"/>
          <w:szCs w:val="18"/>
          <w:color w:val="000000"/>
        </w:rPr>
        <w:t>products, including U.S. and European high grade and high yield bonds, China bonds, municipal bonds, index, single name and sovereign credit default swaps and other credit products</w:t>
      </w:r>
      <w:r>
        <w:rPr>
          <w:rFonts w:ascii="Arial" w:cs="Arial" w:eastAsia="Arial" w:hAnsi="Arial"/>
          <w:sz w:val="18"/>
          <w:szCs w:val="18"/>
          <w:color w:val="231F20"/>
        </w:rPr>
        <w:t>.</w:t>
      </w:r>
    </w:p>
    <w:p>
      <w:pPr>
        <w:spacing w:after="0" w:line="176" w:lineRule="exact"/>
        <w:rPr>
          <w:rFonts w:ascii="Arial" w:cs="Arial" w:eastAsia="Arial" w:hAnsi="Arial"/>
          <w:sz w:val="18"/>
          <w:szCs w:val="18"/>
          <w:color w:val="auto"/>
        </w:rPr>
      </w:pPr>
    </w:p>
    <w:p>
      <w:pPr>
        <w:ind w:left="660" w:right="580" w:hanging="333"/>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231F20"/>
        </w:rPr>
        <w:t>Equities (6% of 2019 gross revenue)</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We offer trading in a range of cash and derivatives equities products,</w:t>
      </w:r>
      <w:r>
        <w:rPr>
          <w:rFonts w:ascii="Arial" w:cs="Arial" w:eastAsia="Arial" w:hAnsi="Arial"/>
          <w:sz w:val="18"/>
          <w:szCs w:val="18"/>
          <w:b w:val="1"/>
          <w:bCs w:val="1"/>
          <w:color w:val="231F20"/>
        </w:rPr>
        <w:t xml:space="preserve"> </w:t>
      </w:r>
      <w:r>
        <w:rPr>
          <w:rFonts w:ascii="Arial" w:cs="Arial" w:eastAsia="Arial" w:hAnsi="Arial"/>
          <w:sz w:val="18"/>
          <w:szCs w:val="18"/>
          <w:color w:val="000000"/>
        </w:rPr>
        <w:t>including global ETFs, equity derivatives and other equities products</w:t>
      </w:r>
      <w:r>
        <w:rPr>
          <w:rFonts w:ascii="Arial" w:cs="Arial" w:eastAsia="Arial" w:hAnsi="Arial"/>
          <w:sz w:val="18"/>
          <w:szCs w:val="18"/>
          <w:color w:val="231F20"/>
        </w:rPr>
        <w:t>.</w:t>
      </w:r>
    </w:p>
    <w:p>
      <w:pPr>
        <w:spacing w:after="0" w:line="161" w:lineRule="exact"/>
        <w:rPr>
          <w:rFonts w:ascii="Arial" w:cs="Arial" w:eastAsia="Arial" w:hAnsi="Arial"/>
          <w:sz w:val="18"/>
          <w:szCs w:val="18"/>
          <w:color w:val="auto"/>
        </w:rPr>
      </w:pPr>
    </w:p>
    <w:p>
      <w:pPr>
        <w:ind w:left="660" w:right="40" w:hanging="333"/>
        <w:spacing w:after="0" w:line="266"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b w:val="1"/>
          <w:bCs w:val="1"/>
          <w:u w:val="single" w:color="auto"/>
          <w:color w:val="231F20"/>
        </w:rPr>
        <w:t>Money Markets (5% of 2019 gross revenue)</w:t>
      </w:r>
      <w:r>
        <w:rPr>
          <w:rFonts w:ascii="Arial" w:cs="Arial" w:eastAsia="Arial" w:hAnsi="Arial"/>
          <w:sz w:val="18"/>
          <w:szCs w:val="18"/>
          <w:color w:val="231F20"/>
        </w:rPr>
        <w:t>: We offer trading in a broad range of cash money market products,</w:t>
      </w:r>
      <w:r>
        <w:rPr>
          <w:rFonts w:ascii="Arial" w:cs="Arial" w:eastAsia="Arial" w:hAnsi="Arial"/>
          <w:sz w:val="18"/>
          <w:szCs w:val="18"/>
          <w:b w:val="1"/>
          <w:bCs w:val="1"/>
          <w:color w:val="231F20"/>
        </w:rPr>
        <w:t xml:space="preserve"> </w:t>
      </w:r>
      <w:r>
        <w:rPr>
          <w:rFonts w:ascii="Arial" w:cs="Arial" w:eastAsia="Arial" w:hAnsi="Arial"/>
          <w:sz w:val="18"/>
          <w:szCs w:val="18"/>
          <w:color w:val="231F20"/>
        </w:rPr>
        <w:t>including commercial paper, agency discount notes, repurchase agreements, certificates of deposit and treasury bills and other money markets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123190</wp:posOffset>
            </wp:positionV>
            <wp:extent cx="5351145" cy="2907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51145"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Geographies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231F20"/>
        </w:rPr>
        <w:t>We have a global footprint, serving clients, including over 1,900 institutional liquidity-taking clients, in over 65 countries across the Americas, EMEA (Europe, Middle East and Africa) and APAC (Asia Pacific) regions and with offices in North America, Europe and Asia. By region:</w:t>
      </w:r>
    </w:p>
    <w:p>
      <w:pPr>
        <w:spacing w:after="0" w:line="181" w:lineRule="exact"/>
        <w:rPr>
          <w:sz w:val="20"/>
          <w:szCs w:val="20"/>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We serve over 900 clients in the Americas across North, Central and South America.</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We serve over 700 clients in EMEA across Europe, the Middle East and North Africa.</w:t>
      </w:r>
    </w:p>
    <w:p>
      <w:pPr>
        <w:spacing w:after="0" w:line="225" w:lineRule="exact"/>
        <w:rPr>
          <w:rFonts w:ascii="Arial" w:cs="Arial" w:eastAsia="Arial" w:hAnsi="Arial"/>
          <w:sz w:val="18"/>
          <w:szCs w:val="18"/>
          <w:color w:val="auto"/>
        </w:rPr>
      </w:pPr>
    </w:p>
    <w:p>
      <w:pPr>
        <w:ind w:left="320" w:right="1320" w:firstLine="7"/>
        <w:spacing w:after="0" w:line="501" w:lineRule="auto"/>
        <w:tabs>
          <w:tab w:leader="none" w:pos="644"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 xml:space="preserve">We serve over 300 clients in APAC across Asia, the Pacific, Oceania and the Indian sub-continent. </w:t>
      </w:r>
      <w:r>
        <w:rPr>
          <w:rFonts w:ascii="Arial" w:cs="Arial" w:eastAsia="Arial" w:hAnsi="Arial"/>
          <w:sz w:val="18"/>
          <w:szCs w:val="18"/>
          <w:color w:val="000000"/>
        </w:rPr>
        <w:t>In addition, we currently support trading across 25 currencies globally</w:t>
      </w:r>
      <w:r>
        <w:rPr>
          <w:rFonts w:ascii="Arial" w:cs="Arial" w:eastAsia="Arial" w:hAnsi="Arial"/>
          <w:sz w:val="18"/>
          <w:szCs w:val="18"/>
          <w:color w:val="231F20"/>
        </w:rPr>
        <w:t>.</w:t>
      </w:r>
    </w:p>
    <w:p>
      <w:pPr>
        <w:ind w:right="420" w:firstLine="324"/>
        <w:spacing w:after="0" w:line="342" w:lineRule="auto"/>
        <w:rPr>
          <w:sz w:val="20"/>
          <w:szCs w:val="20"/>
          <w:color w:val="auto"/>
        </w:rPr>
      </w:pPr>
      <w:r>
        <w:rPr>
          <w:rFonts w:ascii="Arial" w:cs="Arial" w:eastAsia="Arial" w:hAnsi="Arial"/>
          <w:sz w:val="16"/>
          <w:szCs w:val="16"/>
          <w:color w:val="auto"/>
        </w:rPr>
        <w:t>We believe our platforms, technology and solutions have made trading in markets globally more efficient and transparent. Furthermore, our expertise in multiple jurisdictions positions us as a partner of choice as our clients expand</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their trading operations to new geographies. As the global markets move to electronic trading, we expect to be at the forefront of this change</w:t>
      </w:r>
      <w:r>
        <w:rPr>
          <w:rFonts w:ascii="Arial" w:cs="Arial" w:eastAsia="Arial" w:hAnsi="Arial"/>
          <w:sz w:val="18"/>
          <w:szCs w:val="18"/>
          <w:color w:val="231F20"/>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Solutions</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provide clients with solutions across the trade lifecycle including pre-trade data and analytics, intelligent trade execution, straight-through processing and post-trade data, analytics and reporting</w:t>
      </w:r>
      <w:r>
        <w:rPr>
          <w:rFonts w:ascii="Arial" w:cs="Arial" w:eastAsia="Arial" w:hAnsi="Arial"/>
          <w:sz w:val="18"/>
          <w:szCs w:val="18"/>
          <w:color w:val="231F20"/>
        </w:rPr>
        <w:t>.</w:t>
      </w:r>
    </w:p>
    <w:p>
      <w:pPr>
        <w:spacing w:after="0" w:line="166" w:lineRule="exact"/>
        <w:rPr>
          <w:sz w:val="20"/>
          <w:szCs w:val="20"/>
          <w:color w:val="auto"/>
        </w:rPr>
      </w:pPr>
    </w:p>
    <w:p>
      <w:pPr>
        <w:ind w:left="660" w:right="40" w:hanging="333"/>
        <w:spacing w:after="0" w:line="29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231F20"/>
        </w:rPr>
        <w:t>Pre-Trade Data and Analytics</w:t>
      </w:r>
      <w:r>
        <w:rPr>
          <w:rFonts w:ascii="Arial" w:cs="Arial" w:eastAsia="Arial" w:hAnsi="Arial"/>
          <w:sz w:val="16"/>
          <w:szCs w:val="16"/>
          <w:color w:val="231F20"/>
        </w:rPr>
        <w:t>:</w:t>
      </w:r>
      <w:r>
        <w:rPr>
          <w:rFonts w:ascii="Arial" w:cs="Arial" w:eastAsia="Arial" w:hAnsi="Arial"/>
          <w:sz w:val="16"/>
          <w:szCs w:val="16"/>
          <w:b w:val="1"/>
          <w:bCs w:val="1"/>
          <w:color w:val="231F20"/>
        </w:rPr>
        <w:t xml:space="preserve"> </w:t>
      </w:r>
      <w:r>
        <w:rPr>
          <w:rFonts w:ascii="Arial" w:cs="Arial" w:eastAsia="Arial" w:hAnsi="Arial"/>
          <w:sz w:val="16"/>
          <w:szCs w:val="16"/>
          <w:color w:val="000000"/>
        </w:rPr>
        <w:t>We provide clients with accurate, real-time market data and streaming price</w:t>
      </w:r>
      <w:r>
        <w:rPr>
          <w:rFonts w:ascii="Arial" w:cs="Arial" w:eastAsia="Arial" w:hAnsi="Arial"/>
          <w:sz w:val="16"/>
          <w:szCs w:val="16"/>
          <w:b w:val="1"/>
          <w:bCs w:val="1"/>
          <w:color w:val="231F20"/>
        </w:rPr>
        <w:t xml:space="preserve"> </w:t>
      </w:r>
      <w:r>
        <w:rPr>
          <w:rFonts w:ascii="Arial" w:cs="Arial" w:eastAsia="Arial" w:hAnsi="Arial"/>
          <w:sz w:val="16"/>
          <w:szCs w:val="16"/>
          <w:color w:val="000000"/>
        </w:rPr>
        <w:t>updates across more than 40 products. Major financial publications across the globe reference our market data. Our real-time market data services include major government bonds, corporate bonds, mortgage-backed securities, fixed income derivatives and money markets. For example, data and analytics power our Automated Intelligent Price, or Ai-Price, functionality, which delivers benchmark pricing and insights for approximately 19,000 U.S. corporate bonds.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r>
        <w:rPr>
          <w:rFonts w:ascii="Arial" w:cs="Arial" w:eastAsia="Arial" w:hAnsi="Arial"/>
          <w:sz w:val="16"/>
          <w:szCs w:val="16"/>
          <w:color w:val="231F20"/>
        </w:rPr>
        <w:t>.</w:t>
      </w:r>
    </w:p>
    <w:p>
      <w:pPr>
        <w:spacing w:after="0" w:line="164" w:lineRule="exact"/>
        <w:rPr>
          <w:sz w:val="20"/>
          <w:szCs w:val="20"/>
          <w:color w:val="auto"/>
        </w:rPr>
      </w:pPr>
    </w:p>
    <w:p>
      <w:pPr>
        <w:ind w:left="660" w:right="380" w:firstLine="122"/>
        <w:spacing w:after="0" w:line="264" w:lineRule="auto"/>
        <w:rPr>
          <w:sz w:val="20"/>
          <w:szCs w:val="20"/>
          <w:color w:val="auto"/>
        </w:rPr>
      </w:pPr>
      <w:r>
        <w:rPr>
          <w:rFonts w:ascii="Arial" w:cs="Arial" w:eastAsia="Arial" w:hAnsi="Arial"/>
          <w:sz w:val="18"/>
          <w:szCs w:val="18"/>
          <w:color w:val="auto"/>
        </w:rPr>
        <w:t>In addition, we provide Refinitiv with certain real-time market data feeds for multiple fixed income and derivatives products under an exclusive license pursuant to which Refinitiv redistributes such market data to its customers on its Eikon platform and through direct feeds</w:t>
      </w:r>
      <w:r>
        <w:rPr>
          <w:rFonts w:ascii="Arial" w:cs="Arial" w:eastAsia="Arial" w:hAnsi="Arial"/>
          <w:sz w:val="18"/>
          <w:szCs w:val="18"/>
          <w:color w:val="231F20"/>
        </w:rPr>
        <w:t>.</w:t>
      </w:r>
    </w:p>
    <w:p>
      <w:pPr>
        <w:spacing w:after="0" w:line="177" w:lineRule="exact"/>
        <w:rPr>
          <w:sz w:val="20"/>
          <w:szCs w:val="20"/>
          <w:color w:val="auto"/>
        </w:rPr>
      </w:pPr>
    </w:p>
    <w:p>
      <w:pPr>
        <w:ind w:left="660" w:right="120" w:hanging="333"/>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231F20"/>
        </w:rPr>
        <w:t>Trade Execution</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Trade execution is at the core of our business. We provide marketplaces and tools that facilitate</w:t>
      </w:r>
      <w:r>
        <w:rPr>
          <w:rFonts w:ascii="Arial" w:cs="Arial" w:eastAsia="Arial" w:hAnsi="Arial"/>
          <w:sz w:val="18"/>
          <w:szCs w:val="18"/>
          <w:b w:val="1"/>
          <w:bCs w:val="1"/>
          <w:color w:val="231F20"/>
        </w:rPr>
        <w:t xml:space="preserve"> </w:t>
      </w:r>
      <w:r>
        <w:rPr>
          <w:rFonts w:ascii="Arial" w:cs="Arial" w:eastAsia="Arial" w:hAnsi="Arial"/>
          <w:sz w:val="18"/>
          <w:szCs w:val="18"/>
          <w:color w:val="000000"/>
        </w:rPr>
        <w:t>trading by our clients and streamline their related workflows. Our market specialists and technology team work closely with our clients to continuously innovate and improve their trading practices. The trading protocols we currently offer on our platforms include</w:t>
      </w:r>
      <w:r>
        <w:rPr>
          <w:rFonts w:ascii="Arial" w:cs="Arial" w:eastAsia="Arial" w:hAnsi="Arial"/>
          <w:sz w:val="18"/>
          <w:szCs w:val="18"/>
          <w:color w:val="231F20"/>
        </w:rPr>
        <w:t>:</w:t>
      </w:r>
    </w:p>
    <w:p>
      <w:pPr>
        <w:spacing w:after="0" w:line="184" w:lineRule="exact"/>
        <w:rPr>
          <w:rFonts w:ascii="Arial" w:cs="Arial" w:eastAsia="Arial" w:hAnsi="Arial"/>
          <w:sz w:val="18"/>
          <w:szCs w:val="18"/>
          <w:color w:val="auto"/>
        </w:rPr>
      </w:pPr>
    </w:p>
    <w:p>
      <w:pPr>
        <w:ind w:left="1300" w:hanging="325"/>
        <w:spacing w:after="0" w:line="255" w:lineRule="auto"/>
        <w:tabs>
          <w:tab w:leader="none" w:pos="1300" w:val="left"/>
        </w:tabs>
        <w:numPr>
          <w:ilvl w:val="1"/>
          <w:numId w:val="15"/>
        </w:numPr>
        <w:rPr>
          <w:rFonts w:ascii="Arial" w:cs="Arial" w:eastAsia="Arial" w:hAnsi="Arial"/>
          <w:sz w:val="18"/>
          <w:szCs w:val="18"/>
          <w:color w:val="231F20"/>
        </w:rPr>
      </w:pPr>
      <w:r>
        <w:rPr>
          <w:rFonts w:ascii="Arial" w:cs="Arial" w:eastAsia="Arial" w:hAnsi="Arial"/>
          <w:sz w:val="18"/>
          <w:szCs w:val="18"/>
          <w:i w:val="1"/>
          <w:iCs w:val="1"/>
          <w:u w:val="single" w:color="auto"/>
          <w:color w:val="231F20"/>
        </w:rPr>
        <w:t>Request-for-quote.</w:t>
      </w:r>
      <w:r>
        <w:rPr>
          <w:rFonts w:ascii="Arial" w:cs="Arial" w:eastAsia="Arial" w:hAnsi="Arial"/>
          <w:sz w:val="18"/>
          <w:szCs w:val="18"/>
          <w:i w:val="1"/>
          <w:iCs w:val="1"/>
          <w:color w:val="231F20"/>
        </w:rPr>
        <w:t xml:space="preserve"> </w:t>
      </w:r>
      <w:r>
        <w:rPr>
          <w:rFonts w:ascii="Arial" w:cs="Arial" w:eastAsia="Arial" w:hAnsi="Arial"/>
          <w:sz w:val="18"/>
          <w:szCs w:val="18"/>
          <w:color w:val="000000"/>
        </w:rPr>
        <w:t>Our multi-dealer request-for-quote, or RFQ, protocol provides institutional clients with</w:t>
      </w:r>
      <w:r>
        <w:rPr>
          <w:rFonts w:ascii="Arial" w:cs="Arial" w:eastAsia="Arial" w:hAnsi="Arial"/>
          <w:sz w:val="18"/>
          <w:szCs w:val="18"/>
          <w:i w:val="1"/>
          <w:iCs w:val="1"/>
          <w:color w:val="231F20"/>
        </w:rPr>
        <w:t xml:space="preserve"> </w:t>
      </w:r>
      <w:r>
        <w:rPr>
          <w:rFonts w:ascii="Arial" w:cs="Arial" w:eastAsia="Arial" w:hAnsi="Arial"/>
          <w:sz w:val="18"/>
          <w:szCs w:val="18"/>
          <w:color w:val="000000"/>
        </w:rPr>
        <w:t>the ability to hold a real-time 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 — both buy-side and sell-side names are known prior to execution. Multi-dealer RFQ assists clients with achieving best execution</w:t>
      </w:r>
      <w:r>
        <w:rPr>
          <w:rFonts w:ascii="Arial" w:cs="Arial" w:eastAsia="Arial" w:hAnsi="Arial"/>
          <w:sz w:val="18"/>
          <w:szCs w:val="18"/>
          <w:color w:val="231F20"/>
        </w:rPr>
        <w:t>.</w:t>
      </w:r>
    </w:p>
    <w:p>
      <w:pPr>
        <w:spacing w:after="0" w:line="193" w:lineRule="exact"/>
        <w:rPr>
          <w:rFonts w:ascii="Arial" w:cs="Arial" w:eastAsia="Arial" w:hAnsi="Arial"/>
          <w:sz w:val="18"/>
          <w:szCs w:val="18"/>
          <w:color w:val="231F20"/>
        </w:rPr>
      </w:pPr>
    </w:p>
    <w:p>
      <w:pPr>
        <w:ind w:left="1300" w:hanging="325"/>
        <w:spacing w:after="0" w:line="276" w:lineRule="auto"/>
        <w:tabs>
          <w:tab w:leader="none" w:pos="1300" w:val="left"/>
        </w:tabs>
        <w:numPr>
          <w:ilvl w:val="1"/>
          <w:numId w:val="15"/>
        </w:numPr>
        <w:rPr>
          <w:rFonts w:ascii="Arial" w:cs="Arial" w:eastAsia="Arial" w:hAnsi="Arial"/>
          <w:sz w:val="17"/>
          <w:szCs w:val="17"/>
          <w:color w:val="231F20"/>
        </w:rPr>
      </w:pPr>
      <w:r>
        <w:rPr>
          <w:rFonts w:ascii="Arial" w:cs="Arial" w:eastAsia="Arial" w:hAnsi="Arial"/>
          <w:sz w:val="17"/>
          <w:szCs w:val="17"/>
          <w:i w:val="1"/>
          <w:iCs w:val="1"/>
          <w:u w:val="single" w:color="auto"/>
          <w:color w:val="231F20"/>
        </w:rPr>
        <w:t>Request-for-market.</w:t>
      </w:r>
      <w:r>
        <w:rPr>
          <w:rFonts w:ascii="Arial" w:cs="Arial" w:eastAsia="Arial" w:hAnsi="Arial"/>
          <w:sz w:val="17"/>
          <w:szCs w:val="17"/>
          <w:i w:val="1"/>
          <w:iCs w:val="1"/>
          <w:color w:val="231F20"/>
        </w:rPr>
        <w:t xml:space="preserve"> </w:t>
      </w:r>
      <w:r>
        <w:rPr>
          <w:rFonts w:ascii="Arial" w:cs="Arial" w:eastAsia="Arial" w:hAnsi="Arial"/>
          <w:sz w:val="17"/>
          <w:szCs w:val="17"/>
          <w:color w:val="000000"/>
        </w:rPr>
        <w:t>Our request-for-market, or RFM, protocol provides institutional clients with the ability</w:t>
      </w:r>
      <w:r>
        <w:rPr>
          <w:rFonts w:ascii="Arial" w:cs="Arial" w:eastAsia="Arial" w:hAnsi="Arial"/>
          <w:sz w:val="17"/>
          <w:szCs w:val="17"/>
          <w:i w:val="1"/>
          <w:iCs w:val="1"/>
          <w:color w:val="231F20"/>
        </w:rPr>
        <w:t xml:space="preserve"> </w:t>
      </w:r>
      <w:r>
        <w:rPr>
          <w:rFonts w:ascii="Arial" w:cs="Arial" w:eastAsia="Arial" w:hAnsi="Arial"/>
          <w:sz w:val="17"/>
          <w:szCs w:val="17"/>
          <w:color w:val="000000"/>
        </w:rPr>
        <w:t>to request a two-sided market 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r>
        <w:rPr>
          <w:rFonts w:ascii="Arial" w:cs="Arial" w:eastAsia="Arial" w:hAnsi="Arial"/>
          <w:sz w:val="17"/>
          <w:szCs w:val="17"/>
          <w:color w:val="231F20"/>
        </w:rPr>
        <w:t>.</w:t>
      </w:r>
    </w:p>
    <w:p>
      <w:pPr>
        <w:spacing w:after="0" w:line="172" w:lineRule="exact"/>
        <w:rPr>
          <w:rFonts w:ascii="Arial" w:cs="Arial" w:eastAsia="Arial" w:hAnsi="Arial"/>
          <w:sz w:val="17"/>
          <w:szCs w:val="17"/>
          <w:color w:val="231F20"/>
        </w:rPr>
      </w:pPr>
    </w:p>
    <w:p>
      <w:pPr>
        <w:ind w:left="1300" w:right="480" w:hanging="325"/>
        <w:spacing w:after="0" w:line="342" w:lineRule="auto"/>
        <w:tabs>
          <w:tab w:leader="none" w:pos="1300" w:val="left"/>
        </w:tabs>
        <w:numPr>
          <w:ilvl w:val="1"/>
          <w:numId w:val="15"/>
        </w:numPr>
        <w:rPr>
          <w:rFonts w:ascii="Arial" w:cs="Arial" w:eastAsia="Arial" w:hAnsi="Arial"/>
          <w:sz w:val="16"/>
          <w:szCs w:val="16"/>
          <w:color w:val="231F20"/>
        </w:rPr>
      </w:pPr>
      <w:r>
        <w:rPr>
          <w:rFonts w:ascii="Arial" w:cs="Arial" w:eastAsia="Arial" w:hAnsi="Arial"/>
          <w:sz w:val="16"/>
          <w:szCs w:val="16"/>
          <w:i w:val="1"/>
          <w:iCs w:val="1"/>
          <w:u w:val="single" w:color="auto"/>
          <w:color w:val="231F20"/>
        </w:rPr>
        <w:t>Request-for-stream.</w:t>
      </w:r>
      <w:r>
        <w:rPr>
          <w:rFonts w:ascii="Arial" w:cs="Arial" w:eastAsia="Arial" w:hAnsi="Arial"/>
          <w:sz w:val="16"/>
          <w:szCs w:val="16"/>
          <w:i w:val="1"/>
          <w:iCs w:val="1"/>
          <w:color w:val="231F20"/>
        </w:rPr>
        <w:t xml:space="preserve"> </w:t>
      </w:r>
      <w:r>
        <w:rPr>
          <w:rFonts w:ascii="Arial" w:cs="Arial" w:eastAsia="Arial" w:hAnsi="Arial"/>
          <w:sz w:val="16"/>
          <w:szCs w:val="16"/>
          <w:color w:val="000000"/>
        </w:rPr>
        <w:t>Our request-for-stream, or RFS, protocol allows multiple dealers to show clients</w:t>
      </w:r>
      <w:r>
        <w:rPr>
          <w:rFonts w:ascii="Arial" w:cs="Arial" w:eastAsia="Arial" w:hAnsi="Arial"/>
          <w:sz w:val="16"/>
          <w:szCs w:val="16"/>
          <w:i w:val="1"/>
          <w:iCs w:val="1"/>
          <w:color w:val="231F20"/>
        </w:rPr>
        <w:t xml:space="preserve"> </w:t>
      </w:r>
      <w:r>
        <w:rPr>
          <w:rFonts w:ascii="Arial" w:cs="Arial" w:eastAsia="Arial" w:hAnsi="Arial"/>
          <w:sz w:val="16"/>
          <w:szCs w:val="16"/>
          <w:color w:val="000000"/>
        </w:rPr>
        <w:t>continuously updating rates, in line with market movements, during a client’s request window</w:t>
      </w:r>
      <w:r>
        <w:rPr>
          <w:rFonts w:ascii="Arial" w:cs="Arial" w:eastAsia="Arial" w:hAnsi="Arial"/>
          <w:sz w:val="16"/>
          <w:szCs w:val="16"/>
          <w:color w:val="231F20"/>
        </w:rPr>
        <w:t>.</w:t>
      </w:r>
    </w:p>
    <w:p>
      <w:pPr>
        <w:spacing w:after="0" w:line="123" w:lineRule="exact"/>
        <w:rPr>
          <w:rFonts w:ascii="Arial" w:cs="Arial" w:eastAsia="Arial" w:hAnsi="Arial"/>
          <w:sz w:val="16"/>
          <w:szCs w:val="16"/>
          <w:color w:val="231F20"/>
        </w:rPr>
      </w:pPr>
    </w:p>
    <w:p>
      <w:pPr>
        <w:ind w:left="1300" w:hanging="325"/>
        <w:spacing w:after="0" w:line="259" w:lineRule="auto"/>
        <w:tabs>
          <w:tab w:leader="none" w:pos="1300" w:val="left"/>
        </w:tabs>
        <w:numPr>
          <w:ilvl w:val="1"/>
          <w:numId w:val="15"/>
        </w:numPr>
        <w:rPr>
          <w:rFonts w:ascii="Arial" w:cs="Arial" w:eastAsia="Arial" w:hAnsi="Arial"/>
          <w:sz w:val="18"/>
          <w:szCs w:val="18"/>
          <w:color w:val="231F20"/>
        </w:rPr>
      </w:pPr>
      <w:r>
        <w:rPr>
          <w:rFonts w:ascii="Arial" w:cs="Arial" w:eastAsia="Arial" w:hAnsi="Arial"/>
          <w:sz w:val="18"/>
          <w:szCs w:val="18"/>
          <w:i w:val="1"/>
          <w:iCs w:val="1"/>
          <w:u w:val="single" w:color="auto"/>
          <w:color w:val="231F20"/>
        </w:rPr>
        <w:t>List trading.</w:t>
      </w:r>
      <w:r>
        <w:rPr>
          <w:rFonts w:ascii="Arial" w:cs="Arial" w:eastAsia="Arial" w:hAnsi="Arial"/>
          <w:sz w:val="18"/>
          <w:szCs w:val="18"/>
          <w:i w:val="1"/>
          <w:iCs w:val="1"/>
          <w:color w:val="231F20"/>
        </w:rPr>
        <w:t xml:space="preserve"> </w:t>
      </w:r>
      <w:r>
        <w:rPr>
          <w:rFonts w:ascii="Arial" w:cs="Arial" w:eastAsia="Arial" w:hAnsi="Arial"/>
          <w:sz w:val="18"/>
          <w:szCs w:val="18"/>
          <w:color w:val="000000"/>
        </w:rPr>
        <w:t>Used by clients with multiple transactions to complete, our list trading protocol is a highly</w:t>
      </w:r>
      <w:r>
        <w:rPr>
          <w:rFonts w:ascii="Arial" w:cs="Arial" w:eastAsia="Arial" w:hAnsi="Arial"/>
          <w:sz w:val="18"/>
          <w:szCs w:val="18"/>
          <w:i w:val="1"/>
          <w:iCs w:val="1"/>
          <w:color w:val="231F20"/>
        </w:rPr>
        <w:t xml:space="preserve"> </w:t>
      </w:r>
      <w:r>
        <w:rPr>
          <w:rFonts w:ascii="Arial" w:cs="Arial" w:eastAsia="Arial" w:hAnsi="Arial"/>
          <w:sz w:val="18"/>
          <w:szCs w:val="18"/>
          <w:color w:val="000000"/>
        </w:rPr>
        <w:t>efficient workflow tool. By executing many trades at once, clients can request prices from multiple dealers to extract the best price and complete the hedging of the trades at one time, saving significant manual effort compared to executing on the telephone</w:t>
      </w:r>
      <w:r>
        <w:rPr>
          <w:rFonts w:ascii="Arial" w:cs="Arial" w:eastAsia="Arial" w:hAnsi="Arial"/>
          <w:sz w:val="18"/>
          <w:szCs w:val="18"/>
          <w:color w:val="231F20"/>
        </w:rPr>
        <w:t>.</w:t>
      </w:r>
    </w:p>
    <w:p>
      <w:pPr>
        <w:spacing w:after="0" w:line="186" w:lineRule="exact"/>
        <w:rPr>
          <w:rFonts w:ascii="Arial" w:cs="Arial" w:eastAsia="Arial" w:hAnsi="Arial"/>
          <w:sz w:val="18"/>
          <w:szCs w:val="18"/>
          <w:color w:val="231F20"/>
        </w:rPr>
      </w:pPr>
    </w:p>
    <w:p>
      <w:pPr>
        <w:ind w:left="1300" w:right="260" w:hanging="325"/>
        <w:spacing w:after="0" w:line="302" w:lineRule="auto"/>
        <w:tabs>
          <w:tab w:leader="none" w:pos="1300" w:val="left"/>
        </w:tabs>
        <w:numPr>
          <w:ilvl w:val="1"/>
          <w:numId w:val="15"/>
        </w:numPr>
        <w:rPr>
          <w:rFonts w:ascii="Arial" w:cs="Arial" w:eastAsia="Arial" w:hAnsi="Arial"/>
          <w:sz w:val="16"/>
          <w:szCs w:val="16"/>
          <w:color w:val="231F20"/>
        </w:rPr>
      </w:pPr>
      <w:r>
        <w:rPr>
          <w:rFonts w:ascii="Arial" w:cs="Arial" w:eastAsia="Arial" w:hAnsi="Arial"/>
          <w:sz w:val="16"/>
          <w:szCs w:val="16"/>
          <w:i w:val="1"/>
          <w:iCs w:val="1"/>
          <w:u w:val="single" w:color="auto"/>
          <w:color w:val="231F20"/>
        </w:rPr>
        <w:t>Compression</w:t>
      </w:r>
      <w:r>
        <w:rPr>
          <w:rFonts w:ascii="Arial" w:cs="Arial" w:eastAsia="Arial" w:hAnsi="Arial"/>
          <w:sz w:val="16"/>
          <w:szCs w:val="16"/>
          <w:color w:val="231F20"/>
        </w:rPr>
        <w:t>.</w:t>
      </w:r>
      <w:r>
        <w:rPr>
          <w:rFonts w:ascii="Arial" w:cs="Arial" w:eastAsia="Arial" w:hAnsi="Arial"/>
          <w:sz w:val="16"/>
          <w:szCs w:val="16"/>
          <w:i w:val="1"/>
          <w:iCs w:val="1"/>
          <w:color w:val="231F20"/>
        </w:rPr>
        <w:t xml:space="preserve"> </w:t>
      </w:r>
      <w:r>
        <w:rPr>
          <w:rFonts w:ascii="Arial" w:cs="Arial" w:eastAsia="Arial" w:hAnsi="Arial"/>
          <w:sz w:val="16"/>
          <w:szCs w:val="16"/>
          <w:color w:val="000000"/>
        </w:rPr>
        <w:t>Clients utilize our interest rate swap compression tool as an efficient means to reduce the</w:t>
      </w:r>
      <w:r>
        <w:rPr>
          <w:rFonts w:ascii="Arial" w:cs="Arial" w:eastAsia="Arial" w:hAnsi="Arial"/>
          <w:sz w:val="16"/>
          <w:szCs w:val="16"/>
          <w:i w:val="1"/>
          <w:iCs w:val="1"/>
          <w:color w:val="231F20"/>
        </w:rPr>
        <w:t xml:space="preserve"> </w:t>
      </w:r>
      <w:r>
        <w:rPr>
          <w:rFonts w:ascii="Arial" w:cs="Arial" w:eastAsia="Arial" w:hAnsi="Arial"/>
          <w:sz w:val="16"/>
          <w:szCs w:val="16"/>
          <w:color w:val="000000"/>
        </w:rPr>
        <w:t>number of line items they have outstanding at a clearinghouse by netting offsetting positions in a single transaction. This functionality allows clients to submit up to 250 line items to liquidity providers for simultaneous list pricing, which they can execute, clear and report in one transaction, reducing both</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280"/>
        <w:spacing w:after="0" w:line="277" w:lineRule="auto"/>
        <w:rPr>
          <w:sz w:val="20"/>
          <w:szCs w:val="20"/>
          <w:color w:val="auto"/>
        </w:rPr>
      </w:pPr>
      <w:r>
        <w:rPr>
          <w:rFonts w:ascii="Arial" w:cs="Arial" w:eastAsia="Arial" w:hAnsi="Arial"/>
          <w:sz w:val="18"/>
          <w:szCs w:val="18"/>
          <w:color w:val="auto"/>
        </w:rPr>
        <w:t>their risk and clearing costs. The Tradeweb compression tool is flexible and versatile in design allowing clients to adapt the tool to their workflow and customize for granular swaps</w:t>
      </w:r>
      <w:r>
        <w:rPr>
          <w:rFonts w:ascii="Arial" w:cs="Arial" w:eastAsia="Arial" w:hAnsi="Arial"/>
          <w:sz w:val="18"/>
          <w:szCs w:val="18"/>
          <w:color w:val="231F20"/>
        </w:rPr>
        <w:t>.</w:t>
      </w:r>
    </w:p>
    <w:p>
      <w:pPr>
        <w:spacing w:after="0" w:line="170" w:lineRule="exact"/>
        <w:rPr>
          <w:sz w:val="20"/>
          <w:szCs w:val="20"/>
          <w:color w:val="auto"/>
        </w:rPr>
      </w:pPr>
    </w:p>
    <w:p>
      <w:pPr>
        <w:ind w:left="1300" w:right="40" w:hanging="325"/>
        <w:spacing w:after="0" w:line="254" w:lineRule="auto"/>
        <w:tabs>
          <w:tab w:leader="none" w:pos="1300" w:val="left"/>
        </w:tabs>
        <w:numPr>
          <w:ilvl w:val="1"/>
          <w:numId w:val="16"/>
        </w:numPr>
        <w:rPr>
          <w:rFonts w:ascii="Arial" w:cs="Arial" w:eastAsia="Arial" w:hAnsi="Arial"/>
          <w:sz w:val="18"/>
          <w:szCs w:val="18"/>
          <w:color w:val="231F20"/>
        </w:rPr>
      </w:pPr>
      <w:r>
        <w:rPr>
          <w:rFonts w:ascii="Arial" w:cs="Arial" w:eastAsia="Arial" w:hAnsi="Arial"/>
          <w:sz w:val="18"/>
          <w:szCs w:val="18"/>
          <w:i w:val="1"/>
          <w:iCs w:val="1"/>
          <w:u w:val="single" w:color="auto"/>
          <w:color w:val="231F20"/>
        </w:rPr>
        <w:t>Blast all-to-all.</w:t>
      </w:r>
      <w:r>
        <w:rPr>
          <w:rFonts w:ascii="Arial" w:cs="Arial" w:eastAsia="Arial" w:hAnsi="Arial"/>
          <w:sz w:val="18"/>
          <w:szCs w:val="18"/>
          <w:i w:val="1"/>
          <w:iCs w:val="1"/>
          <w:color w:val="231F20"/>
        </w:rPr>
        <w:t xml:space="preserve"> </w:t>
      </w:r>
      <w:r>
        <w:rPr>
          <w:rFonts w:ascii="Arial" w:cs="Arial" w:eastAsia="Arial" w:hAnsi="Arial"/>
          <w:sz w:val="18"/>
          <w:szCs w:val="18"/>
          <w:color w:val="000000"/>
        </w:rPr>
        <w:t>Our Blast all-to-all, or A2A, protocol allows clients to send RFQ trade inquiries to all</w:t>
      </w:r>
      <w:r>
        <w:rPr>
          <w:rFonts w:ascii="Arial" w:cs="Arial" w:eastAsia="Arial" w:hAnsi="Arial"/>
          <w:sz w:val="18"/>
          <w:szCs w:val="18"/>
          <w:i w:val="1"/>
          <w:iCs w:val="1"/>
          <w:color w:val="231F20"/>
        </w:rPr>
        <w:t xml:space="preserve"> </w:t>
      </w:r>
      <w:r>
        <w:rPr>
          <w:rFonts w:ascii="Arial" w:cs="Arial" w:eastAsia="Arial" w:hAnsi="Arial"/>
          <w:sz w:val="18"/>
          <w:szCs w:val="18"/>
          <w:color w:val="000000"/>
        </w:rPr>
        <w:t>market participants in a given 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r>
        <w:rPr>
          <w:rFonts w:ascii="Arial" w:cs="Arial" w:eastAsia="Arial" w:hAnsi="Arial"/>
          <w:sz w:val="18"/>
          <w:szCs w:val="18"/>
          <w:color w:val="231F20"/>
        </w:rPr>
        <w:t>.</w:t>
      </w:r>
    </w:p>
    <w:p>
      <w:pPr>
        <w:spacing w:after="0" w:line="192" w:lineRule="exact"/>
        <w:rPr>
          <w:rFonts w:ascii="Arial" w:cs="Arial" w:eastAsia="Arial" w:hAnsi="Arial"/>
          <w:sz w:val="18"/>
          <w:szCs w:val="18"/>
          <w:color w:val="231F20"/>
        </w:rPr>
      </w:pPr>
    </w:p>
    <w:p>
      <w:pPr>
        <w:ind w:left="1300" w:right="120" w:hanging="325"/>
        <w:spacing w:after="0" w:line="259" w:lineRule="auto"/>
        <w:tabs>
          <w:tab w:leader="none" w:pos="1300" w:val="left"/>
        </w:tabs>
        <w:numPr>
          <w:ilvl w:val="1"/>
          <w:numId w:val="16"/>
        </w:numPr>
        <w:rPr>
          <w:rFonts w:ascii="Arial" w:cs="Arial" w:eastAsia="Arial" w:hAnsi="Arial"/>
          <w:sz w:val="18"/>
          <w:szCs w:val="18"/>
          <w:color w:val="231F20"/>
        </w:rPr>
      </w:pPr>
      <w:r>
        <w:rPr>
          <w:rFonts w:ascii="Arial" w:cs="Arial" w:eastAsia="Arial" w:hAnsi="Arial"/>
          <w:sz w:val="18"/>
          <w:szCs w:val="18"/>
          <w:i w:val="1"/>
          <w:iCs w:val="1"/>
          <w:u w:val="single" w:color="auto"/>
          <w:color w:val="231F20"/>
        </w:rPr>
        <w:t>Click-to-trade.</w:t>
      </w:r>
      <w:r>
        <w:rPr>
          <w:rFonts w:ascii="Arial" w:cs="Arial" w:eastAsia="Arial" w:hAnsi="Arial"/>
          <w:sz w:val="18"/>
          <w:szCs w:val="18"/>
          <w:i w:val="1"/>
          <w:iCs w:val="1"/>
          <w:color w:val="231F20"/>
        </w:rPr>
        <w:t xml:space="preserve"> </w:t>
      </w:r>
      <w:r>
        <w:rPr>
          <w:rFonts w:ascii="Arial" w:cs="Arial" w:eastAsia="Arial" w:hAnsi="Arial"/>
          <w:sz w:val="18"/>
          <w:szCs w:val="18"/>
          <w:color w:val="000000"/>
        </w:rPr>
        <w:t>Our click-to-trade, or CTT, protocol enables a liquidity-taking client to view a set of prices</w:t>
      </w:r>
      <w:r>
        <w:rPr>
          <w:rFonts w:ascii="Arial" w:cs="Arial" w:eastAsia="Arial" w:hAnsi="Arial"/>
          <w:sz w:val="18"/>
          <w:szCs w:val="18"/>
          <w:i w:val="1"/>
          <w:iCs w:val="1"/>
          <w:color w:val="231F20"/>
        </w:rPr>
        <w:t xml:space="preserve"> </w:t>
      </w:r>
      <w:r>
        <w:rPr>
          <w:rFonts w:ascii="Arial" w:cs="Arial" w:eastAsia="Arial" w:hAnsi="Arial"/>
          <w:sz w:val="18"/>
          <w:szCs w:val="18"/>
          <w:color w:val="000000"/>
        </w:rPr>
        <w:t>in real-time and click on the price and the dealer with whom they wish to execute. This trading protocol is especially popular with clients that are looking to view a range of executable, real-time prices across dealers</w:t>
      </w:r>
      <w:r>
        <w:rPr>
          <w:rFonts w:ascii="Arial" w:cs="Arial" w:eastAsia="Arial" w:hAnsi="Arial"/>
          <w:sz w:val="18"/>
          <w:szCs w:val="18"/>
          <w:color w:val="231F20"/>
        </w:rPr>
        <w:t>.</w:t>
      </w:r>
    </w:p>
    <w:p>
      <w:pPr>
        <w:spacing w:after="0" w:line="186" w:lineRule="exact"/>
        <w:rPr>
          <w:rFonts w:ascii="Arial" w:cs="Arial" w:eastAsia="Arial" w:hAnsi="Arial"/>
          <w:sz w:val="18"/>
          <w:szCs w:val="18"/>
          <w:color w:val="231F20"/>
        </w:rPr>
      </w:pPr>
    </w:p>
    <w:p>
      <w:pPr>
        <w:ind w:left="1300" w:right="260" w:hanging="325"/>
        <w:spacing w:after="0" w:line="342" w:lineRule="auto"/>
        <w:tabs>
          <w:tab w:leader="none" w:pos="1300" w:val="left"/>
        </w:tabs>
        <w:numPr>
          <w:ilvl w:val="1"/>
          <w:numId w:val="16"/>
        </w:numPr>
        <w:rPr>
          <w:rFonts w:ascii="Arial" w:cs="Arial" w:eastAsia="Arial" w:hAnsi="Arial"/>
          <w:sz w:val="16"/>
          <w:szCs w:val="16"/>
          <w:color w:val="231F20"/>
        </w:rPr>
      </w:pPr>
      <w:r>
        <w:rPr>
          <w:rFonts w:ascii="Arial" w:cs="Arial" w:eastAsia="Arial" w:hAnsi="Arial"/>
          <w:sz w:val="16"/>
          <w:szCs w:val="16"/>
          <w:i w:val="1"/>
          <w:iCs w:val="1"/>
          <w:u w:val="single" w:color="auto"/>
          <w:color w:val="231F20"/>
        </w:rPr>
        <w:t>Portfolio Trading</w:t>
      </w:r>
      <w:r>
        <w:rPr>
          <w:rFonts w:ascii="Arial" w:cs="Arial" w:eastAsia="Arial" w:hAnsi="Arial"/>
          <w:sz w:val="16"/>
          <w:szCs w:val="16"/>
          <w:color w:val="231F20"/>
        </w:rPr>
        <w:t>.</w:t>
      </w:r>
      <w:r>
        <w:rPr>
          <w:rFonts w:ascii="Arial" w:cs="Arial" w:eastAsia="Arial" w:hAnsi="Arial"/>
          <w:sz w:val="16"/>
          <w:szCs w:val="16"/>
          <w:i w:val="1"/>
          <w:iCs w:val="1"/>
          <w:color w:val="231F20"/>
        </w:rPr>
        <w:t xml:space="preserve"> </w:t>
      </w:r>
      <w:r>
        <w:rPr>
          <w:rFonts w:ascii="Arial" w:cs="Arial" w:eastAsia="Arial" w:hAnsi="Arial"/>
          <w:sz w:val="16"/>
          <w:szCs w:val="16"/>
          <w:color w:val="000000"/>
        </w:rPr>
        <w:t>To support rebalancing of passive portfolios and ETFs, our portfolio trading solution</w:t>
      </w:r>
      <w:r>
        <w:rPr>
          <w:rFonts w:ascii="Arial" w:cs="Arial" w:eastAsia="Arial" w:hAnsi="Arial"/>
          <w:sz w:val="16"/>
          <w:szCs w:val="16"/>
          <w:i w:val="1"/>
          <w:iCs w:val="1"/>
          <w:color w:val="231F20"/>
        </w:rPr>
        <w:t xml:space="preserve"> </w:t>
      </w:r>
      <w:r>
        <w:rPr>
          <w:rFonts w:ascii="Arial" w:cs="Arial" w:eastAsia="Arial" w:hAnsi="Arial"/>
          <w:sz w:val="16"/>
          <w:szCs w:val="16"/>
          <w:color w:val="000000"/>
        </w:rPr>
        <w:t>allows clients to obtain competitive prices and trade on net present value on a full basket of securities</w:t>
      </w:r>
      <w:r>
        <w:rPr>
          <w:rFonts w:ascii="Arial" w:cs="Arial" w:eastAsia="Arial" w:hAnsi="Arial"/>
          <w:sz w:val="16"/>
          <w:szCs w:val="16"/>
          <w:color w:val="231F20"/>
        </w:rPr>
        <w:t>.</w:t>
      </w:r>
    </w:p>
    <w:p>
      <w:pPr>
        <w:spacing w:after="0" w:line="123" w:lineRule="exact"/>
        <w:rPr>
          <w:rFonts w:ascii="Arial" w:cs="Arial" w:eastAsia="Arial" w:hAnsi="Arial"/>
          <w:sz w:val="16"/>
          <w:szCs w:val="16"/>
          <w:color w:val="231F20"/>
        </w:rPr>
      </w:pPr>
    </w:p>
    <w:p>
      <w:pPr>
        <w:jc w:val="both"/>
        <w:ind w:left="1300" w:right="60" w:hanging="325"/>
        <w:spacing w:after="0" w:line="257" w:lineRule="auto"/>
        <w:tabs>
          <w:tab w:leader="none" w:pos="1300" w:val="left"/>
        </w:tabs>
        <w:numPr>
          <w:ilvl w:val="1"/>
          <w:numId w:val="16"/>
        </w:numPr>
        <w:rPr>
          <w:rFonts w:ascii="Arial" w:cs="Arial" w:eastAsia="Arial" w:hAnsi="Arial"/>
          <w:sz w:val="18"/>
          <w:szCs w:val="18"/>
          <w:color w:val="231F20"/>
        </w:rPr>
      </w:pPr>
      <w:r>
        <w:rPr>
          <w:rFonts w:ascii="Arial" w:cs="Arial" w:eastAsia="Arial" w:hAnsi="Arial"/>
          <w:sz w:val="18"/>
          <w:szCs w:val="18"/>
          <w:i w:val="1"/>
          <w:iCs w:val="1"/>
          <w:u w:val="single" w:color="auto"/>
          <w:color w:val="231F20"/>
        </w:rPr>
        <w:t>Session-based</w:t>
      </w:r>
      <w:r>
        <w:rPr>
          <w:rFonts w:ascii="Arial" w:cs="Arial" w:eastAsia="Arial" w:hAnsi="Arial"/>
          <w:sz w:val="18"/>
          <w:szCs w:val="18"/>
          <w:color w:val="231F20"/>
        </w:rPr>
        <w:t>.</w:t>
      </w:r>
      <w:r>
        <w:rPr>
          <w:rFonts w:ascii="Arial" w:cs="Arial" w:eastAsia="Arial" w:hAnsi="Arial"/>
          <w:sz w:val="18"/>
          <w:szCs w:val="18"/>
          <w:i w:val="1"/>
          <w:iCs w:val="1"/>
          <w:color w:val="231F20"/>
        </w:rPr>
        <w:t xml:space="preserve"> </w:t>
      </w:r>
      <w:r>
        <w:rPr>
          <w:rFonts w:ascii="Arial" w:cs="Arial" w:eastAsia="Arial" w:hAnsi="Arial"/>
          <w:sz w:val="18"/>
          <w:szCs w:val="18"/>
          <w:color w:val="000000"/>
        </w:rPr>
        <w:t>Sweep, our session-based trading protocol, allows clients to manage inventory and balance</w:t>
      </w:r>
      <w:r>
        <w:rPr>
          <w:rFonts w:ascii="Arial" w:cs="Arial" w:eastAsia="Arial" w:hAnsi="Arial"/>
          <w:sz w:val="18"/>
          <w:szCs w:val="18"/>
          <w:i w:val="1"/>
          <w:iCs w:val="1"/>
          <w:color w:val="231F20"/>
        </w:rPr>
        <w:t xml:space="preserve"> </w:t>
      </w:r>
      <w:r>
        <w:rPr>
          <w:rFonts w:ascii="Arial" w:cs="Arial" w:eastAsia="Arial" w:hAnsi="Arial"/>
          <w:sz w:val="18"/>
          <w:szCs w:val="18"/>
          <w:color w:val="000000"/>
        </w:rPr>
        <w:t>sheets by entering orders to be 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r>
        <w:rPr>
          <w:rFonts w:ascii="Arial" w:cs="Arial" w:eastAsia="Arial" w:hAnsi="Arial"/>
          <w:sz w:val="18"/>
          <w:szCs w:val="18"/>
          <w:color w:val="231F20"/>
        </w:rPr>
        <w:t>.</w:t>
      </w:r>
    </w:p>
    <w:p>
      <w:pPr>
        <w:spacing w:after="0" w:line="188" w:lineRule="exact"/>
        <w:rPr>
          <w:rFonts w:ascii="Arial" w:cs="Arial" w:eastAsia="Arial" w:hAnsi="Arial"/>
          <w:sz w:val="18"/>
          <w:szCs w:val="18"/>
          <w:color w:val="231F20"/>
        </w:rPr>
      </w:pPr>
    </w:p>
    <w:p>
      <w:pPr>
        <w:ind w:left="1300" w:right="120" w:hanging="325"/>
        <w:spacing w:after="0" w:line="286" w:lineRule="auto"/>
        <w:tabs>
          <w:tab w:leader="none" w:pos="1300" w:val="left"/>
        </w:tabs>
        <w:numPr>
          <w:ilvl w:val="1"/>
          <w:numId w:val="16"/>
        </w:numPr>
        <w:rPr>
          <w:rFonts w:ascii="Arial" w:cs="Arial" w:eastAsia="Arial" w:hAnsi="Arial"/>
          <w:sz w:val="17"/>
          <w:szCs w:val="17"/>
          <w:color w:val="231F20"/>
        </w:rPr>
      </w:pPr>
      <w:r>
        <w:rPr>
          <w:rFonts w:ascii="Arial" w:cs="Arial" w:eastAsia="Arial" w:hAnsi="Arial"/>
          <w:sz w:val="17"/>
          <w:szCs w:val="17"/>
          <w:i w:val="1"/>
          <w:iCs w:val="1"/>
          <w:u w:val="single" w:color="auto"/>
          <w:color w:val="231F20"/>
        </w:rPr>
        <w:t>Central Limit Order Book.</w:t>
      </w:r>
      <w:r>
        <w:rPr>
          <w:rFonts w:ascii="Arial" w:cs="Arial" w:eastAsia="Arial" w:hAnsi="Arial"/>
          <w:sz w:val="17"/>
          <w:szCs w:val="17"/>
          <w:i w:val="1"/>
          <w:iCs w:val="1"/>
          <w:color w:val="231F20"/>
        </w:rPr>
        <w:t xml:space="preserve"> </w:t>
      </w:r>
      <w:r>
        <w:rPr>
          <w:rFonts w:ascii="Arial" w:cs="Arial" w:eastAsia="Arial" w:hAnsi="Arial"/>
          <w:sz w:val="17"/>
          <w:szCs w:val="17"/>
          <w:color w:val="000000"/>
        </w:rPr>
        <w:t>Our central limit order book, or CLOB, is a continuous electronic protocol that</w:t>
      </w:r>
      <w:r>
        <w:rPr>
          <w:rFonts w:ascii="Arial" w:cs="Arial" w:eastAsia="Arial" w:hAnsi="Arial"/>
          <w:sz w:val="17"/>
          <w:szCs w:val="17"/>
          <w:i w:val="1"/>
          <w:iCs w:val="1"/>
          <w:color w:val="231F20"/>
        </w:rPr>
        <w:t xml:space="preserve"> </w:t>
      </w:r>
      <w:r>
        <w:rPr>
          <w:rFonts w:ascii="Arial" w:cs="Arial" w:eastAsia="Arial" w:hAnsi="Arial"/>
          <w:sz w:val="17"/>
          <w:szCs w:val="17"/>
          <w:color w:val="000000"/>
        </w:rPr>
        <w:t>allows clients to trade on firm bids and offers from other market participants, as well as enter their own resting bids and offers for display to the market participants, typically anonymously</w:t>
      </w:r>
      <w:r>
        <w:rPr>
          <w:rFonts w:ascii="Arial" w:cs="Arial" w:eastAsia="Arial" w:hAnsi="Arial"/>
          <w:sz w:val="17"/>
          <w:szCs w:val="17"/>
          <w:color w:val="231F20"/>
        </w:rPr>
        <w:t>.</w:t>
      </w:r>
    </w:p>
    <w:p>
      <w:pPr>
        <w:spacing w:after="0" w:line="165" w:lineRule="exact"/>
        <w:rPr>
          <w:rFonts w:ascii="Arial" w:cs="Arial" w:eastAsia="Arial" w:hAnsi="Arial"/>
          <w:sz w:val="17"/>
          <w:szCs w:val="17"/>
          <w:color w:val="231F20"/>
        </w:rPr>
      </w:pPr>
    </w:p>
    <w:p>
      <w:pPr>
        <w:ind w:left="1300" w:hanging="325"/>
        <w:spacing w:after="0" w:line="255" w:lineRule="auto"/>
        <w:tabs>
          <w:tab w:leader="none" w:pos="1300" w:val="left"/>
        </w:tabs>
        <w:numPr>
          <w:ilvl w:val="1"/>
          <w:numId w:val="16"/>
        </w:numPr>
        <w:rPr>
          <w:rFonts w:ascii="Arial" w:cs="Arial" w:eastAsia="Arial" w:hAnsi="Arial"/>
          <w:sz w:val="18"/>
          <w:szCs w:val="18"/>
          <w:color w:val="231F20"/>
        </w:rPr>
      </w:pPr>
      <w:r>
        <w:rPr>
          <w:rFonts w:ascii="Arial" w:cs="Arial" w:eastAsia="Arial" w:hAnsi="Arial"/>
          <w:sz w:val="18"/>
          <w:szCs w:val="18"/>
          <w:i w:val="1"/>
          <w:iCs w:val="1"/>
          <w:u w:val="single" w:color="auto"/>
          <w:color w:val="231F20"/>
        </w:rPr>
        <w:t>Directed streams.</w:t>
      </w:r>
      <w:r>
        <w:rPr>
          <w:rFonts w:ascii="Arial" w:cs="Arial" w:eastAsia="Arial" w:hAnsi="Arial"/>
          <w:sz w:val="18"/>
          <w:szCs w:val="18"/>
          <w:i w:val="1"/>
          <w:iCs w:val="1"/>
          <w:color w:val="231F20"/>
        </w:rPr>
        <w:t xml:space="preserve"> </w:t>
      </w:r>
      <w:r>
        <w:rPr>
          <w:rFonts w:ascii="Arial" w:cs="Arial" w:eastAsia="Arial" w:hAnsi="Arial"/>
          <w:sz w:val="18"/>
          <w:szCs w:val="18"/>
          <w:color w:val="000000"/>
        </w:rPr>
        <w:t>Our directed streams protocol, which is currently used by our wholesale clients in the</w:t>
      </w:r>
      <w:r>
        <w:rPr>
          <w:rFonts w:ascii="Arial" w:cs="Arial" w:eastAsia="Arial" w:hAnsi="Arial"/>
          <w:sz w:val="18"/>
          <w:szCs w:val="18"/>
          <w:i w:val="1"/>
          <w:iCs w:val="1"/>
          <w:color w:val="231F20"/>
        </w:rPr>
        <w:t xml:space="preserve"> </w:t>
      </w:r>
      <w:r>
        <w:rPr>
          <w:rFonts w:ascii="Arial" w:cs="Arial" w:eastAsia="Arial" w:hAnsi="Arial"/>
          <w:sz w:val="18"/>
          <w:szCs w:val="18"/>
          <w:color w:val="000000"/>
        </w:rPr>
        <w:t>On-The-Run U.S. 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r>
        <w:rPr>
          <w:rFonts w:ascii="Arial" w:cs="Arial" w:eastAsia="Arial" w:hAnsi="Arial"/>
          <w:sz w:val="18"/>
          <w:szCs w:val="18"/>
          <w:color w:val="231F20"/>
        </w:rPr>
        <w:t>.</w:t>
      </w:r>
    </w:p>
    <w:p>
      <w:pPr>
        <w:spacing w:after="0" w:line="193" w:lineRule="exact"/>
        <w:rPr>
          <w:rFonts w:ascii="Arial" w:cs="Arial" w:eastAsia="Arial" w:hAnsi="Arial"/>
          <w:sz w:val="18"/>
          <w:szCs w:val="18"/>
          <w:color w:val="231F20"/>
        </w:rPr>
      </w:pPr>
    </w:p>
    <w:p>
      <w:pPr>
        <w:ind w:left="660" w:right="40" w:hanging="333"/>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u w:val="single" w:color="auto"/>
          <w:color w:val="231F20"/>
        </w:rPr>
        <w:t>Inventory-based.</w:t>
      </w:r>
      <w:r>
        <w:rPr>
          <w:rFonts w:ascii="Arial" w:cs="Arial" w:eastAsia="Arial" w:hAnsi="Arial"/>
          <w:sz w:val="18"/>
          <w:szCs w:val="18"/>
          <w:i w:val="1"/>
          <w:iCs w:val="1"/>
          <w:color w:val="231F20"/>
        </w:rPr>
        <w:t xml:space="preserve"> </w:t>
      </w:r>
      <w:r>
        <w:rPr>
          <w:rFonts w:ascii="Arial" w:cs="Arial" w:eastAsia="Arial" w:hAnsi="Arial"/>
          <w:sz w:val="18"/>
          <w:szCs w:val="18"/>
          <w:color w:val="000000"/>
        </w:rPr>
        <w:t>Our inventory-based protocol allows liquidity-providing clients to submit a range of bids and</w:t>
      </w:r>
      <w:r>
        <w:rPr>
          <w:rFonts w:ascii="Arial" w:cs="Arial" w:eastAsia="Arial" w:hAnsi="Arial"/>
          <w:sz w:val="18"/>
          <w:szCs w:val="18"/>
          <w:i w:val="1"/>
          <w:iCs w:val="1"/>
          <w:color w:val="231F20"/>
        </w:rPr>
        <w:t xml:space="preserve"> </w:t>
      </w:r>
      <w:r>
        <w:rPr>
          <w:rFonts w:ascii="Arial" w:cs="Arial" w:eastAsia="Arial" w:hAnsi="Arial"/>
          <w:sz w:val="18"/>
          <w:szCs w:val="18"/>
          <w:color w:val="000000"/>
        </w:rPr>
        <w:t>offers for particular 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certain credit and money markets marketplaces</w:t>
      </w:r>
      <w:r>
        <w:rPr>
          <w:rFonts w:ascii="Arial" w:cs="Arial" w:eastAsia="Arial" w:hAnsi="Arial"/>
          <w:sz w:val="18"/>
          <w:szCs w:val="18"/>
          <w:color w:val="231F20"/>
        </w:rPr>
        <w:t>.</w:t>
      </w:r>
    </w:p>
    <w:p>
      <w:pPr>
        <w:spacing w:after="0" w:line="188" w:lineRule="exact"/>
        <w:rPr>
          <w:rFonts w:ascii="Arial" w:cs="Arial" w:eastAsia="Arial" w:hAnsi="Arial"/>
          <w:sz w:val="18"/>
          <w:szCs w:val="18"/>
          <w:color w:val="auto"/>
        </w:rPr>
      </w:pPr>
    </w:p>
    <w:p>
      <w:pPr>
        <w:jc w:val="both"/>
        <w:ind w:left="660" w:right="100" w:hanging="333"/>
        <w:spacing w:after="0" w:line="286" w:lineRule="auto"/>
        <w:tabs>
          <w:tab w:leader="none" w:pos="660" w:val="left"/>
        </w:tabs>
        <w:numPr>
          <w:ilvl w:val="0"/>
          <w:numId w:val="16"/>
        </w:numPr>
        <w:rPr>
          <w:rFonts w:ascii="Arial" w:cs="Arial" w:eastAsia="Arial" w:hAnsi="Arial"/>
          <w:sz w:val="17"/>
          <w:szCs w:val="17"/>
          <w:color w:val="231F20"/>
        </w:rPr>
      </w:pPr>
      <w:r>
        <w:rPr>
          <w:rFonts w:ascii="Arial" w:cs="Arial" w:eastAsia="Arial" w:hAnsi="Arial"/>
          <w:sz w:val="17"/>
          <w:szCs w:val="17"/>
          <w:i w:val="1"/>
          <w:iCs w:val="1"/>
          <w:u w:val="single" w:color="auto"/>
          <w:color w:val="231F20"/>
        </w:rPr>
        <w:t>Voice.</w:t>
      </w:r>
      <w:r>
        <w:rPr>
          <w:rFonts w:ascii="Arial" w:cs="Arial" w:eastAsia="Arial" w:hAnsi="Arial"/>
          <w:sz w:val="17"/>
          <w:szCs w:val="17"/>
          <w:i w:val="1"/>
          <w:iCs w:val="1"/>
          <w:color w:val="231F20"/>
        </w:rPr>
        <w:t xml:space="preserve"> </w:t>
      </w:r>
      <w:r>
        <w:rPr>
          <w:rFonts w:ascii="Arial" w:cs="Arial" w:eastAsia="Arial" w:hAnsi="Arial"/>
          <w:sz w:val="17"/>
          <w:szCs w:val="17"/>
          <w:color w:val="231F20"/>
        </w:rPr>
        <w:t>Voice-brokered products in our wholesale client sector include, among other products, U.S. treasuries, MBS,</w:t>
      </w:r>
      <w:r>
        <w:rPr>
          <w:rFonts w:ascii="Arial" w:cs="Arial" w:eastAsia="Arial" w:hAnsi="Arial"/>
          <w:sz w:val="17"/>
          <w:szCs w:val="17"/>
          <w:i w:val="1"/>
          <w:iCs w:val="1"/>
          <w:color w:val="231F20"/>
        </w:rPr>
        <w:t xml:space="preserve"> </w:t>
      </w:r>
      <w:r>
        <w:rPr>
          <w:rFonts w:ascii="Arial" w:cs="Arial" w:eastAsia="Arial" w:hAnsi="Arial"/>
          <w:sz w:val="17"/>
          <w:szCs w:val="17"/>
          <w:color w:val="231F20"/>
        </w:rPr>
        <w:t>municipal bonds and repurchase agreements. Our voice brokers provide anonymity and insight for sell side traders and give us valuable high-touch relationships and market understanding and access.</w:t>
      </w:r>
    </w:p>
    <w:p>
      <w:pPr>
        <w:spacing w:after="0" w:line="165" w:lineRule="exact"/>
        <w:rPr>
          <w:rFonts w:ascii="Arial" w:cs="Arial" w:eastAsia="Arial" w:hAnsi="Arial"/>
          <w:sz w:val="17"/>
          <w:szCs w:val="17"/>
          <w:color w:val="231F20"/>
        </w:rPr>
      </w:pPr>
    </w:p>
    <w:p>
      <w:pPr>
        <w:ind w:left="660" w:right="80"/>
        <w:spacing w:after="0" w:line="302" w:lineRule="auto"/>
        <w:rPr>
          <w:rFonts w:ascii="Arial" w:cs="Arial" w:eastAsia="Arial" w:hAnsi="Arial"/>
          <w:sz w:val="17"/>
          <w:szCs w:val="17"/>
          <w:color w:val="231F20"/>
        </w:rPr>
      </w:pPr>
      <w:r>
        <w:rPr>
          <w:rFonts w:ascii="Arial" w:cs="Arial" w:eastAsia="Arial" w:hAnsi="Arial"/>
          <w:sz w:val="16"/>
          <w:szCs w:val="16"/>
          <w:color w:val="auto"/>
        </w:rPr>
        <w:t>Tradeweb Automated Intelligent Execution, or AiEX, is an innovative automated trading technology that allows clients to execute large volumes of trade tickets at a high speed using pre-programmed execution rules that are tailored to the client’s trading strategy. Clients use AiEX to efficiently automate high volumes of small, basic trades to free up time and create capacity. In addition, clients apply AiEX to more complex execution strategies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to open up new trading opportunities. The trading benefits of AiEX include efficient accelerated execution, better optimization to fine-tune dealer selection and enhanced automated compliance</w:t>
      </w:r>
      <w:r>
        <w:rPr>
          <w:rFonts w:ascii="Arial" w:cs="Arial" w:eastAsia="Arial" w:hAnsi="Arial"/>
          <w:sz w:val="18"/>
          <w:szCs w:val="18"/>
          <w:color w:val="231F20"/>
        </w:rPr>
        <w:t>.</w:t>
      </w:r>
    </w:p>
    <w:p>
      <w:pPr>
        <w:spacing w:after="0" w:line="166" w:lineRule="exact"/>
        <w:rPr>
          <w:sz w:val="20"/>
          <w:szCs w:val="20"/>
          <w:color w:val="auto"/>
        </w:rPr>
      </w:pPr>
    </w:p>
    <w:p>
      <w:pPr>
        <w:ind w:left="660" w:hanging="333"/>
        <w:spacing w:after="0" w:line="27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b w:val="1"/>
          <w:bCs w:val="1"/>
          <w:u w:val="single" w:color="auto"/>
          <w:color w:val="231F20"/>
        </w:rPr>
        <w:t>Trade Processing</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000000"/>
        </w:rPr>
        <w:t>Our trade processing technology allows our clients to increase productivity, reduce risk and</w:t>
      </w:r>
      <w:r>
        <w:rPr>
          <w:rFonts w:ascii="Arial" w:cs="Arial" w:eastAsia="Arial" w:hAnsi="Arial"/>
          <w:sz w:val="17"/>
          <w:szCs w:val="17"/>
          <w:b w:val="1"/>
          <w:bCs w:val="1"/>
          <w:color w:val="231F20"/>
        </w:rPr>
        <w:t xml:space="preserve"> </w:t>
      </w:r>
      <w:r>
        <w:rPr>
          <w:rFonts w:ascii="Arial" w:cs="Arial" w:eastAsia="Arial" w:hAnsi="Arial"/>
          <w:sz w:val="17"/>
          <w:szCs w:val="17"/>
          <w:color w:val="000000"/>
        </w:rPr>
        <w:t>improve overall performance. Our post-trade solutions allow clients to allocate their electronic or phone-executed trades electronically, including storing and communicating organizational and sub-account settlement, identity and confirmation preference information for processing trades. Our post-trade solutions also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r>
        <w:rPr>
          <w:rFonts w:ascii="Arial" w:cs="Arial" w:eastAsia="Arial" w:hAnsi="Arial"/>
          <w:sz w:val="17"/>
          <w:szCs w:val="17"/>
          <w:color w:val="231F20"/>
        </w:rPr>
        <w:t>.</w:t>
      </w:r>
    </w:p>
    <w:p>
      <w:pPr>
        <w:spacing w:after="0" w:line="174" w:lineRule="exact"/>
        <w:rPr>
          <w:rFonts w:ascii="Arial" w:cs="Arial" w:eastAsia="Arial" w:hAnsi="Arial"/>
          <w:sz w:val="17"/>
          <w:szCs w:val="17"/>
          <w:color w:val="auto"/>
        </w:rPr>
      </w:pPr>
    </w:p>
    <w:p>
      <w:pPr>
        <w:ind w:left="660" w:hanging="333"/>
        <w:spacing w:after="0" w:line="29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231F20"/>
        </w:rPr>
        <w:t>Post-Trade Data, Analytics and Reporting</w:t>
      </w:r>
      <w:r>
        <w:rPr>
          <w:rFonts w:ascii="Arial" w:cs="Arial" w:eastAsia="Arial" w:hAnsi="Arial"/>
          <w:sz w:val="16"/>
          <w:szCs w:val="16"/>
          <w:color w:val="231F20"/>
        </w:rPr>
        <w:t>:</w:t>
      </w:r>
      <w:r>
        <w:rPr>
          <w:rFonts w:ascii="Arial" w:cs="Arial" w:eastAsia="Arial" w:hAnsi="Arial"/>
          <w:sz w:val="16"/>
          <w:szCs w:val="16"/>
          <w:b w:val="1"/>
          <w:bCs w:val="1"/>
          <w:color w:val="231F20"/>
        </w:rPr>
        <w:t xml:space="preserve"> </w:t>
      </w:r>
      <w:r>
        <w:rPr>
          <w:rFonts w:ascii="Arial" w:cs="Arial" w:eastAsia="Arial" w:hAnsi="Arial"/>
          <w:sz w:val="16"/>
          <w:szCs w:val="16"/>
          <w:color w:val="000000"/>
        </w:rPr>
        <w:t>Our comprehensive post-trade services include transaction cost</w:t>
      </w:r>
      <w:r>
        <w:rPr>
          <w:rFonts w:ascii="Arial" w:cs="Arial" w:eastAsia="Arial" w:hAnsi="Arial"/>
          <w:sz w:val="16"/>
          <w:szCs w:val="16"/>
          <w:b w:val="1"/>
          <w:bCs w:val="1"/>
          <w:color w:val="231F20"/>
        </w:rPr>
        <w:t xml:space="preserve"> </w:t>
      </w:r>
      <w:r>
        <w:rPr>
          <w:rFonts w:ascii="Arial" w:cs="Arial" w:eastAsia="Arial" w:hAnsi="Arial"/>
          <w:sz w:val="16"/>
          <w:szCs w:val="16"/>
          <w:color w:val="000000"/>
        </w:rPr>
        <w:t>analysis, or TCA, best execution 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 In response to MiFID II, we also launched an APA reporting service 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Refinitiv’s FX trading venues and Forte Securities</w:t>
      </w:r>
      <w:r>
        <w:rPr>
          <w:rFonts w:ascii="Arial" w:cs="Arial" w:eastAsia="Arial" w:hAnsi="Arial"/>
          <w:sz w:val="16"/>
          <w:szCs w:val="16"/>
          <w:color w:val="231F20"/>
        </w:rPr>
        <w:t>.</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Strategic Alliances</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As part of our culture of collaborative innovation, throughout our history we have also initiated several formal strategic alliances. These alliances have taken several forms, including distribution partnerships, technological alliances and revenue sharing and other financial arrangements. The alliances have allowed us to accelerate our entry into certain new markets, leverage scale of other parties or simply maximize opportunities through joint projects</w:t>
      </w:r>
      <w:r>
        <w:rPr>
          <w:rFonts w:ascii="Arial" w:cs="Arial" w:eastAsia="Arial" w:hAnsi="Arial"/>
          <w:sz w:val="17"/>
          <w:szCs w:val="17"/>
          <w:color w:val="231F20"/>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Sales and Marketing</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solutions and for educating clients more broadly on the benefits of electronic trading, including how to optimize their trading performance and efficiency through our various trading protocols</w:t>
      </w:r>
      <w:r>
        <w:rPr>
          <w:rFonts w:ascii="Arial" w:cs="Arial" w:eastAsia="Arial" w:hAnsi="Arial"/>
          <w:sz w:val="17"/>
          <w:szCs w:val="17"/>
          <w:color w:val="231F20"/>
        </w:rPr>
        <w:t>.</w:t>
      </w:r>
    </w:p>
    <w:p>
      <w:pPr>
        <w:spacing w:after="0" w:line="17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Given the breadth of our global client network, trading volume activity and engagement with regulatory bodies, we regularly work to help educate market participants on market trends, the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r>
        <w:rPr>
          <w:rFonts w:ascii="Arial" w:cs="Arial" w:eastAsia="Arial" w:hAnsi="Arial"/>
          <w:sz w:val="17"/>
          <w:szCs w:val="17"/>
          <w:color w:val="231F20"/>
        </w:rPr>
        <w:t>.</w:t>
      </w:r>
    </w:p>
    <w:p>
      <w:pPr>
        <w:spacing w:after="0" w:line="178"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Additionally, we employ various marketing strategies to strengthen our brand position and explain our offerings, including through our public website, advertising, digital and social media, earned media, direct marketing, promotional mailings, industry conferences and hosted events</w:t>
      </w:r>
      <w:r>
        <w:rPr>
          <w:rFonts w:ascii="Arial" w:cs="Arial" w:eastAsia="Arial" w:hAnsi="Arial"/>
          <w:sz w:val="18"/>
          <w:szCs w:val="18"/>
          <w:color w:val="231F20"/>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Competition</w:t>
      </w:r>
    </w:p>
    <w:p>
      <w:pPr>
        <w:spacing w:after="0" w:line="229"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The markets for our solutions continue to evolve and are competitive in the asset classes, products and geographies in which we operate. We compete with a broad range of market participants globally. Some of these market participants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19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r>
        <w:rPr>
          <w:rFonts w:ascii="Arial" w:cs="Arial" w:eastAsia="Arial" w:hAnsi="Arial"/>
          <w:sz w:val="18"/>
          <w:szCs w:val="18"/>
          <w:color w:val="231F20"/>
        </w:rPr>
        <w:t>:</w:t>
      </w:r>
    </w:p>
    <w:p>
      <w:pPr>
        <w:spacing w:after="0" w:line="177" w:lineRule="exact"/>
        <w:rPr>
          <w:sz w:val="20"/>
          <w:szCs w:val="20"/>
          <w:color w:val="auto"/>
        </w:rPr>
      </w:pPr>
    </w:p>
    <w:p>
      <w:pPr>
        <w:ind w:left="660" w:right="80" w:hanging="333"/>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231F20"/>
        </w:rPr>
        <w:t>Other electronic trading platforms</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We compete with a number of other electronic trading venues. These include</w:t>
      </w:r>
      <w:r>
        <w:rPr>
          <w:rFonts w:ascii="Arial" w:cs="Arial" w:eastAsia="Arial" w:hAnsi="Arial"/>
          <w:sz w:val="18"/>
          <w:szCs w:val="18"/>
          <w:b w:val="1"/>
          <w:bCs w:val="1"/>
          <w:color w:val="231F20"/>
        </w:rPr>
        <w:t xml:space="preserve"> </w:t>
      </w:r>
      <w:r>
        <w:rPr>
          <w:rFonts w:ascii="Arial" w:cs="Arial" w:eastAsia="Arial" w:hAnsi="Arial"/>
          <w:sz w:val="18"/>
          <w:szCs w:val="18"/>
          <w:color w:val="000000"/>
        </w:rPr>
        <w:t>MarketAxess, Bloomberg, LSEG (MTS BondsPro), Intercontinental Exchange (“ICE”) (Bondpoint, TMC Bonds, Creditex) and others in the credit and municipal markets; Bloomberg, LSEG (MTS BondVision), Nasdaq (Nasdaq Fixed Income), CME Group (NEX Group), BGC Partners (Fenics) and others in the rates and derivatives markets; and ITG (RFQ-hub) that was acquired by Virtu and Bloomberg in the equities and ETF markets. Additionally, new platform providers have entered the market, such as Trumid, LiquidityEdge, which MarketAxess recently acquired, and Liquidnet</w:t>
      </w:r>
      <w:r>
        <w:rPr>
          <w:rFonts w:ascii="Arial" w:cs="Arial" w:eastAsia="Arial" w:hAnsi="Arial"/>
          <w:sz w:val="18"/>
          <w:szCs w:val="18"/>
          <w:color w:val="231F20"/>
        </w:rPr>
        <w:t>.</w:t>
      </w:r>
    </w:p>
    <w:p>
      <w:pPr>
        <w:spacing w:after="0" w:line="189" w:lineRule="exact"/>
        <w:rPr>
          <w:rFonts w:ascii="Arial" w:cs="Arial" w:eastAsia="Arial" w:hAnsi="Arial"/>
          <w:sz w:val="18"/>
          <w:szCs w:val="18"/>
          <w:color w:val="auto"/>
        </w:rPr>
      </w:pPr>
    </w:p>
    <w:p>
      <w:pPr>
        <w:ind w:left="660" w:right="120" w:hanging="333"/>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231F20"/>
        </w:rPr>
        <w:t>Exchanges</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In recent years, exchanges have pursued acquisitions that have put them in competition with us. For</w:t>
      </w:r>
      <w:r>
        <w:rPr>
          <w:rFonts w:ascii="Arial" w:cs="Arial" w:eastAsia="Arial" w:hAnsi="Arial"/>
          <w:sz w:val="18"/>
          <w:szCs w:val="18"/>
          <w:b w:val="1"/>
          <w:bCs w:val="1"/>
          <w:color w:val="231F20"/>
        </w:rPr>
        <w:t xml:space="preserve"> </w:t>
      </w:r>
      <w:r>
        <w:rPr>
          <w:rFonts w:ascii="Arial" w:cs="Arial" w:eastAsia="Arial" w:hAnsi="Arial"/>
          <w:sz w:val="18"/>
          <w:szCs w:val="18"/>
          <w:color w:val="000000"/>
        </w:rPr>
        <w:t>example, ICE acquired BondPoint and TMC Bonds, retail-focused platforms, and Interactive Data Corporation (“IDC”), a provider of fixed income data, in an effort to expand its portfolio of fixed income products and services. CME Group and Nasdaq also operate exchanges that compete with us. Exchanges also have data and analytics relationships with several market participants, which increasingly put their offerings in direct competition with Tradeweb</w:t>
      </w:r>
      <w:r>
        <w:rPr>
          <w:rFonts w:ascii="Arial" w:cs="Arial" w:eastAsia="Arial" w:hAnsi="Arial"/>
          <w:sz w:val="18"/>
          <w:szCs w:val="18"/>
          <w:color w:val="231F20"/>
        </w:rPr>
        <w:t>.</w:t>
      </w:r>
    </w:p>
    <w:p>
      <w:pPr>
        <w:spacing w:after="0" w:line="187" w:lineRule="exact"/>
        <w:rPr>
          <w:rFonts w:ascii="Arial" w:cs="Arial" w:eastAsia="Arial" w:hAnsi="Arial"/>
          <w:sz w:val="18"/>
          <w:szCs w:val="18"/>
          <w:color w:val="auto"/>
        </w:rPr>
      </w:pPr>
    </w:p>
    <w:p>
      <w:pPr>
        <w:ind w:left="660" w:hanging="333"/>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231F20"/>
        </w:rPr>
        <w:t>Inter-dealer brokers</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We compete with inter-dealer brokers, particularly in our wholesale markets in products such</w:t>
      </w:r>
      <w:r>
        <w:rPr>
          <w:rFonts w:ascii="Arial" w:cs="Arial" w:eastAsia="Arial" w:hAnsi="Arial"/>
          <w:sz w:val="18"/>
          <w:szCs w:val="18"/>
          <w:b w:val="1"/>
          <w:bCs w:val="1"/>
          <w:color w:val="231F20"/>
        </w:rPr>
        <w:t xml:space="preserve"> </w:t>
      </w:r>
      <w:r>
        <w:rPr>
          <w:rFonts w:ascii="Arial" w:cs="Arial" w:eastAsia="Arial" w:hAnsi="Arial"/>
          <w:sz w:val="18"/>
          <w:szCs w:val="18"/>
          <w:color w:val="000000"/>
        </w:rPr>
        <w:t>as MBS, U.S. Treasuries, U.S. repo and products traded on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r>
        <w:rPr>
          <w:rFonts w:ascii="Arial" w:cs="Arial" w:eastAsia="Arial" w:hAnsi="Arial"/>
          <w:sz w:val="18"/>
          <w:szCs w:val="18"/>
          <w:color w:val="231F20"/>
        </w:rPr>
        <w:t>.</w:t>
      </w:r>
    </w:p>
    <w:p>
      <w:pPr>
        <w:spacing w:after="0" w:line="183" w:lineRule="exact"/>
        <w:rPr>
          <w:rFonts w:ascii="Arial" w:cs="Arial" w:eastAsia="Arial" w:hAnsi="Arial"/>
          <w:sz w:val="18"/>
          <w:szCs w:val="18"/>
          <w:color w:val="auto"/>
        </w:rPr>
      </w:pPr>
    </w:p>
    <w:p>
      <w:pPr>
        <w:ind w:left="660" w:right="100" w:hanging="333"/>
        <w:spacing w:after="0" w:line="28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231F20"/>
        </w:rPr>
        <w:t>Single-bank systems</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000000"/>
        </w:rPr>
        <w:t>Major global and regional investment and commercial banks offer institutional clients</w:t>
      </w:r>
      <w:r>
        <w:rPr>
          <w:rFonts w:ascii="Arial" w:cs="Arial" w:eastAsia="Arial" w:hAnsi="Arial"/>
          <w:sz w:val="17"/>
          <w:szCs w:val="17"/>
          <w:b w:val="1"/>
          <w:bCs w:val="1"/>
          <w:color w:val="231F20"/>
        </w:rPr>
        <w:t xml:space="preserve"> </w:t>
      </w:r>
      <w:r>
        <w:rPr>
          <w:rFonts w:ascii="Arial" w:cs="Arial" w:eastAsia="Arial" w:hAnsi="Arial"/>
          <w:sz w:val="17"/>
          <w:szCs w:val="17"/>
          <w:color w:val="000000"/>
        </w:rPr>
        <w:t>electronic trade execution through proprietary trading systems. Many of these banks expend considerable resources on product development, sales and support to promote their single-bank systems</w:t>
      </w:r>
      <w:r>
        <w:rPr>
          <w:rFonts w:ascii="Arial" w:cs="Arial" w:eastAsia="Arial" w:hAnsi="Arial"/>
          <w:sz w:val="17"/>
          <w:szCs w:val="17"/>
          <w:color w:val="231F20"/>
        </w:rPr>
        <w:t>.</w:t>
      </w:r>
    </w:p>
    <w:p>
      <w:pPr>
        <w:spacing w:after="0" w:line="158" w:lineRule="exact"/>
        <w:rPr>
          <w:rFonts w:ascii="Arial" w:cs="Arial" w:eastAsia="Arial" w:hAnsi="Arial"/>
          <w:sz w:val="17"/>
          <w:szCs w:val="17"/>
          <w:color w:val="auto"/>
        </w:rPr>
      </w:pPr>
    </w:p>
    <w:p>
      <w:pPr>
        <w:ind w:left="660" w:right="60" w:hanging="333"/>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231F20"/>
        </w:rPr>
        <w:t>Dealers</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Many of our markets are still traded through traditional voice-based protocols. Institutional investors have</w:t>
      </w:r>
      <w:r>
        <w:rPr>
          <w:rFonts w:ascii="Arial" w:cs="Arial" w:eastAsia="Arial" w:hAnsi="Arial"/>
          <w:sz w:val="18"/>
          <w:szCs w:val="18"/>
          <w:b w:val="1"/>
          <w:bCs w:val="1"/>
          <w:color w:val="231F20"/>
        </w:rPr>
        <w:t xml:space="preserve"> </w:t>
      </w:r>
      <w:r>
        <w:rPr>
          <w:rFonts w:ascii="Arial" w:cs="Arial" w:eastAsia="Arial" w:hAnsi="Arial"/>
          <w:sz w:val="18"/>
          <w:szCs w:val="18"/>
          <w:color w:val="000000"/>
        </w:rPr>
        <w:t>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r>
        <w:rPr>
          <w:rFonts w:ascii="Arial" w:cs="Arial" w:eastAsia="Arial" w:hAnsi="Arial"/>
          <w:sz w:val="18"/>
          <w:szCs w:val="18"/>
          <w:color w:val="231F20"/>
        </w:rPr>
        <w:t>.</w:t>
      </w:r>
    </w:p>
    <w:p>
      <w:pPr>
        <w:spacing w:after="0" w:line="180" w:lineRule="exact"/>
        <w:rPr>
          <w:rFonts w:ascii="Arial" w:cs="Arial" w:eastAsia="Arial" w:hAnsi="Arial"/>
          <w:sz w:val="18"/>
          <w:szCs w:val="18"/>
          <w:color w:val="auto"/>
        </w:rPr>
      </w:pPr>
    </w:p>
    <w:p>
      <w:pPr>
        <w:ind w:left="660" w:right="100" w:hanging="333"/>
        <w:spacing w:after="0" w:line="28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231F20"/>
        </w:rPr>
        <w:t>Market data and information vendors</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000000"/>
        </w:rPr>
        <w:t>Market data and information providers, such as Bloomberg, IDC (now</w:t>
      </w:r>
      <w:r>
        <w:rPr>
          <w:rFonts w:ascii="Arial" w:cs="Arial" w:eastAsia="Arial" w:hAnsi="Arial"/>
          <w:sz w:val="17"/>
          <w:szCs w:val="17"/>
          <w:b w:val="1"/>
          <w:bCs w:val="1"/>
          <w:color w:val="231F20"/>
        </w:rPr>
        <w:t xml:space="preserve"> </w:t>
      </w:r>
      <w:r>
        <w:rPr>
          <w:rFonts w:ascii="Arial" w:cs="Arial" w:eastAsia="Arial" w:hAnsi="Arial"/>
          <w:sz w:val="17"/>
          <w:szCs w:val="17"/>
          <w:color w:val="000000"/>
        </w:rPr>
        <w:t>part of ICE) and IHS Markit, have a pervasive presence across the financial trading community. Their data and pre-and post-trade analytics compete with offerings we provide to support trading on our marketplaces</w:t>
      </w:r>
      <w:r>
        <w:rPr>
          <w:rFonts w:ascii="Arial" w:cs="Arial" w:eastAsia="Arial" w:hAnsi="Arial"/>
          <w:sz w:val="17"/>
          <w:szCs w:val="17"/>
          <w:color w:val="231F20"/>
        </w:rPr>
        <w:t>.</w:t>
      </w:r>
    </w:p>
    <w:p>
      <w:pPr>
        <w:spacing w:after="0" w:line="162"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face intense competition, and we expect competition with a broad range of competitors to continue to intensify in the future. See Part I, Item 1A. – “Risk Factors — Risks Relating to Our Business and Industry — Failure to compete successfully could materially adversely affect our business, financial condition and results of operations.”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Proprietary Technology</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Over the past 20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 Critical to our ability to collaborate with clients and remain at the forefront of evolving market trends is our team of over 300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r>
        <w:rPr>
          <w:rFonts w:ascii="Arial" w:cs="Arial" w:eastAsia="Arial" w:hAnsi="Arial"/>
          <w:sz w:val="18"/>
          <w:szCs w:val="18"/>
          <w:color w:val="231F20"/>
        </w:rPr>
        <w:t>.</w:t>
      </w:r>
    </w:p>
    <w:p>
      <w:pPr>
        <w:spacing w:after="0" w:line="189"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181" w:lineRule="exact"/>
        <w:rPr>
          <w:sz w:val="20"/>
          <w:szCs w:val="20"/>
          <w:color w:val="auto"/>
        </w:rPr>
      </w:pPr>
    </w:p>
    <w:p>
      <w:pPr>
        <w:ind w:right="420" w:firstLine="324"/>
        <w:spacing w:after="0" w:line="312" w:lineRule="auto"/>
        <w:rPr>
          <w:sz w:val="20"/>
          <w:szCs w:val="20"/>
          <w:color w:val="auto"/>
        </w:rPr>
      </w:pPr>
      <w:r>
        <w:rPr>
          <w:rFonts w:ascii="Arial" w:cs="Arial" w:eastAsia="Arial" w:hAnsi="Arial"/>
          <w:sz w:val="16"/>
          <w:szCs w:val="16"/>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14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r>
        <w:rPr>
          <w:rFonts w:ascii="Arial" w:cs="Arial" w:eastAsia="Arial" w:hAnsi="Arial"/>
          <w:sz w:val="18"/>
          <w:szCs w:val="18"/>
          <w:color w:val="231F20"/>
        </w:rPr>
        <w:t>:</w:t>
      </w:r>
    </w:p>
    <w:p>
      <w:pPr>
        <w:spacing w:after="0" w:line="177" w:lineRule="exact"/>
        <w:rPr>
          <w:sz w:val="20"/>
          <w:szCs w:val="20"/>
          <w:color w:val="auto"/>
        </w:rPr>
      </w:pPr>
    </w:p>
    <w:p>
      <w:pPr>
        <w:ind w:left="660" w:right="40" w:hanging="333"/>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231F20"/>
        </w:rPr>
        <w:t>Nimble product development in collaboration with clients</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Our approach to product development facilitates</w:t>
      </w:r>
      <w:r>
        <w:rPr>
          <w:rFonts w:ascii="Arial" w:cs="Arial" w:eastAsia="Arial" w:hAnsi="Arial"/>
          <w:sz w:val="18"/>
          <w:szCs w:val="18"/>
          <w:b w:val="1"/>
          <w:bCs w:val="1"/>
          <w:color w:val="231F20"/>
        </w:rPr>
        <w:t xml:space="preserve"> </w:t>
      </w:r>
      <w:r>
        <w:rPr>
          <w:rFonts w:ascii="Arial" w:cs="Arial" w:eastAsia="Arial" w:hAnsi="Arial"/>
          <w:sz w:val="18"/>
          <w:szCs w:val="18"/>
          <w:color w:val="000000"/>
        </w:rPr>
        <w:t>continuous releases of important 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r>
        <w:rPr>
          <w:rFonts w:ascii="Arial" w:cs="Arial" w:eastAsia="Arial" w:hAnsi="Arial"/>
          <w:sz w:val="18"/>
          <w:szCs w:val="18"/>
          <w:color w:val="231F20"/>
        </w:rPr>
        <w:t>.</w:t>
      </w:r>
    </w:p>
    <w:p>
      <w:pPr>
        <w:spacing w:after="0" w:line="183" w:lineRule="exact"/>
        <w:rPr>
          <w:rFonts w:ascii="Arial" w:cs="Arial" w:eastAsia="Arial" w:hAnsi="Arial"/>
          <w:sz w:val="18"/>
          <w:szCs w:val="18"/>
          <w:color w:val="auto"/>
        </w:rPr>
      </w:pPr>
    </w:p>
    <w:p>
      <w:pPr>
        <w:ind w:left="660" w:right="100" w:hanging="333"/>
        <w:spacing w:after="0" w:line="28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231F20"/>
        </w:rPr>
        <w:t>Scalable architecture</w:t>
      </w:r>
      <w:r>
        <w:rPr>
          <w:rFonts w:ascii="Arial" w:cs="Arial" w:eastAsia="Arial" w:hAnsi="Arial"/>
          <w:sz w:val="17"/>
          <w:szCs w:val="17"/>
          <w:color w:val="231F20"/>
        </w:rPr>
        <w:t>:</w:t>
      </w:r>
      <w:r>
        <w:rPr>
          <w:rFonts w:ascii="Arial" w:cs="Arial" w:eastAsia="Arial" w:hAnsi="Arial"/>
          <w:sz w:val="17"/>
          <w:szCs w:val="17"/>
          <w:b w:val="1"/>
          <w:bCs w:val="1"/>
          <w:color w:val="231F20"/>
        </w:rPr>
        <w:t xml:space="preserve"> </w:t>
      </w:r>
      <w:r>
        <w:rPr>
          <w:rFonts w:ascii="Arial" w:cs="Arial" w:eastAsia="Arial" w:hAnsi="Arial"/>
          <w:sz w:val="17"/>
          <w:szCs w:val="17"/>
          <w:color w:val="000000"/>
        </w:rPr>
        <w:t>Our scalable architecture was designed to address increased trading activities and evolving</w:t>
      </w:r>
      <w:r>
        <w:rPr>
          <w:rFonts w:ascii="Arial" w:cs="Arial" w:eastAsia="Arial" w:hAnsi="Arial"/>
          <w:sz w:val="17"/>
          <w:szCs w:val="17"/>
          <w:b w:val="1"/>
          <w:bCs w:val="1"/>
          <w:color w:val="231F20"/>
        </w:rPr>
        <w:t xml:space="preserve"> </w:t>
      </w:r>
      <w:r>
        <w:rPr>
          <w:rFonts w:ascii="Arial" w:cs="Arial" w:eastAsia="Arial" w:hAnsi="Arial"/>
          <w:sz w:val="17"/>
          <w:szCs w:val="17"/>
          <w:color w:val="000000"/>
        </w:rPr>
        <w:t>market structures in a cost 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r>
        <w:rPr>
          <w:rFonts w:ascii="Arial" w:cs="Arial" w:eastAsia="Arial" w:hAnsi="Arial"/>
          <w:sz w:val="17"/>
          <w:szCs w:val="17"/>
          <w:color w:val="231F20"/>
        </w:rPr>
        <w:t>.</w:t>
      </w:r>
    </w:p>
    <w:p>
      <w:pPr>
        <w:spacing w:after="0" w:line="164" w:lineRule="exact"/>
        <w:rPr>
          <w:rFonts w:ascii="Arial" w:cs="Arial" w:eastAsia="Arial" w:hAnsi="Arial"/>
          <w:sz w:val="17"/>
          <w:szCs w:val="17"/>
          <w:color w:val="auto"/>
        </w:rPr>
      </w:pPr>
    </w:p>
    <w:p>
      <w:pPr>
        <w:ind w:left="660" w:right="60" w:hanging="333"/>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231F20"/>
        </w:rPr>
        <w:t>Strong disaster recovery and business continuity planning</w:t>
      </w:r>
      <w:r>
        <w:rPr>
          <w:rFonts w:ascii="Arial" w:cs="Arial" w:eastAsia="Arial" w:hAnsi="Arial"/>
          <w:sz w:val="18"/>
          <w:szCs w:val="18"/>
          <w:color w:val="231F20"/>
        </w:rPr>
        <w:t>:</w:t>
      </w:r>
      <w:r>
        <w:rPr>
          <w:rFonts w:ascii="Arial" w:cs="Arial" w:eastAsia="Arial" w:hAnsi="Arial"/>
          <w:sz w:val="18"/>
          <w:szCs w:val="18"/>
          <w:b w:val="1"/>
          <w:bCs w:val="1"/>
          <w:color w:val="231F20"/>
        </w:rPr>
        <w:t xml:space="preserve"> </w:t>
      </w:r>
      <w:r>
        <w:rPr>
          <w:rFonts w:ascii="Arial" w:cs="Arial" w:eastAsia="Arial" w:hAnsi="Arial"/>
          <w:sz w:val="18"/>
          <w:szCs w:val="18"/>
          <w:color w:val="000000"/>
        </w:rPr>
        <w:t>We maintain redundant networks, hardware, data</w:t>
      </w:r>
      <w:r>
        <w:rPr>
          <w:rFonts w:ascii="Arial" w:cs="Arial" w:eastAsia="Arial" w:hAnsi="Arial"/>
          <w:sz w:val="18"/>
          <w:szCs w:val="18"/>
          <w:b w:val="1"/>
          <w:bCs w:val="1"/>
          <w:color w:val="231F20"/>
        </w:rPr>
        <w:t xml:space="preserve"> </w:t>
      </w:r>
      <w:r>
        <w:rPr>
          <w:rFonts w:ascii="Arial" w:cs="Arial" w:eastAsia="Arial" w:hAnsi="Arial"/>
          <w:sz w:val="18"/>
          <w:szCs w:val="18"/>
          <w:color w:val="000000"/>
        </w:rPr>
        <w:t>centers and alternate operational facilities to address interruptions. We have eight datacenters across the United States, the United Kingdom and Japan. Our data center infrastructure is designed to be resilient and responsive with built-in redundancies</w:t>
      </w:r>
      <w:r>
        <w:rPr>
          <w:rFonts w:ascii="Arial" w:cs="Arial" w:eastAsia="Arial" w:hAnsi="Arial"/>
          <w:sz w:val="18"/>
          <w:szCs w:val="18"/>
          <w:color w:val="231F20"/>
        </w:rPr>
        <w:t>.</w:t>
      </w:r>
    </w:p>
    <w:p>
      <w:pPr>
        <w:spacing w:after="0" w:line="184" w:lineRule="exact"/>
        <w:rPr>
          <w:sz w:val="20"/>
          <w:szCs w:val="20"/>
          <w:color w:val="auto"/>
        </w:rPr>
      </w:pPr>
    </w:p>
    <w:p>
      <w:pPr>
        <w:ind w:left="660" w:firstLine="122"/>
        <w:spacing w:after="0" w:line="270" w:lineRule="auto"/>
        <w:rPr>
          <w:sz w:val="20"/>
          <w:szCs w:val="20"/>
          <w:color w:val="auto"/>
        </w:rPr>
      </w:pPr>
      <w:r>
        <w:rPr>
          <w:rFonts w:ascii="Arial" w:cs="Arial" w:eastAsia="Arial" w:hAnsi="Arial"/>
          <w:sz w:val="17"/>
          <w:szCs w:val="17"/>
          <w:color w:val="auto"/>
        </w:rPr>
        <w:t>We have put in place business continuity plans in the event of a significant business disruption or disaster recovery situation to ensure the safety of all employees and resilience of critical systems required for normal operations. The plans cover a range of scenarios and adhere to industry standards and regulatory mandates as outlined by the Interagency Paper on Sound Practices to Strengthen the Resilience of the U.S. Financial System, the SEC’s Regulation Systems Compliance and Integrity, Commodity Futures Trading Commission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r>
        <w:rPr>
          <w:rFonts w:ascii="Arial" w:cs="Arial" w:eastAsia="Arial" w:hAnsi="Arial"/>
          <w:sz w:val="17"/>
          <w:szCs w:val="17"/>
          <w:color w:val="231F20"/>
        </w:rPr>
        <w:t>.</w:t>
      </w:r>
    </w:p>
    <w:p>
      <w:pPr>
        <w:spacing w:after="0" w:line="174" w:lineRule="exact"/>
        <w:rPr>
          <w:sz w:val="20"/>
          <w:szCs w:val="20"/>
          <w:color w:val="auto"/>
        </w:rPr>
      </w:pPr>
    </w:p>
    <w:p>
      <w:pPr>
        <w:ind w:left="660" w:right="180" w:hanging="333"/>
        <w:spacing w:after="0" w:line="298"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b w:val="1"/>
          <w:bCs w:val="1"/>
          <w:u w:val="single" w:color="auto"/>
          <w:color w:val="231F20"/>
        </w:rPr>
        <w:t>Ongoing security, system monitoring and alerting:</w:t>
      </w:r>
      <w:r>
        <w:rPr>
          <w:rFonts w:ascii="Arial" w:cs="Arial" w:eastAsia="Arial" w:hAnsi="Arial"/>
          <w:sz w:val="16"/>
          <w:szCs w:val="16"/>
          <w:b w:val="1"/>
          <w:bCs w:val="1"/>
          <w:color w:val="231F20"/>
        </w:rPr>
        <w:t xml:space="preserve"> </w:t>
      </w:r>
      <w:r>
        <w:rPr>
          <w:rFonts w:ascii="Arial" w:cs="Arial" w:eastAsia="Arial" w:hAnsi="Arial"/>
          <w:sz w:val="16"/>
          <w:szCs w:val="16"/>
          <w:color w:val="000000"/>
        </w:rPr>
        <w:t>We prioritize security throughout our platforms, operations</w:t>
      </w:r>
      <w:r>
        <w:rPr>
          <w:rFonts w:ascii="Arial" w:cs="Arial" w:eastAsia="Arial" w:hAnsi="Arial"/>
          <w:sz w:val="16"/>
          <w:szCs w:val="16"/>
          <w:b w:val="1"/>
          <w:bCs w:val="1"/>
          <w:color w:val="231F20"/>
        </w:rPr>
        <w:t xml:space="preserve"> </w:t>
      </w:r>
      <w:r>
        <w:rPr>
          <w:rFonts w:ascii="Arial" w:cs="Arial" w:eastAsia="Arial" w:hAnsi="Arial"/>
          <w:sz w:val="16"/>
          <w:szCs w:val="16"/>
          <w:color w:val="000000"/>
        </w:rPr>
        <w:t>and software development. We make architectural, design and implementation choices to structurally address security risks, such as logical and physical access controls, perimeter firewall protection and embedded security processes in our systems development lifecycle. Our cyber security program is based on the National Institute of Standards and Technology Cyber Security Framework (the “Framework”). The Framework consists of</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standards, guidelines and best practices to manage cybersecurity-related risks and promote the protection and resilience of critical infrastructure. Our Global Chief Information Security Officer leads a qualified cyber security team in assessing, managing and reducing the relevant risks to assure critical operations and continuous delivery of service. We constantly monitor connectivity, and our global operations team is alerted if there are any suspect events</w:t>
      </w:r>
      <w:r>
        <w:rPr>
          <w:rFonts w:ascii="Arial" w:cs="Arial" w:eastAsia="Arial" w:hAnsi="Arial"/>
          <w:sz w:val="18"/>
          <w:szCs w:val="18"/>
          <w:color w:val="231F20"/>
        </w:rPr>
        <w: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Intellectual Property</w:t>
      </w:r>
    </w:p>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Like most companies that develop their technology in-house, we rely upon a combination of copyright, patent, trade secret and trademark laws, written agreements and common law to protect our proprietary technology, processes and other intellectual property.</w:t>
      </w:r>
    </w:p>
    <w:p>
      <w:pPr>
        <w:spacing w:after="0" w:line="18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To that end, we have patents or patents pending in the United States and other jurisdictions related to price discovery, order execution and trade workflows, including but not limited to pre-trade activities, market data scenarios, market data distribution, electronic data interchange, financial valuation, detecting trading opportunities, financial matching, order matching, order routing, pool trading, database, search, electronic messaging, prime brokerage, order transmission, electronic trading, tracking and monitoring, net spotting, straight-through-processing and clearing.</w:t>
      </w:r>
    </w:p>
    <w:p>
      <w:pPr>
        <w:spacing w:after="0" w:line="1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we own, or have filed applications for, the rights to trade names, trademarks, copyrights, domain names and service marks that we use in the marketing of our platforms and solutions to clients. We have registered for trademarks in many of our markets, including our major markets, with registrations pending in others. Trademarks registered include, but are not limited to, “Tradeweb,” “Dealerweb,” and “Tradeweb Direct.”</w:t>
      </w:r>
    </w:p>
    <w:p>
      <w:pPr>
        <w:spacing w:after="0" w:line="18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r>
        <w:rPr>
          <w:rFonts w:ascii="Arial" w:cs="Arial" w:eastAsia="Arial" w:hAnsi="Arial"/>
          <w:sz w:val="17"/>
          <w:szCs w:val="17"/>
          <w:color w:val="231F20"/>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Regulation</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Many aspects of our business are subject to regulation in a number of jurisdictions, including the United States, the United Kingdom, the Netherlands, Japan, Hong Kong, Singapore and Australia.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w:t>
      </w:r>
    </w:p>
    <w:p>
      <w:pPr>
        <w:spacing w:after="0" w:line="17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15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 money and can have an adverse impact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in certain markets. While we generally believe the net impact of the laws, rules and regulations may be positive for our business, it is possible that unintended consequences may materially adversely affect us in ways yet to be determined. See Part I, Item 1A. – “Risk Factors — Risks Relating to Our Business and Industry — Our business, and the businesses of many of our clients, could be materially adversely affected by new laws, rules or regulations or changes in existing laws, rules or regulations, including the interpretation and enforcement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 Regulation</w:t>
      </w:r>
    </w:p>
    <w:p>
      <w:pPr>
        <w:spacing w:after="0" w:line="22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16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CFTC is the federal agency primarily responsible for the administration of federal laws governing activities relating to futures, swaps and other derivatives including the adoption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173"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the Financial Industry Regulatory Authority, Inc.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subject to the oversight of the National Futures Association (“NFA”), a self-regulatory organization that regulates certain CFTC registrants.</w:t>
      </w:r>
    </w:p>
    <w:p>
      <w:pPr>
        <w:spacing w:after="0" w:line="18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Following the 2008 financial crisis, legislators and regulators in the United States adopted new laws and regulations, including the Dodd-Frank Act. Various rules and regulations promulgated following the financial crisis, such as the Volcker Rule and additional bank capital and liquidity requirements, could adversely affect our bank and bank-affiliated dealer clients’ ability to make markets in a variety of products, thereby negatively impacting the level of liquidity and pricing available on our platforms.</w:t>
      </w:r>
    </w:p>
    <w:p>
      <w:pPr>
        <w:spacing w:after="0" w:line="188"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 regulations in this area, most of which are 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effect. The SEC has also finalized many of its security-based swap regulations, although a significant number are not yet in effect.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As these rules require SEFs to maintain robust front-end and back-office IT capabilities and to make large and ongoing technology investments, and because SEFs may be supported by a variety of voice and auction-based execution methodologies, we expect our hybrid and fully electronic trading capability to perform strongly in such an environment. The SEC has proposed but not yet finalized its rules relating to the registration and regulation of security-based swap execution facilities (“SBSEFs”). If and when the SEC finalizes these rules, we expect that certain of our subsidiaries may be required to register as SBSEFs.</w:t>
      </w:r>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current administration under President Trump and the Republican Party have sought, and already passed legislation, to roll-back key pieces of the Dodd-Frank Act in an effort to loosen certain regulatory restrictions on financial institutions. Although the current administration has indicated a goal of further reforming aspects of its existing financial services regulations,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 In particular, there can be no assurance that rules impacting our clients will be amended or repealed</w:t>
      </w:r>
      <w:r>
        <w:rPr>
          <w:rFonts w:ascii="Arial" w:cs="Arial" w:eastAsia="Arial" w:hAnsi="Arial"/>
          <w:sz w:val="18"/>
          <w:szCs w:val="18"/>
          <w:color w:val="231F20"/>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Non-U.S. Regulation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Outside of the United States, we are currently regulated by: the Financial Conduct Authority (“FCA”) in the United Kingdom, the De Nederlandsche Bank (“DNB”) and the Netherlands Authority for the Financial Markets (“AFM”) in the Netherlands, the Japan Financial Services Agency (the “JFSA”), the Japan Securities Dealers Association (the “JSDA”), the Securities &amp; Futures Commission (the “SFC”) of Hong Kong, the Monetary Authority of Singapore (the “MAS”), the Australian Securities and Investment Commission (the “ASIC”), the Investment Industry Regulatory Organization of Canada and provincial regulators in Canada.</w:t>
      </w:r>
    </w:p>
    <w:p>
      <w:pPr>
        <w:spacing w:after="0" w:line="193"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FCA’s strategic objective is to ensure that the relevant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Subject to section 178 of FSMA, individuals or companies that seek to acquire or increase their control in a firm that the FCA regulates is required to obtain prior approval from the FCA.</w:t>
      </w:r>
    </w:p>
    <w:p>
      <w:pPr>
        <w:spacing w:after="0" w:line="1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legal framework in the Netherlands for financial undertakings is predominantly included in the Dutch Financial Supervision Act (Wet op het financieel toezicht or “FSA”). The AFM, like the DNB, is an autonomous administrative authority with independent responsibility for fulfilling its supervisory function. Pursuant to section 2:96 of the FSA, the AFM authorizes investment firms. The AFM is legally responsible for business supervision. The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The DNB and the AFM co-operate under the provisions of the FSA and have concluded a covenant on the co-operation and co-ordination of supervision and other related tasks.</w:t>
      </w:r>
    </w:p>
    <w:p>
      <w:pPr>
        <w:spacing w:after="0" w:line="182"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Much of our derivatives volumes continue to be executed by non-U.S. based clients outside the United States and is subject to local regulations. In particular, the European Union has enhanced the existing laws and developed new rules and regulations targeted at the financial services industry, including MiFID II and Markets in Financial Instruments Regulation (“MiFIR”), which were implemented in January 2018 and which introduced significant changes to the EU financial markets designed to facilitate more efficient markets and greater transparency for participants.</w:t>
      </w:r>
    </w:p>
    <w:p>
      <w:pPr>
        <w:spacing w:after="0" w:line="17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Among the other aspects of the regulations, MiFID II and MiFIR: (i) require a significant part of the market in certain derivative instruments to trade on regulated trading venues which are subject to transparency regimes, (ii) enhance pre- and post-trade transparency for instruments within the scope of the requirements which have been calibrated for different types of instruments and types of trading, (iii) enhance the transparency of fee structures and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access to trading venues, (iv) increase and enhance post-trade reporting obligations with a requirement for “systematic internalisers” to submit certain post-trade data to APAs, (v) provide for the establishment a consolidated tape for certain trade data, (vi) improve technology synchronization and best execution and (vii) enhance investor protection. MiFID II is also intended to help improve the functioning of the EU single market by achieving a greater consistency of regulatory standards. By design, therefore, it is intended that Member States should have very similar regulatory regimes in relation to the matters addressed by MiFID. In addition, the new regulated execution venue category introduced by MiFID II known as the Organized Trading Facility (“OTF”) (in addition to the venue category of Multilateral Trading Facility (“MTF”) for electronic trading) is intended to capture much of the voice and hybrid oriented trading within the EU.</w:t>
      </w:r>
    </w:p>
    <w:p>
      <w:pPr>
        <w:spacing w:after="0" w:line="17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currently “passport” our UK authorized subsidiary’s FCA regulatory permissions throughout the European Economic Area (“EEA”) and until early 2019 this was our sole MiFID investment firm with such permissions operating in Europe. In March 2017, following the UK’s vote to leave the EU, the UK Prime Minister gave the European Council of the EU formal written notification of the UK’s intention to leave the EU, triggering the withdrawal process under Article 50 of the Lisbon Treaty. Following negotiations, on October 17, 2019 the UK government and the EU Council reached agreement on the terms of the UK’s withdrawal from the EU (the “Withdrawal Agreement”). Following Royal Assent of the European Union (Withdrawal Agreement) Bill and the ratification by the EU Parliament of the Withdrawal Agreement, the UK formally withdrew from the EU on January 31, 2020. The Withdrawal Agreement includes a transitional period, during which the UK continues to be subject to EU laws and remains a member of the single market and customs union, but is not a member state of the EU. The transitional period is due to expire on December 31, 2020, unless extended by the UK/EU Joint Committee established under the Withdrawal Agreement. The maximum possible extension under the Withdrawal Agreement is two years, and the UK has indicated that it does not intend to seek, nor agree to, such an extension.</w:t>
      </w:r>
    </w:p>
    <w:p>
      <w:pPr>
        <w:spacing w:after="0" w:line="16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On October 17, 2019, the UK government and the EU Council also agreed to a political declaration setting out the framework for the future relationship between the UK and the EU. The effects of Brexit will depend on any agreements the UK and EU make, including to retain access to EU markets and vice versa, including for financial services, following the expiry of the transitional period. Negotiations to determine the terms of the future relationship between the UK and the EU, including the terms of access to each other’s financial markets will continue during 2020, will be complex and will be politically uncertain. There is a risk that there is no agreement between the UK and the EU on the terms of their future relationship before the end of the transition period and both the EU and the UK have been preparing for such a “hard” Brexit, or “no-deal” scenario. See Part I, Item 1A. –“Risk Factors — Risks Relating to our Business and Industry —The United Kingdom’s exit from the European Union could have a material adverse effect on our business, financial condition and results of operations.” We are making all reasonable preparations to ensure, in any scenario, that services can continue to be provided in the UK and throughout the EEA, post-Brexit. Accordingly, we have established a legal entity in the Netherlands, Tradeweb EU B.V., which offers services from a new Amsterdam office. We received approval in early 2019 from Dutch regulatory authorities to operate an MTF, an OTF and an APA, essentially replicating our current UK regulatory permissions, including “passports” throughout the EEA. As a result of this approval, since early 2019 we have operated two MTFs, two OTFs and two APAs in Europe, increasing the complexity of the business</w:t>
      </w:r>
      <w:r>
        <w:rPr>
          <w:rFonts w:ascii="Arial" w:cs="Arial" w:eastAsia="Arial" w:hAnsi="Arial"/>
          <w:sz w:val="17"/>
          <w:szCs w:val="17"/>
          <w:color w:val="231F20"/>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Capital Requirements</w:t>
      </w:r>
    </w:p>
    <w:p>
      <w:pPr>
        <w:spacing w:after="0" w:line="225"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Certain of our subsidiaries are subject to jurisdiction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 As of December 31, 2019, each of our regulated subsidiaries had maintained sufficient net capital or financial resources to at least satisfy their minimum requirements. See Note 19—Regulatory Capital Requirements to our audited consolidated financial statements included elsewhere in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Regulatory Status of Tradeweb Entities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operations span jurisdictions across North America, Europe and Asia, and we operate through various regulated entities. The current regulatory status of our regulated entities is described below.</w:t>
      </w:r>
    </w:p>
    <w:p>
      <w:pPr>
        <w:spacing w:after="0" w:line="170"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and Manitoba, and is recognized as a foreign trading venue in Switzerland.</w:t>
      </w:r>
    </w:p>
    <w:p>
      <w:pPr>
        <w:spacing w:after="0" w:line="14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TW SEF LLC is a CFTC-registered SEF. TW SEF LLC is formally exempt from registration as an exchange in the Canadian provinces of Alberta, Ontario and Quebec and is recognized as a foreign trading venue in Switzerland. TW SEF LLC is formally exempt from registration by the ASIC with a pending application with ASIC for an Overseas Australian Market Operator Licensee.</w:t>
      </w:r>
    </w:p>
    <w:p>
      <w:pPr>
        <w:spacing w:after="0" w:line="18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Dealerweb Inc. is an SEC-registered broker-dealer, operates an ATS and is a member of FINRA and MSRB. Dealerweb Inc. is also a CFTC-registered introducing broker and a member of NFA. Dealerweb Inc. is recognized as a foreign trading venue in Switzerland. Dealerweb relies on the international dealer exemption in the Canadian province of Ontario.</w:t>
      </w:r>
    </w:p>
    <w:p>
      <w:pPr>
        <w:spacing w:after="0" w:line="14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DW SEF LLC is a CFTC-registered SEF. DW SEF LLC is formally exempt from registration in the Canadian province of Ontario and is recognized as a foreign trading venue in Switzerland.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Tradeweb Direct LLC is an SEC-registered broker-dealer, operates an ATS and is a member of FINRA and MSRB.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Tradeweb Direct LLC relies on the international dealer exemption in the Canadian provinces of Ontario and Quebec.</w:t>
      </w:r>
    </w:p>
    <w:p>
      <w:pPr>
        <w:spacing w:after="0" w:line="2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Tradeweb Europe Limited is authorized and regulated in the United Kingdom by the FCA as a MiFID Investment Firm. It has permissions to operate an MTF, an OTF and an APA. Tradeweb Europe Limited passports its permissions under MiFID and accordingly provides services throughout the EEA. In addition, Tradeweb Europe Limited is also registered with the CFTC as an introducing broker and is a member of NFA. Tradeweb Europe Limited is also regulated by ASIC and holds an Overseas Australian Market Operator License.</w:t>
      </w:r>
    </w:p>
    <w:p>
      <w:pPr>
        <w:spacing w:after="0" w:line="188"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Singapore branch of Tradeweb Europe Limited is regulated by the MAS as a Recognised Market Operator (“RMO”).</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Hong Kong branch of Tradeweb Europe Limited is regulated by the SFC as an Automated Trading Service.</w:t>
      </w:r>
    </w:p>
    <w:p>
      <w:pPr>
        <w:spacing w:after="0" w:line="237"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(PBOC) for the provision of Bond Connect.</w:t>
      </w:r>
    </w:p>
    <w:p>
      <w:pPr>
        <w:spacing w:after="0" w:line="166"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1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Tradeweb EU B.V. is authorized and regulated by the DNB and AFM as a MiFID Investment Firm with permissions to operate an MTF and an OTF. Tradeweb EU B.V. passports its permissions under MiFID and accordingly provides services throughout the EU and the EEA. Tradeweb EU B.V. is also regulated by ASIC and holds an Overseas Australian Market Operator License</w:t>
      </w:r>
      <w:r>
        <w:rPr>
          <w:rFonts w:ascii="Arial" w:cs="Arial" w:eastAsia="Arial" w:hAnsi="Arial"/>
          <w:sz w:val="18"/>
          <w:szCs w:val="18"/>
          <w:color w:val="231F20"/>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Employees</w:t>
      </w:r>
    </w:p>
    <w:p>
      <w:pPr>
        <w:spacing w:after="0" w:line="22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231F20"/>
        </w:rPr>
        <w:t>As of December 31, 2019, we had 919 employees, 676 of whom were based in the United States and 243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Organizational Structure</w:t>
      </w:r>
    </w:p>
    <w:p>
      <w:pPr>
        <w:spacing w:after="0" w:line="229" w:lineRule="exact"/>
        <w:rPr>
          <w:sz w:val="20"/>
          <w:szCs w:val="20"/>
          <w:color w:val="auto"/>
        </w:rPr>
      </w:pPr>
    </w:p>
    <w:p>
      <w:pPr>
        <w:ind w:firstLine="369"/>
        <w:spacing w:after="0" w:line="270" w:lineRule="auto"/>
        <w:rPr>
          <w:sz w:val="20"/>
          <w:szCs w:val="20"/>
          <w:color w:val="auto"/>
        </w:rPr>
      </w:pPr>
      <w:r>
        <w:rPr>
          <w:rFonts w:ascii="Arial" w:cs="Arial" w:eastAsia="Arial" w:hAnsi="Arial"/>
          <w:sz w:val="17"/>
          <w:szCs w:val="17"/>
          <w:color w:val="auto"/>
        </w:rPr>
        <w:t>Tradeweb Markets Inc. was incorporated in Delaware in November 2018.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 For more information regarding our organizational structure, see Note 1 – Organization and Note 11 – Stockholders’ Equity to our audited consolidated financial statements included elsewhere in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LSEG Transaction</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August 1, 2019, London Stock Exchange Group plc announced that it has agreed to definitive terms with a consortium including certain investment funds affiliated with Blackstone as well as Thomson Reuters to acquire the Refinitiv business in an all share transaction for a total enterprise value of approximately $27 billion. The LSEG Transaction is subject to customary regulatory approvals and closing conditions, and is expected to close during the second half of 2020. There can be no assurance that the LSEG Transaction will be consummated on the expected timing or at all.</w:t>
      </w:r>
    </w:p>
    <w:p>
      <w:pPr>
        <w:spacing w:after="0" w:line="15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If the LSEG Transaction is consummated, any change of control of Refinitiv could in turn affect us, because Refinitiv is our controlling shareholder. However, following the consummation of the LSEG Transaction, Tradeweb is expected to remain a standalone, publicly-traded company, and we do not expect the LSEG Transaction to result in any changes to our stockholder voting rights in the near-term, and we do not foresee any material impact on our strategy, day-to-day operations or Tradeweb management as a result of the LSEG Transaction. Our existing market data license agreement with Refinitiv is also expected to remain unchanged immediately following the consummation of the LSEG Transaction, however the non-compete period applicable to Refinitiv in their restrictive covenant agreement with us is expected to terminate immediately following the consummation of the LSEG Transaction.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internet website address is www.tradeweb.com. Through our internet website, we will make available, free of charge, the following reports as soon as reasonably practicable after electronically filing them with, or furnishing them to, the SEC: our Annual Report on Form 10-K; our Quarterly Reports on Form 10-Q; our Current Reports on Form 8-K; and amendments to those reports filed or furnished pursuant to Section 13(a) of the Exchange Act. Our Proxy Statements for our Annual Meetings are also available through our internet website. Our internet website and the information contained therein or connected thereto are not intended to be incorporated into this Annual Report on Form 10-K.</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press releases, SEC filings and public conference calls and webcasts. These social media channels may be updated from time to time on our investor relations website.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17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187" w:lineRule="exact"/>
        <w:rPr>
          <w:sz w:val="20"/>
          <w:szCs w:val="20"/>
          <w:color w:val="auto"/>
        </w:rPr>
      </w:pPr>
    </w:p>
    <w:p>
      <w:pPr>
        <w:jc w:val="both"/>
        <w:ind w:left="660" w:right="140" w:hanging="333"/>
        <w:spacing w:after="0" w:line="286"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economic, political and social conditions in the United States, the United Kingdom, the European Union and/or its member states, China or other major economies around the world, including, among other things, the strength and direction of the U.S. and/or global economy, the exit by the United Kingdom from the European Union (“Brexit”), the prolonged shutdown of the U.S. government and the upcoming 2020 U.S. presidential election;</w:t>
      </w:r>
    </w:p>
    <w:p>
      <w:pPr>
        <w:spacing w:after="0" w:line="1" w:lineRule="exact"/>
        <w:rPr>
          <w:rFonts w:ascii="Arial" w:cs="Arial" w:eastAsia="Arial" w:hAnsi="Arial"/>
          <w:sz w:val="16"/>
          <w:szCs w:val="16"/>
          <w:color w:val="auto"/>
        </w:rPr>
      </w:pPr>
    </w:p>
    <w:p>
      <w:pPr>
        <w:ind w:left="660" w:right="300" w:hanging="333"/>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Federal Reserve Board and other central banks’ monetary policy, increased capital requirements for banks and other financial institutions and other regulatory requirements;</w:t>
      </w: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market conditions, including unforeseen market closures or other disruptions in trading;</w:t>
      </w:r>
    </w:p>
    <w:p>
      <w:pPr>
        <w:spacing w:after="0" w:line="9" w:lineRule="exact"/>
        <w:rPr>
          <w:rFonts w:ascii="Arial" w:cs="Arial" w:eastAsia="Arial" w:hAnsi="Arial"/>
          <w:sz w:val="18"/>
          <w:szCs w:val="18"/>
          <w:color w:val="auto"/>
        </w:rPr>
      </w:pPr>
    </w:p>
    <w:p>
      <w:pPr>
        <w:ind w:left="660" w:right="20" w:hanging="333"/>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9" w:lineRule="exact"/>
        <w:rPr>
          <w:rFonts w:ascii="Arial" w:cs="Arial" w:eastAsia="Arial" w:hAnsi="Arial"/>
          <w:sz w:val="18"/>
          <w:szCs w:val="18"/>
          <w:color w:val="auto"/>
        </w:rPr>
      </w:pPr>
    </w:p>
    <w:p>
      <w:pPr>
        <w:ind w:left="660" w:right="580" w:hanging="333"/>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concerns over a potential recession (in the United States or globally), inflation and weakening consumer and investor confidence levels;</w:t>
      </w: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9" w:lineRule="exact"/>
        <w:rPr>
          <w:rFonts w:ascii="Arial" w:cs="Arial" w:eastAsia="Arial" w:hAnsi="Arial"/>
          <w:sz w:val="18"/>
          <w:szCs w:val="18"/>
          <w:color w:val="auto"/>
        </w:rPr>
      </w:pPr>
    </w:p>
    <w:p>
      <w:pPr>
        <w:ind w:left="660" w:right="620" w:hanging="333"/>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liquidity concerns, including concerns over credit default or bankruptcy of one or more sovereign nations or corporate entities;</w:t>
      </w:r>
    </w:p>
    <w:p>
      <w:pPr>
        <w:ind w:left="660" w:right="300" w:hanging="333"/>
        <w:spacing w:after="0" w:line="26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legislative, regulatory or government policy changes, including changes to financial industry regulations and tax laws that could limit the ability of market participants to engage in a wider array of trading activities;</w:t>
      </w:r>
    </w:p>
    <w:p>
      <w:pPr>
        <w:ind w:left="660" w:right="80" w:hanging="333"/>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 and</w:t>
      </w:r>
    </w:p>
    <w:p>
      <w:pPr>
        <w:ind w:left="660" w:right="40" w:hanging="333"/>
        <w:spacing w:after="0" w:line="30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catastrophic events, such as natural disasters, extreme weather events, actual or threatened acts of war, terrorism or other armed hostilities or outbreaks of pandemic or contagious diseases, such as Ebola, Zika, avian flu, severe acute respiratory syndrome (SARS), H1N1 (swine flu), the coronavirus, and Middle East Respiratory Syndrome (MERS).</w:t>
      </w:r>
    </w:p>
    <w:p>
      <w:pPr>
        <w:spacing w:after="0" w:line="15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the event of stagnant or deteriorating economic conditions or periods of instability or prolonged stability or decreased activity in the U.S. and/or global financial markets, we could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 markets and generate valuable data could be jeopardized, which, in turn, could further discourage clients to use our platforms and solutions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16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8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17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face intense competition in both the financial services industry generally and the markets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15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183"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products or trading protocols we offer our clients.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firstLine="324"/>
        <w:spacing w:after="0" w:line="270" w:lineRule="auto"/>
        <w:rPr>
          <w:sz w:val="20"/>
          <w:szCs w:val="20"/>
          <w:color w:val="auto"/>
        </w:rPr>
      </w:pPr>
      <w:r>
        <w:rPr>
          <w:rFonts w:ascii="Arial" w:cs="Arial" w:eastAsia="Arial" w:hAnsi="Arial"/>
          <w:sz w:val="17"/>
          <w:szCs w:val="17"/>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ICE acquired BondPoint, TMC Bonds and IDC, in an effort to expand its portfolio of fixed income products and services. In addition, in 2018, CME Group completed its acquisition of NEX Group, which expands CME Group’s offerings to include NEX Group’s OTC foreign exchange and rates products and market data. If, as a result of industry consolidation, our competitors are able to offer lower cost (including fixed cost fees compared to our variable fees for certain offerings)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178" w:lineRule="exact"/>
        <w:rPr>
          <w:sz w:val="20"/>
          <w:szCs w:val="20"/>
          <w:color w:val="auto"/>
        </w:rPr>
      </w:pPr>
    </w:p>
    <w:p>
      <w:pPr>
        <w:ind w:right="79" w:firstLine="324"/>
        <w:spacing w:after="0" w:line="269" w:lineRule="auto"/>
        <w:rPr>
          <w:sz w:val="20"/>
          <w:szCs w:val="20"/>
          <w:color w:val="auto"/>
        </w:rPr>
      </w:pPr>
      <w:r>
        <w:rPr>
          <w:rFonts w:ascii="Arial" w:cs="Arial" w:eastAsia="Arial" w:hAnsi="Arial"/>
          <w:sz w:val="17"/>
          <w:szCs w:val="17"/>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183" w:lineRule="exact"/>
        <w:rPr>
          <w:sz w:val="20"/>
          <w:szCs w:val="20"/>
          <w:color w:val="auto"/>
        </w:rPr>
      </w:pPr>
    </w:p>
    <w:p>
      <w:pPr>
        <w:jc w:val="both"/>
        <w:ind w:right="139"/>
        <w:spacing w:after="0" w:line="264" w:lineRule="auto"/>
        <w:rPr>
          <w:sz w:val="20"/>
          <w:szCs w:val="20"/>
          <w:color w:val="auto"/>
        </w:rPr>
      </w:pPr>
      <w:r>
        <w:rPr>
          <w:rFonts w:ascii="Arial" w:cs="Arial" w:eastAsia="Arial" w:hAnsi="Arial"/>
          <w:sz w:val="18"/>
          <w:szCs w:val="18"/>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181" w:lineRule="exact"/>
        <w:rPr>
          <w:sz w:val="20"/>
          <w:szCs w:val="20"/>
          <w:color w:val="auto"/>
        </w:rPr>
      </w:pPr>
    </w:p>
    <w:p>
      <w:pPr>
        <w:ind w:right="19" w:firstLine="324"/>
        <w:spacing w:after="0" w:line="255" w:lineRule="auto"/>
        <w:rPr>
          <w:sz w:val="20"/>
          <w:szCs w:val="20"/>
          <w:color w:val="auto"/>
        </w:rPr>
      </w:pPr>
      <w:r>
        <w:rPr>
          <w:rFonts w:ascii="Arial" w:cs="Arial" w:eastAsia="Arial" w:hAnsi="Arial"/>
          <w:sz w:val="18"/>
          <w:szCs w:val="18"/>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189" w:lineRule="exact"/>
        <w:rPr>
          <w:sz w:val="20"/>
          <w:szCs w:val="20"/>
          <w:color w:val="auto"/>
        </w:rPr>
      </w:pPr>
    </w:p>
    <w:p>
      <w:pPr>
        <w:ind w:right="79" w:firstLine="324"/>
        <w:spacing w:after="0" w:line="277" w:lineRule="auto"/>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170" w:lineRule="exact"/>
        <w:rPr>
          <w:sz w:val="20"/>
          <w:szCs w:val="20"/>
          <w:color w:val="auto"/>
        </w:rPr>
      </w:pPr>
    </w:p>
    <w:p>
      <w:pPr>
        <w:ind w:left="660" w:right="299" w:hanging="333"/>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1" w:lineRule="exact"/>
        <w:rPr>
          <w:rFonts w:ascii="Arial" w:cs="Arial" w:eastAsia="Arial" w:hAnsi="Arial"/>
          <w:sz w:val="18"/>
          <w:szCs w:val="18"/>
          <w:color w:val="auto"/>
        </w:rPr>
      </w:pPr>
    </w:p>
    <w:p>
      <w:pPr>
        <w:jc w:val="both"/>
        <w:ind w:left="660" w:right="279" w:hanging="333"/>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and/or license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1"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9" w:lineRule="exact"/>
        <w:rPr>
          <w:rFonts w:ascii="Arial" w:cs="Arial" w:eastAsia="Arial" w:hAnsi="Arial"/>
          <w:sz w:val="18"/>
          <w:szCs w:val="18"/>
          <w:color w:val="auto"/>
        </w:rPr>
      </w:pPr>
    </w:p>
    <w:p>
      <w:pPr>
        <w:ind w:left="660" w:right="439" w:hanging="333"/>
        <w:spacing w:after="0" w:line="28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respond to competitive pressures, technological advances, including new or disruptive technology, emerging industry standards and practices and regulatory requirements and changes on a cost-effective and timely basis;</w:t>
      </w:r>
    </w:p>
    <w:p>
      <w:pPr>
        <w:spacing w:after="0" w:line="1" w:lineRule="exact"/>
        <w:rPr>
          <w:rFonts w:ascii="Arial" w:cs="Arial" w:eastAsia="Arial" w:hAnsi="Arial"/>
          <w:sz w:val="16"/>
          <w:szCs w:val="16"/>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operate, support, expand, adapt and develop our operations, systems, networks and infrastructure;</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19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17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16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dependent on our dealer clients, some of which are also stockholders, to support our marketplaces by transacting with our other institutional, wholesale and retail clients.</w:t>
      </w:r>
    </w:p>
    <w:p>
      <w:pPr>
        <w:spacing w:after="0" w:line="170"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rely on our dealer clients to provide liquidity on our trading platforms by posting prices on our platforms and responding to client inquiries, and some of our dealer clients may account for a significant portion of our total trading volume. In addition, our dealer clients also provide us with data via feeds and through the transactions they execute on our trading platforms, which is an important input for our data and analytics offerings. We have historically earned a substantial portion of our revenues from dealer clients that are also stockholders. For the year ended December 31, 2019, the combined year ended December 31, 2018 and the year ended December 31, 2017, 44.8%, 42.2% and 41.3%, respectively, of our revenues were generated by the pre-IPO Bank Stockholders and their affiliates. Market knowledge and feedback from these stockholders have been important factors in the development of many of our offerings and solutions.</w:t>
      </w:r>
    </w:p>
    <w:p>
      <w:pPr>
        <w:spacing w:after="0" w:line="16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There are inherent risks whenever a significant percentage of our trading volume and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key dealer client’s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178"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the pre-IPO Bank Stockholders or their affiliates, as is typical for a large number of major banks, have their own single bank or other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18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Although we have established and maintain significant long-term relationships with our key dealer clients, we cannot assure you that all of these relationships will continue or will not diminish. In addition, it is possible that the pre-IPO Bank Stockholders and their affiliates may reduce their use of our trading platforms or their engagement with us in the future due to reductions in the level of their equity ownership following any completed or future offering. Any reduction in the use of our trading platforms by our key dealer clients, including certain of the pre-IPO Bank Stockholders and their affiliates,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18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14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significant loss of these clients or a significant reduction in their use of our platforms and solutions could have a material negative impact on our trading volumes and revenues, and materially adversely affect our business, financial condition and results of operations.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could be harmed if we are unable to maintain and grow the capacity of our trading platforms, systems and infrastructure.</w:t>
      </w:r>
    </w:p>
    <w:p>
      <w:pPr>
        <w:spacing w:after="0" w:line="170"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 in our clients deciding to stop using or to reduce their use of our trading platforms, either of which would have a material adverse effect on our business, financial condition and results of operations.</w:t>
      </w:r>
    </w:p>
    <w:p>
      <w:pPr>
        <w:spacing w:after="0" w:line="173"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 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6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Despite testing, our platforms and solutions may contain design defects and errors or fail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fail or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Systems failures, interruptions, delays in service, catastrophic events and resulting interruptions in the availability of our platforms or solutions could materially harm our business and reputation.</w:t>
      </w:r>
    </w:p>
    <w:p>
      <w:pPr>
        <w:spacing w:after="0" w:line="17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business depends on the efficient and uninterrupted operation of our systems, networks and infrastructure, in particular those that power our platforms and solutions. From time to time, we have experienced, and we cannot assure you that we, or our third-party providers, will not experience, systems failures, delays in service or business interruptions. Our systems, networks, infrastructure and other operations, in particular our platforms and solutions, are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vulnerable to impact or interruption from a wide variety of causes, including: irregular or heavy use of our trading platforms and related solutions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terrorism or other armed hostilities;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16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or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16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17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CFTC subject portions of our trading platforms and other technological systems related to our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Actual or perceived security vulnerabilities in our systems, networks and infrastructure, breaches of security controls, unauthorized access to confidential information or cyber-attacks could harm our business, reputation and results of operations.</w:t>
      </w:r>
    </w:p>
    <w:p>
      <w:pPr>
        <w:spacing w:after="0" w:line="18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6"/>
          <w:szCs w:val="16"/>
          <w:color w:val="auto"/>
        </w:rPr>
        <w:t>Our business relies on technology and automation to perform significant functions within our firm. Because of our reliance on technology, we are susceptible to various cyber-threats to our systems, networks and infrastructure, in particular those that power our platforms and solutions. Similar to other financial services companies that provide services online, we have experienced, and likely will continue to experience, cyber-threats, cyber-attacks and attempted security breaches.</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provider, and can include unauthorized attempts to access, disable, improperly modify or degrade our information, systems, networks and infrastructure or the introduction of computer viruses and other malicious codes and fraudulent “phishing” emails that seek to misappropriate data and information or install malware onto users’ computers. We carry what we believe are sufficient levels of cyber insurance. However, if one or more cyber-attacks occur, it could jeopardize the confidential, proprietary and other information processed and stored in, and transmitted through, our systems and networks, or cause interruptions, significant delays, failures or malfunctions in our systems, networks, infrastructure and other operations, in particular our platforms and solutions, which could result in reputational damage, financial losses, client dissatisfaction and/or regulatory fines and penalties, which may not in all cases be covered by insurance.</w:t>
      </w:r>
    </w:p>
    <w:p>
      <w:pPr>
        <w:spacing w:after="0" w:line="16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While we have dedicated personnel who are responsible for maintaining our cybersecurity program and training our employees on cybersecurity, and while we utilize third-party technology product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may be unable to anticipate these techniques or to implement adequate defensive measures or security controls. Additionally, we may be required in the future to incur significant costs to continue to minimize, mitigate against or alleviate the effects of cyber-attacks, security breaches or other security vulnerabilities and to protect against damage caused by cyber-attacks, security breaches or other disruptions that may occur.</w:t>
      </w:r>
    </w:p>
    <w:p>
      <w:pPr>
        <w:spacing w:after="0" w:line="16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a Risk Steering Committee that includes the heads of Risk Management, Information / Cyber Security, Regulatory Compliance and Human Resources. Our information / cyber security program is overseen internally by our Risk Steering Committee (and specifically, our Chief Risk Officer and Chief Information Security Officer), which in turn, is overseen by our board of directors and audit committee. Senior members of the Risk Steering Committee provide regular updates to our audit committee and the board of directors.</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There have been an increasing number of cyber-attacks in recent years in various industries, including ours, and cybersecurity risk management has been the subject of increasing focus by U.S. and foreign regulators. As a result,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reputational harm.</w:t>
      </w:r>
    </w:p>
    <w:p>
      <w:pPr>
        <w:spacing w:after="0" w:line="19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Although we have not been a victim of a cyber-attack or other cybersecurity incident that has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platforms and solutions, security measures and reliability, which would materially harm our ability to retain existing clients and gain new clients. As a result of any such attack or breach, we may be required to expend significant resources to repair system, network or infrastructure damage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and to protect against the threat of future cyber-attacks or security breaches. We could also face litigation or other claims from impacted individuals as well as substantial regulatory sanctions or fines.</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12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and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193"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for our pre- and post-trade data, analytics and reporting solutions.</w:t>
      </w:r>
    </w:p>
    <w:p>
      <w:pPr>
        <w:spacing w:after="0" w:line="225"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other pre-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59" w:lineRule="auto"/>
        <w:rPr>
          <w:sz w:val="20"/>
          <w:szCs w:val="20"/>
          <w:color w:val="auto"/>
        </w:rPr>
      </w:pPr>
      <w:r>
        <w:rPr>
          <w:rFonts w:ascii="Arial" w:cs="Arial" w:eastAsia="Arial" w:hAnsi="Arial"/>
          <w:sz w:val="18"/>
          <w:szCs w:val="18"/>
          <w:color w:val="auto"/>
        </w:rPr>
        <w:t>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187" w:lineRule="exact"/>
        <w:rPr>
          <w:sz w:val="20"/>
          <w:szCs w:val="20"/>
          <w:color w:val="auto"/>
        </w:rPr>
      </w:pPr>
    </w:p>
    <w:p>
      <w:pPr>
        <w:ind w:right="339" w:firstLine="324"/>
        <w:spacing w:after="0" w:line="286" w:lineRule="auto"/>
        <w:rPr>
          <w:sz w:val="20"/>
          <w:szCs w:val="20"/>
          <w:color w:val="auto"/>
        </w:rPr>
      </w:pPr>
      <w:r>
        <w:rPr>
          <w:rFonts w:ascii="Arial" w:cs="Arial" w:eastAsia="Arial" w:hAnsi="Arial"/>
          <w:sz w:val="17"/>
          <w:szCs w:val="17"/>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trading counterparties and clearinghouses to perform their obligations.</w:t>
      </w:r>
    </w:p>
    <w:p>
      <w:pPr>
        <w:spacing w:after="0" w:line="225" w:lineRule="exact"/>
        <w:rPr>
          <w:sz w:val="20"/>
          <w:szCs w:val="20"/>
          <w:color w:val="auto"/>
        </w:rPr>
      </w:pPr>
    </w:p>
    <w:p>
      <w:pPr>
        <w:jc w:val="both"/>
        <w:ind w:right="119" w:firstLine="324"/>
        <w:spacing w:after="0" w:line="288" w:lineRule="auto"/>
        <w:rPr>
          <w:sz w:val="20"/>
          <w:szCs w:val="20"/>
          <w:color w:val="auto"/>
        </w:rPr>
      </w:pPr>
      <w:r>
        <w:rPr>
          <w:rFonts w:ascii="Arial" w:cs="Arial" w:eastAsia="Arial" w:hAnsi="Arial"/>
          <w:sz w:val="16"/>
          <w:szCs w:val="16"/>
          <w:color w:val="auto"/>
        </w:rPr>
        <w:t>Our business consists of providing consistent two-sided liquidity to market participants across numerous geographies, asset classes and products. In addition, in the normal course of our business we, as an agent, execute transactions with, and on behalf of, other brokers and dealers. See Part II, Item 7A. – “Quantitative and Qualitative Disclosures about Market Risk</w:t>
      </w:r>
    </w:p>
    <w:p>
      <w:pPr>
        <w:ind w:right="59"/>
        <w:spacing w:after="0" w:line="286" w:lineRule="auto"/>
        <w:rPr>
          <w:sz w:val="20"/>
          <w:szCs w:val="20"/>
          <w:color w:val="auto"/>
        </w:rPr>
      </w:pPr>
      <w:r>
        <w:rPr>
          <w:rFonts w:ascii="Arial" w:cs="Arial" w:eastAsia="Arial" w:hAnsi="Arial"/>
          <w:sz w:val="16"/>
          <w:szCs w:val="16"/>
          <w:color w:val="auto"/>
        </w:rPr>
        <w:t>— Credit Risk.”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trading counterparties do not meet their obligations, including to us, or if any central clearing parties fail to properly manage defaults by market participants, we could suffer a material adverse effect on our business, financial condition, results of operations and cash flows.</w:t>
      </w:r>
    </w:p>
    <w:p>
      <w:pPr>
        <w:spacing w:after="0" w:line="167" w:lineRule="exact"/>
        <w:rPr>
          <w:sz w:val="20"/>
          <w:szCs w:val="20"/>
          <w:color w:val="auto"/>
        </w:rPr>
      </w:pPr>
    </w:p>
    <w:p>
      <w:pPr>
        <w:ind w:right="19"/>
        <w:spacing w:after="0" w:line="264" w:lineRule="auto"/>
        <w:rPr>
          <w:sz w:val="20"/>
          <w:szCs w:val="20"/>
          <w:color w:val="auto"/>
        </w:rPr>
      </w:pPr>
      <w:r>
        <w:rPr>
          <w:rFonts w:ascii="Arial" w:cs="Arial" w:eastAsia="Arial" w:hAnsi="Arial"/>
          <w:sz w:val="18"/>
          <w:szCs w:val="18"/>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181" w:lineRule="exact"/>
        <w:rPr>
          <w:sz w:val="20"/>
          <w:szCs w:val="20"/>
          <w:color w:val="auto"/>
        </w:rPr>
      </w:pPr>
    </w:p>
    <w:p>
      <w:pPr>
        <w:ind w:right="39" w:firstLine="324"/>
        <w:spacing w:after="0" w:line="268" w:lineRule="auto"/>
        <w:rPr>
          <w:sz w:val="20"/>
          <w:szCs w:val="20"/>
          <w:color w:val="auto"/>
        </w:rPr>
      </w:pPr>
      <w:r>
        <w:rPr>
          <w:rFonts w:ascii="Arial" w:cs="Arial" w:eastAsia="Arial" w:hAnsi="Arial"/>
          <w:sz w:val="17"/>
          <w:szCs w:val="17"/>
          <w:color w:val="auto"/>
        </w:rPr>
        <w:t>We may incur losses as a result of unforeseen or catastrophic events, including fire, natural disasters, extreme weather events, global health issues, power loss, telecommunications failure, software or hardware malfunctions, theft, cyber-attacks, acts of war, terrorist attacks or other armed hostilities. In addition, employee misconduct or error could expose us to significant liability, losses, regulatory sanctions and reputational harm. Misconduct or error by employees could include improperly using confidential 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providers or clients. If our systems, networks or infrastructure were to fail or be negatively impacted as a result of an unforeseen or catastrophic event, our business functions could be interrupted, our ability to make our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185" w:lineRule="exact"/>
        <w:rPr>
          <w:sz w:val="20"/>
          <w:szCs w:val="20"/>
          <w:color w:val="auto"/>
        </w:rPr>
      </w:pPr>
    </w:p>
    <w:p>
      <w:pPr>
        <w:ind w:right="19" w:firstLine="324"/>
        <w:spacing w:after="0" w:line="312" w:lineRule="auto"/>
        <w:rPr>
          <w:sz w:val="20"/>
          <w:szCs w:val="20"/>
          <w:color w:val="auto"/>
        </w:rPr>
      </w:pPr>
      <w:r>
        <w:rPr>
          <w:rFonts w:ascii="Arial" w:cs="Arial" w:eastAsia="Arial" w:hAnsi="Arial"/>
          <w:sz w:val="16"/>
          <w:szCs w:val="16"/>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170"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industry and market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16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We currently derive approximately 56% of our gross revenue from our Rates asset class. Our long-term growth plan includes expanding our asset classes, including the number of products we offer across those asset classes, by investing in our development efforts and increasing our revenues by growing our market share in our existing markets and entering into new markets. Although our long-term growth plan includes entering into new asset classes, we may not enter into new asset classes in the near term. We cannot assure you that we will be able to successfully execute our growth plan or implement our business strategies within our expected timing or at all or be able to maintain or improve our current level of business, and we may decide to alter or discontinue certain aspects of our growth plan at any time.</w:t>
      </w:r>
    </w:p>
    <w:p>
      <w:pPr>
        <w:spacing w:after="0" w:line="18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and/or adopted may extend over many months or years, if ever. Even after incurring these costs, such platform, platform feature or solution may not achieve market acceptance.</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17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17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We cannot assure you that we will be able to successfully adapt our platforms, solutions and technologies for use in any new markets. Even if we do adapt our products, services and technologies, we cannot assure you that we will be able to attract clients to our platforms and solutions and compete successfully in any such new markets.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17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risks associated with our international operations.</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have operations in the United States, China, Japan, Hong Kong, Singapore and the United Kingdom, and recently expanded our international operations to the Netherlands, where we obtained necessary regulatory approvals.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158" w:lineRule="exact"/>
        <w:rPr>
          <w:sz w:val="20"/>
          <w:szCs w:val="20"/>
          <w:color w:val="auto"/>
        </w:rPr>
      </w:pPr>
    </w:p>
    <w:p>
      <w:pPr>
        <w:ind w:left="660" w:right="80" w:hanging="333"/>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economic slowdowns, hyperinflationary conditions, political instability, social unrest or outbreaks of pandemic or contagious diseases, such as Ebola, Zika, avian flu, severe acute respiratory syndrome (SARS), H1N1 (swine flu), the coronavirus, and Middle East Respiratory Syndrome (MERS);</w:t>
      </w:r>
    </w:p>
    <w:p>
      <w:pPr>
        <w:spacing w:after="0" w:line="2" w:lineRule="exact"/>
        <w:rPr>
          <w:rFonts w:ascii="Arial" w:cs="Arial" w:eastAsia="Arial" w:hAnsi="Arial"/>
          <w:sz w:val="18"/>
          <w:szCs w:val="18"/>
          <w:color w:val="auto"/>
        </w:rPr>
      </w:pPr>
    </w:p>
    <w:p>
      <w:pPr>
        <w:ind w:left="660" w:right="100" w:hanging="333"/>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ind w:left="660" w:right="60" w:hanging="333"/>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government policies and regulations, or in how provisions are interpreted or administered and how we are supervised;</w:t>
      </w:r>
    </w:p>
    <w:p>
      <w:pPr>
        <w:ind w:left="660" w:right="220" w:hanging="333"/>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ind w:left="660" w:right="840" w:hanging="333"/>
        <w:spacing w:after="0" w:line="26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varying tax regimes, including with respect to imposition or increase of taxes on financial transactions or withholding and other taxes on remittances and other payments by subsidiaries;</w:t>
      </w:r>
    </w:p>
    <w:p>
      <w:pPr>
        <w:ind w:left="660" w:right="80" w:hanging="333"/>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w:t>
      </w:r>
    </w:p>
    <w:p>
      <w:pPr>
        <w:ind w:left="660" w:right="760" w:hanging="333"/>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exchange rate fluctuations, changes in currency policies or practices and restrictions on currency conversion;</w:t>
      </w: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9" w:lineRule="exact"/>
        <w:rPr>
          <w:rFonts w:ascii="Arial" w:cs="Arial" w:eastAsia="Arial" w:hAnsi="Arial"/>
          <w:sz w:val="18"/>
          <w:szCs w:val="18"/>
          <w:color w:val="auto"/>
        </w:rPr>
      </w:pPr>
    </w:p>
    <w:p>
      <w:pPr>
        <w:ind w:left="660" w:right="200" w:hanging="333"/>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ind w:left="660" w:right="320" w:hanging="333"/>
        <w:spacing w:after="0" w:line="26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managing the potential conflicts between locally accepted business practices and our obligations to comply with laws and regulations, including anti-corruption and anti-money laundering laws and regulations;</w:t>
      </w: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660" w:right="900" w:hanging="333"/>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 and</w:t>
      </w: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 reductions in business activity.</w:t>
      </w:r>
    </w:p>
    <w:p>
      <w:pPr>
        <w:spacing w:after="0" w:line="21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political or social conditions, less developed and predictable legal and regulatory regimes and increased potential for various types of adverse governmental action.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United Kingdom’s exit from the European Union could have a material adverse effect on our business, financial condition and results of operations.</w:t>
      </w:r>
    </w:p>
    <w:p>
      <w:pPr>
        <w:spacing w:after="0" w:line="170"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In March 2017, the United Kingdom government invoked article 50 of the Lisbon Treaty and officially notified the European Union of its decision to withdraw from the European Union. This formally initiated the process of negotiations with the European Union regarding the terms of the United Kingdom’s withdrawal, and the framework of the future relationship between the United Kingdom and the European Union (the “Withdrawal Agreement”). The United Kingdom withdrew from the European Union on January 31, 2020 (the “exit date”). As part of the negotiations with the European Union, a transitional period has been agreed which extends to the United Kingdom the application of European Union law, and provides for continuing access to the European Union market, until the end of 2020. The future relationship between the United Kingdom and the European Union will be negotiated between both parties during 2020 and if an agreement is reached</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which may or may not include terms of access to each other’s financial markets – it is anticipated under the Withdrawal Agreement that the terms of any such agreement would apply upon expiry of the transitional period. The transitional period is due to expire on December 31, 2020, unless extended by the UK/EU Joint Committee established under the Withdrawal Agreement. The maximum possible extension under the Withdrawal Agreement is two years and Prime Minister Johnson of the United Kingdom has indicated that he does not intend to seek, nor agree, to such an extension.</w:t>
      </w:r>
    </w:p>
    <w:p>
      <w:pPr>
        <w:spacing w:after="0" w:line="163"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United Kingdom’s departure from the European Union and the terms of the future relationship between the United Kingdom and the European Union could significantly impact the business environment in which we and our clients operate, increase the costs of conducting business in both the European Union and the United Kingdom, impair or prohibit access to European Union clients, affect market liquidity and introduce significant new uncertainties with respect to the legal and regulatory requirements to which we and our clients are subject. In particular, Brexit is expected to significantly affect the fiscal, monetary and regulatory landscape in both the United Kingdom and the European Union, and may have a material impact on their respective economies which could have a materially adverse impact on us despite out international client-base. Until the terms of the future relationship are known, volatility in exchange rates may continue and it will remain unclear how Brexit may ultimately affect liquidity in our marketplaces.</w:t>
      </w:r>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Significantly, the effects of Brexit on our business will depend on any agreements the United Kingdom makes to retain access to the European Union single market and vice versa. Negotiations between the United Kingdom and the European Union on their future relationship will continue during 2020, will be complex and will be politically uncertain. Until such an agreement is reached the post-transitional period conditions of UK and EU market access are not known. With a loss of “passporting” rights, which allow financial services firms to operate throughout the European Union, and with no equivalent agreement in place between the United Kingdom and the European Union, our UK authorized subsidiary will no longer be able to provide services to EU clients other than in limited circumstances. As a result of the uncertainty related to Brexit, we have established a new regulated subsidiary in the Netherlands that has started to serve clients in the European Union, and for which we have incurred, and expect to continue to incur, increased regulatory and operational costs. These costs result from having established a new regulated subsidiary in the European Union and the management of a client and employee base that is less centralized in London.</w:t>
      </w:r>
    </w:p>
    <w:p>
      <w:pPr>
        <w:spacing w:after="0" w:line="18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With Brexit, the United Kingdom has ended the supremacy of EU law in the United Kingdom by repealing the European Communities Act 1972, and by “on-shoring” EU law as it stands at exit into domestic law. With the exception that the United Kingdom has made secondary legislation to enable correction to be made to EU laws as they are on-shored – and where they would otherwise have no longer operated appropriately following Brexit - the UK and EU laws are substantively the same.</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Over time however, EU and UK laws may diverge, the pace and extent of which will be political and uncertain. The cost and complexity of operating across increasingly divergent regulatory regimes could increase following Brexit, and this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Since we operate in several different countries outside the United States, most notably the UK, Japan and Hong Kong, significant portions of our revenues, expenses, assets and liabilities are denominated in non-U.S. dollar currencies, most notably the pound sterling, euros, Japanese Yen and Hong Kong dollars.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 decreases in the value of the U.S. dollar against other currencies may affect our business, financial condition and results of operations. In recent years, external events, such as Brexit, the 2016 U.S. presidential election, uncertainty regarding actual and potential shifts in U.S. and foreign trade, economic and other policies, the passage of U.S. tax reform legislation and concerns over the interest rate environment (particularly with respect to short-term rates), have caused, and may continue to cause, significant volatility in currency exchange rates, especially among the U.S. dollar, the pound sterling and the euro.</w:t>
      </w:r>
    </w:p>
    <w:p>
      <w:pPr>
        <w:spacing w:after="0" w:line="18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While we engage in hedging activity to attempt to mitigate currency exchange rate risk, these hedging activities may not fully mitigate the risk. Accordingly, if there are adverse movements in exchange rates, we may suffer significant losses, which would materially adversely affect our financial condition and results of operations.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undertake acquisitions or divestitures, which may not be successful, and which could materially adversely affect our business, financial condition and results of operations.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From time to time, we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and CodeStreet in 2016.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179"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 (v) 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w:t>
      </w:r>
    </w:p>
    <w:p>
      <w:pPr>
        <w:spacing w:after="0" w:line="3" w:lineRule="exact"/>
        <w:rPr>
          <w:sz w:val="20"/>
          <w:szCs w:val="20"/>
          <w:color w:val="auto"/>
        </w:rPr>
      </w:pPr>
    </w:p>
    <w:p>
      <w:pPr>
        <w:ind w:right="280" w:firstLine="3"/>
        <w:spacing w:after="0" w:line="253" w:lineRule="auto"/>
        <w:tabs>
          <w:tab w:leader="none" w:pos="3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and it is possible that perceived or actual violations of these requirements could give rise to litigation or regulatory enforcement action or result in us not receiving the necessary approvals to complete a desired acquisition.</w:t>
      </w:r>
    </w:p>
    <w:p>
      <w:pPr>
        <w:spacing w:after="0" w:line="19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Furthermore, even if we complete an acquisition, the anticipated benefits from such acquisition may not be achieved unless the operations of the acquired business, platform or technology are integrated in an efficient, cost-effective and timely manner. The integration of any acquisition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any acquisition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key employees, clients, third-party providers or other business partners.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w:t>
      </w:r>
    </w:p>
    <w:p>
      <w:pPr>
        <w:ind w:right="160" w:firstLine="3"/>
        <w:spacing w:after="0" w:line="273" w:lineRule="auto"/>
        <w:tabs>
          <w:tab w:leader="none" w:pos="305"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management’s attention being diverted from the operation of our existing business, including to provide on-going services to the divested business; (v) encountering difficulties in the separation of operations, platforms, solutions or personnel; (vi) retaining future liabilities as a result of contractual indemnity obligations; and (vii) loss of, or damage to our relationships with, any of our key employees, clients, third-party providers or other business partners.</w:t>
      </w:r>
    </w:p>
    <w:p>
      <w:pPr>
        <w:spacing w:after="0" w:line="177"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enter into strategic alliances, partnerships or joint ventures, we may not realize the anticipated strategic goals for any such transactions.</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pacing w:after="0" w:line="178"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 which may have a material adverse effect on our business, financial condition or results of operations.</w:t>
      </w:r>
    </w:p>
    <w:p>
      <w:pPr>
        <w:spacing w:after="0" w:line="17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cannot assure you that we will be able to enter into strategic alliances, partnerships or joint ventures on terms that are favorable to us, or at all, or that any strategic alliance, partnership or joint venture we have entered into or may enter into will be successful. In particular, these arrangements may not generate the expected number of new clients or increased trading volumes or revenues or other benefits we seek. Unsuccessful strategic alliances, partnerships or joint ventures could harm our reputation and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results may fluctuate significantly and may not fully reflect the underlying performance of our business.</w:t>
      </w:r>
    </w:p>
    <w:p>
      <w:pPr>
        <w:spacing w:after="0" w:line="24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93"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mix of products and volumes traded, changes in fee plans and average variable fees per million;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480" w:hanging="333"/>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expenses, including those related to the maintenance and expansion of our business, operations and infrastructure;</w:t>
      </w:r>
    </w:p>
    <w:p>
      <w:pPr>
        <w:spacing w:after="0" w:line="1" w:lineRule="exact"/>
        <w:rPr>
          <w:rFonts w:ascii="Arial" w:cs="Arial" w:eastAsia="Arial" w:hAnsi="Arial"/>
          <w:sz w:val="18"/>
          <w:szCs w:val="18"/>
          <w:color w:val="auto"/>
        </w:rPr>
      </w:pPr>
    </w:p>
    <w:p>
      <w:pPr>
        <w:ind w:left="660" w:right="320" w:hanging="333"/>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platforms, security breaches or perceived security breaches;</w:t>
      </w: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political, social, industry and market conditions;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9" w:lineRule="exact"/>
        <w:rPr>
          <w:rFonts w:ascii="Arial" w:cs="Arial" w:eastAsia="Arial" w:hAnsi="Arial"/>
          <w:sz w:val="18"/>
          <w:szCs w:val="18"/>
          <w:color w:val="auto"/>
        </w:rPr>
      </w:pPr>
    </w:p>
    <w:p>
      <w:pPr>
        <w:ind w:left="660" w:right="80" w:hanging="333"/>
        <w:spacing w:after="0" w:line="28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and success of our entry into new markets or introductions of new or enhanced platforms or solutions by us or our competitors, including disruptive technology, or any other change in the competitive dynamics of our industry, including consolidation or new entrants among competitors, market participants or strategic alliances;</w:t>
      </w:r>
    </w:p>
    <w:p>
      <w:pPr>
        <w:spacing w:after="0" w:line="2" w:lineRule="exact"/>
        <w:rPr>
          <w:rFonts w:ascii="Arial" w:cs="Arial" w:eastAsia="Arial" w:hAnsi="Arial"/>
          <w:sz w:val="16"/>
          <w:szCs w:val="16"/>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9" w:lineRule="exact"/>
        <w:rPr>
          <w:rFonts w:ascii="Arial" w:cs="Arial" w:eastAsia="Arial" w:hAnsi="Arial"/>
          <w:sz w:val="18"/>
          <w:szCs w:val="18"/>
          <w:color w:val="auto"/>
        </w:rPr>
      </w:pPr>
    </w:p>
    <w:p>
      <w:pPr>
        <w:ind w:left="660" w:right="100" w:hanging="333"/>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platforms, solutions, technologies or businesses and potential future charges for impairment of goodwill from acquired companies;</w:t>
      </w:r>
    </w:p>
    <w:p>
      <w:pPr>
        <w:ind w:left="660" w:right="500" w:hanging="333"/>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 and</w:t>
      </w:r>
    </w:p>
    <w:p>
      <w:pPr>
        <w:ind w:left="660" w:right="440" w:hanging="333"/>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magnitude of any adjustments in our consolidated financial statements driven by changes in the liability under the Tax Receivable Agreement.</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success of our business depends upon the skills, experience and efforts of our executive officers, particularly Lee Olesky, our Chief Executive Officer, and Billy Hult, our President. The terms of Messrs. Olesky’s and Hult’s employment agreements with us do not require them to continue to work for us and allow them to terminate their employment at any time, subject to certain notice requirements and forfeiture of non-vested equity awards. Although we have invested in succession planning, the loss of key members of our senior management team could nevertheless have a material adverse effect on our business, financial condition and results of operations. Should we lose the services of any member of our senior management team, we would have to conduct a search for a qualified replacement. This search may be prolonged, and we may not be able to locate and hire a qualified replacement.</w:t>
      </w:r>
    </w:p>
    <w:p>
      <w:pPr>
        <w:spacing w:after="0" w:line="17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are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operate under various regulatory frameworks or manage our business effectively.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Damage to our reputation or brand could negatively impact our business, financial condition and results of operations.</w:t>
      </w:r>
    </w:p>
    <w:p>
      <w:pPr>
        <w:spacing w:after="0" w:line="26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networks and infrastructure and any impropriety, misconduct or fraudulent activity by any person formerly or currently associated with us.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 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any person formerly or currently associated with us cannot be completely eliminated or mitigated and may materially harm our reputation, business, financial condition and results of operations.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materially adversely affect our brand and our business.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 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logos, platforms, solutions or technologies that are substantially equivalent or superior to our logos, platforms, solutions or technologies.</w:t>
      </w:r>
    </w:p>
    <w:p>
      <w:pPr>
        <w:spacing w:after="0" w:line="18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platforms and solutions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and related solutions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17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platforms, solutions,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technologies or practices or discontinue use of such platforms, solutions, technologies or practices. Any development efforts could require significant effort and expense and, as result, our business, results of operations and financial condition could be materially adversely affected.</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 future in response to global conditions and events. The SEC, the CFTC, FINRA, the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FCA in the United Kingdom, DNB, the AFM, the MAS, the Hong Kong Securities and Futures Commission, the Investment Industry Regulatory Organization of Canada and provincial regulators in Canada, the Japanese Financial Services Agency, the Japan Securities Dealers Association and the ASIC.</w:t>
      </w:r>
    </w:p>
    <w:p>
      <w:pPr>
        <w:spacing w:after="0" w:line="18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 See Part I, Item 1. – “Business — Regulation,”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17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18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Tradeweb Markets Inc.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16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Our ability to operate our trading platforms or offer our solutions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firstLine="324"/>
        <w:spacing w:after="0" w:line="279" w:lineRule="auto"/>
        <w:rPr>
          <w:sz w:val="20"/>
          <w:szCs w:val="20"/>
          <w:color w:val="auto"/>
        </w:rPr>
      </w:pPr>
      <w:r>
        <w:rPr>
          <w:rFonts w:ascii="Arial" w:cs="Arial" w:eastAsia="Arial" w:hAnsi="Arial"/>
          <w:sz w:val="17"/>
          <w:szCs w:val="17"/>
          <w:color w:val="auto"/>
        </w:rPr>
        <w:t>We incur significant costs, and will continue to devote significant financial and operational resources, to develop, implement and maintain policies, systems and processes to comply with our evolving legal and regulatory requirements. Future laws, rules and regulations, or adverse changes to, or more stringent enforcement of, existing laws, rules and regulations, could increase these costs and expose us to significant liabilities.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are difficult to assess or quantify.</w:t>
      </w:r>
    </w:p>
    <w:p>
      <w:pPr>
        <w:spacing w:after="0" w:line="16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the normal course of our business, we have been, and continue to be from time to time,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United Kingdom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65"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10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business, and the business of many of our clients, is subject to extensive regulation. Governmental and regulatory authorities periodically review legislative and regulatory policies and initiatives, and may promulgate new or revised, or adopt changes in the interpretation and enforcement of existing, laws,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16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platforms. In addition, such changes in monetary policy may directly impact our cost of funds for financing and investment activities and may impact the value of any financial instruments we hold.</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Furthermore, many of the underlying markets in which we facilitate trading, and in which our clients trade, are subject to regulation. For example, trading in interest rate swaps has been subject to extensive regulation in the past, and any future regulation could lead to a decline in trading in these markets, which could have a negative impact on our trading volumes and, as a result, our revenues.</w:t>
      </w:r>
    </w:p>
    <w:p>
      <w:pPr>
        <w:spacing w:after="0" w:line="18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regulatory bodies in Europe have recently developed new rules and regulations targeted at the financial services industry, including MiFID II and the MiFIR, which were implemented in January 2018 and which introduced significant changes to the EU financial markets designed to facilitate more efficient markets and greater transparency for participants. MiFID II and MiFIR may have an adverse effect on our operations and our ability to offer our trading platforms and related solutions in a manner that can successfully compete against other methods of trading and related solutions. Additionally, most of the world’s major economies have introduced and continue to introduce regulations implementing Basel III, a global regulatory standard on bank capital adequacy, stress testing and market liquidity risk. The continued implementation of these and other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183" w:lineRule="exact"/>
        <w:rPr>
          <w:sz w:val="20"/>
          <w:szCs w:val="20"/>
          <w:color w:val="auto"/>
        </w:rPr>
      </w:pPr>
    </w:p>
    <w:p>
      <w:pPr>
        <w:ind w:right="180" w:firstLine="324"/>
        <w:spacing w:after="0" w:line="288" w:lineRule="auto"/>
        <w:rPr>
          <w:sz w:val="20"/>
          <w:szCs w:val="20"/>
          <w:color w:val="auto"/>
        </w:rPr>
      </w:pPr>
      <w:r>
        <w:rPr>
          <w:rFonts w:ascii="Arial" w:cs="Arial" w:eastAsia="Arial" w:hAnsi="Arial"/>
          <w:sz w:val="16"/>
          <w:szCs w:val="16"/>
          <w:color w:val="auto"/>
        </w:rPr>
        <w:t>We believe that it remains premature to know conclusively how specific aspects of the regulatory developments described above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rules, regulations and obligations could harm our business.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Certain types of information we collect, compile, store, use, transfer and/or publish are subject to numerous federal, state, local and foreign laws and regulations regarding privacy, data protection and information security These laws, rules and regulations govern the storing, sharing, use, processing, transfer, disclosure and protection of personal information and other content. The scope of these laws, rules and regulations are changing, subject to differing interpretations, may be inconsistent among countries or conflict with other law, rules or regulations. We are also subject to the terms of our privacy policies and obligations to third parties related to applicable privacy, data protection and information security.</w:t>
      </w:r>
    </w:p>
    <w:p>
      <w:pPr>
        <w:spacing w:after="0" w:line="16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regulatory framework for privacy, data protection and information security worldwide is uncertain, and is likely to remain uncertain for the foreseeable future, and we expect that there will continue to be new laws, rules regulations and industry standards concerning privacy, data protection and information security proposed and enacted in the various jurisdictions in which we operate. For example, European legislators adopted the General Data Protection Regulations (“GDPR”) that became effective in May 2018. The GDPR imposes more stringent EU data protection requirements and provides for greater penalties for noncompliance. Further,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efforts to comply with privacy, data protection and information security laws, rules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 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U.S. tax legislation may materially adversely affect our financial condition, results of operations and cash flows.</w:t>
      </w:r>
    </w:p>
    <w:p>
      <w:pPr>
        <w:spacing w:after="0" w:line="24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At any time, the U.S. federal income tax laws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Any such law, regulation or interpretation could take effect retroactively, and could adversely affect our business and financial condition, and the impact of any such law, regulation or interpretation on holders of our Class A common stock could be adverse.</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17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compliance and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and maintenance or the lack of adequate, accurate or timely information. If our risk-management programs and efforts are ineffective, we could suffer losses that could have a material adverse effect on our financial condition and results of operations.</w:t>
      </w:r>
    </w:p>
    <w:p>
      <w:pPr>
        <w:spacing w:after="0" w:line="18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are from time to time involved in various litigation matters and claims, including lawsuits regarding employment matters, breach of contract matters and other business and commercial matters. See Part I, Item 3 – “Legal Proceedings.” Many aspects of our business, and the businesses of our clients, involve substantial risks of liability. These risks include, among others, disputes over terms of a trade and claims that a system failure or delay caused monetary loss to a client or that an unauthorized trade occurred. Although we carry insurance that may limit our risk of damages 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litigation matters and claims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9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The credit agreement that governs the Revolving Credit Facility imposes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party to the Revolving Credit Facility, a $500.0 million senior secured revolving credit facility, with a syndicate of banks. The credit agreement that governs the Revolving Credit Facility imposes significant operating and financial restrictions. These restrictions, which are subject to a number of qualifications and exceptions, could limit our ability and the ability of our restricted subsidiaries to, among other things:</w:t>
      </w:r>
    </w:p>
    <w:p>
      <w:pPr>
        <w:spacing w:after="0" w:line="187" w:lineRule="exact"/>
        <w:rPr>
          <w:sz w:val="20"/>
          <w:szCs w:val="20"/>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11"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In addition, the credit agreement that governs our Revolving Credit Facility requires us to maintain a maximum total net leverage ratio and a minimum cash interest coverage ratio. See Part II, Item 7. – “Management’s Discussion and Analysis of Financial Condition and Results of Operations — Liquidity and Capital Resources.”</w:t>
      </w:r>
    </w:p>
    <w:p>
      <w:pPr>
        <w:spacing w:after="0" w:line="166"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could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1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failure to comply with the covenants and other terms of the Revolving Credit Facility and/or the terms of any future indebtedness could result in an event of default. If any such event of default occurs and is not waived, the lenders under the Revolving Credit Facility could elect to declare all amounts outstanding and accrued and unpaid interest, if any, under the Revolving Credit Facility to be immediately due and payable, and could foreclose on the assets securing the Revolving Credit Facility. The lenders would also have the right in these circumstances to terminate any commitments they have to provide further credit extensions. If we are forced to refinance any borrowings under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Revolving Credit Facility on less favorable terms or if we cannot refinance these borrowings, our financial condition and results of operations could be materially adversely affected.</w:t>
      </w:r>
    </w:p>
    <w:p>
      <w:pPr>
        <w:spacing w:after="0" w:line="17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addition, although the credit agreement that governs the Revolving Credit Facility contains restrictions on the incurrence of additional indebtedness, these restrictions are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borrowings under the Revolving Credit Facility will subject us to interest rate risk, which could cause our debt service obligations to increase significantly.</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Any borrowings under the Revolving Credit Facility will be at variable rates of interest and expose us to interest rate risk. Although there is uncertainty concerning the current interest rate environment, interest rates are still near historically low levels. If interest rates rise, our debt service obligations on any borrowings under the Revolving Credit Facility will increase even though the amount borrowed may remain the same, and our net income and cash flows will correspondingly decrease. Assuming that the $500.0 million Revolving Credit Facility was fully drawn, each 0.125% change in interest rates would result in an approximate change of $0.6 million in annual interest expense on the borrowings under the Revolving Credit Facility.</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phase-out, replacement or unavailability of LIBOR and/or other interest rate benchmarks could adversely affect our indebtedness.</w:t>
      </w:r>
    </w:p>
    <w:p>
      <w:pPr>
        <w:spacing w:after="0" w:line="17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interest rates applicable to the Revolving Credit Facility are based on, and the interest rates applicable to certain debt obligations we may incur in the future may be based on, a fluctuating rate of interest determined by reference to the London Interbank Offered Rate (“LIBOR”). In July 2017, the U.K.’s Financial Conduct Authority, which regulates LIBOR, announced that it intends to stop persuading or compelling banks to submit rates for the calculation of LIBOR after 2021. In response to concerns regarding the future of LIBOR, the Board of Governors of the Federal Reserve System and the Federal Reserve Bank of New York convened the Alternative Reference Rates Committee (the “ARRC”) to identify alternatives to LIBOR. The ARRC has recommended a benchmark replacement waterfall to assist issuers in continued capital market entry while safeguarding against LIBOR’s discontinuation. The initial steps in the ARRC’s recommended provision reference variations of the Secured Overnight Financing Rate (“SOFR”), calculated using short-term repurchase agreements backed by Treasury securities. At this time, it is not possible to predict whether SOFR will attain market traction as a LIBOR replacement. Additionally, it is uncertain if LIBOR will cease to exist after calendar year 2021, or whether additional reforms to LIBOR may be enacted, or whether alternative reference rates will gain market acceptance as a replacement for LIBOR. In anticipation of LIBOR’s phase-out, the credit agreement governing the Revolving Credit Facility provides for alternative base rates as well as a transition mechanism for selecting a benchmark replacement rate for LIBOR, with such benchmark replacement rate to be mutually agreed with the administrative agent and subject to the majority lenders not objecting to such benchmark replacement. There can be no assurance that we will be able to reach any agreement on a replacement benchmark, and there can be no assurance that any agreement we reach will result in effective interest rates at least as favorable to us as our current effective interest rates. The failure to reach an agreement on a replacement benchmark, or the failure to reach an agreement that results in an effective interest rate at least as favorable to us as our current effective interest rates, could result in a significant increase in our debt service obligations, which could adversely affect our financial condition and results of operations. In addition, the overall financing market may be disrupted as a result of the phase-out or replacement of LIBOR, which could have an adverse impact on our ability to refinance, reprice or amend the Revolving Credit Facility, or incur additional indebtedness, on favorable terms, or at all.</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a restricted subsidiary under Refinitiv’s credit facility and the indentures governing its senior notes, which may limit Refinitiv’s ability to permit us to take certain actions.</w:t>
      </w:r>
    </w:p>
    <w:p>
      <w:pPr>
        <w:spacing w:after="0" w:line="1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are a “restricted subsidiary” under Refinitiv’s credit facility and the indentures governing its senior notes. While we are not a guarantor of Refinitiv’s indebtedness, or a party to the agreements governing Refinitiv’s indebtedness, the restrictions applicable to “restricted subsidiaries” contained in such agreements will nevertheless be applicable to us for so long as we are consolidated within Refinitiv’s financial statements in accordance with GAAP. Among these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restrictions are limitations on Refinitiv’s ability to permit us to incur or guarantee indebtedness, issue certain preferred stock, repurchase subordinated indebtedness, make certain investments, transfer or sell certain assets, enter into restrictions affecting our ability to make distributions or loans or advances to Refinitiv, and enter into certain transactions with affiliates. As a result of these restrictions, we may be unable to take certain actions and, accordingly, limited in our ability to expand and pursue our business strategies and otherwise conduct our business.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 which would negatively impact our operating results.</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As of December 31, 2019, we had goodwill of $2,694.8 million and indefinite-lived intangible assets of $323.1 million, which relate to the Refinitiv Transaction. The carrying value of goodwill represents the fair value of an acquired business in excess of identifiable assets and liabilities as of the acquisition date. The carrying value of indefinite-lived intangible assets represents the fair value of licenses and trade names as of the acquisition date. Determining the fair value of certain assets acquired and liabilities assumed is judgmental in nature and requires management to use significant estimates and assumptions, including assumptions with respect to future cash flows, discount rates, growth rates and asset lives. We do not amortize goodwill and indefinite-lived intangible assets that we expect to contribute indefinitely to our cash flows, but instead we evaluate these assets for impairment at least annually, or more frequently if changes in circumstances indicate that a potential impairment could exist. Significant negative industry or economic trends, disruptions to our business, inability to effectively integrate acquired businesses, unexpected significant changes or planned changes in use of the acquired assets, divestitures and market capitalization declines may impair our goodwill and other indefinite-lived intangible assets. Any charges relating to such impairments could materially adversely affect our financial condition and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the Company and Our Organizational Structure</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principal asset is our equity interest in TWM LLC, and, accordingly, we depend on distributions from TWM LLC to pay our taxes and expenses, including payments under the Tax Receivable Agreement.</w:t>
      </w:r>
    </w:p>
    <w:p>
      <w:pPr>
        <w:spacing w:after="0" w:line="1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 holding company and our principal asset is our equity interest in TWM LLC. We have no independent means of generating revenue or cash flow, and our ability to pay our taxes and operating expenses or declare and pay dividends, if any, in accordance with our dividend policy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193"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also incur expenses related to our operations, including payments under the Tax Receivable Agreement, which we expect could be significant. See Note 10 — Tax Receivable Agreement to our audited consolidated financial statements included elsewhere in this Annual Report on Form 10-K. We intend, as its sole manager, to cause TWM LLC to continue to make cash distributions to the owners of LLC Interests, including us, in an amount sufficient to (i) fund all or part of their tax obligations in respect of taxable income allocated to them and (ii) cover our operating expenses, including payments under the Tax Receivable Agreement. When TWM LLC makes distributions, the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TWM LLC does not have sufficient funds to make distributions, our ability to declare and pay cash dividends will also be restricted or impaired. See “— Risks Relating to Ownership of Our Class A Common Stock”</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Part II, Item 5 – “Market for Registrant’s Common Equity, Related Stockholder Matters and Issuer Purchases of Equity Securities — Dividend Policy.”</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158"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TWM LLC is treated as a partnership for U.S. federal income tax purposes and, as such, is not subject to any entity-level U.S. federal income tax. Instead, taxable income is allocated to holders of LLC Interests, including us. Accordingly, we incur income taxes on our allocable share of any net taxable income of TWM LLC. Under the TWM LLC Agreement, TWM LLC is generally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 LLC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18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6"/>
          <w:szCs w:val="16"/>
          <w:color w:val="auto"/>
        </w:rPr>
        <w:t>We are a party to the Tax Receivable Agreement with TWM LLC and the Continuing LLC Owners. Under the Tax Receivable Agreement, we are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follow-on offering and any future offerings or (b) redemptions or exchanges by such Continuing LLC Owner of LLC Interests for shares of our Class A common stock or Class B Common Stock or for cash, as applicable, and (ii) certain other tax benefits related to our making payments under the Tax Receivable Agreement. We expect that the amount of the cash payments that we will be required to make under the Tax Receivable Agreement will be substantial. Any payments made by us to the Continuing LLC Owners under the Tax Receivable Agreement will generally reduce the amount of overall cash flow that might have otherwise been available to us. Furthermore, our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common stock at the time of the redemption, exchange or purchase,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as of December 31, 2019, we recorded a liability of $240.8 million related to our projected obligations under the Tax Receivable Agreement with respect to LLC Interests that were purchased by Tradeweb Markets Inc. using the net proceeds from the IPO and the October 2019 follow-on offering and LLC Interests that were exchanged by Continuing LLC Owners during the year ended December 31, 2019. Payments under the Tax Receivable Agreement are not conditioned on any Continuing LLC Owner’s continued ownership of LLC Interests or our Class A common stock or Class B common stock.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18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The Tax Receivable Agreement with TWM LLC and the Continuing LLC Owners provides for the payment by us to the Continuing LLC Owners of 50% of the tax benefits, if any, that we actually realize, or in certain circumstances are deemed to realize, as a result of (i) increases in the tax basis of TWM LLC’s assets resulting from (a) the purchase of LLC Interests from such Continuing LLC Owner, including with the net proceeds from the IPO, the October 2019 follow-on offering and any future offerings or (b) redemptions or exchanges by the Continuing LLC Owners of LLC Interests for shares of our Class A common stock or Class B Common Stock or for cash, as applicable,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83"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10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Tax Receivable Agreement provides that upon certain changes of control or if, at any time, we elect an early termination of the Tax Receivable Agreement, then our obligations, or our successor’s obligations, to make payments under the Tax Receivable Agreement would be accelerated and calculated based on certain assumptions, including an assumption that we would have sufficient taxable income to fully utilize all potential future tax benefits that are subject to the Tax Receivable Agreement.</w:t>
      </w:r>
    </w:p>
    <w:p>
      <w:pPr>
        <w:spacing w:after="0" w:line="18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Payments under the Tax Receivable Agreement are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 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14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81" w:lineRule="exact"/>
        <w:rPr>
          <w:sz w:val="20"/>
          <w:szCs w:val="20"/>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9" w:lineRule="exact"/>
        <w:rPr>
          <w:rFonts w:ascii="Arial" w:cs="Arial" w:eastAsia="Arial" w:hAnsi="Arial"/>
          <w:sz w:val="18"/>
          <w:szCs w:val="18"/>
          <w:color w:val="auto"/>
        </w:rPr>
      </w:pPr>
    </w:p>
    <w:p>
      <w:pPr>
        <w:ind w:left="660" w:right="280" w:hanging="333"/>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in countries where we have higher statutory tax rates.</w:t>
      </w:r>
    </w:p>
    <w:p>
      <w:pPr>
        <w:spacing w:after="0" w:line="184"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certain circumstances, liability for adjustments to a partnership’s tax return may be imputed to the partnership itself absent an election to the contrary. TWM LLC may be subject to material liabilities if, for example, its calculations of taxable income are incorrect.</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If we are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As the sole manager of TWM LLC, we control and operate TWM LLC. On that basis, we believe that our interest in TWM LLC is not an “investment security” as that term is used in the 1940 Act. However, if we were to cease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participation in the management of TWM LLC, our interest in TWM LLC could be deemed an “investment security” for purposes of the 1940 Act.</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and TWM LLC intend to continue to conduct our operations so that we will not be deemed an investment company. However, if we are deemed to be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Refinitiv Owners and their affiliates control us and their interests may conflict with ours or yours in the future.</w:t>
      </w:r>
    </w:p>
    <w:p>
      <w:pPr>
        <w:spacing w:after="0" w:line="24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Refinitiv Owners and their affiliates currently control approximately 77.1% of the combined voting power of our common stock as a result of their ownership of our Class B common stock and Class D common stock, each share of which is entitled to 10 votes on all matters submitted to a vote of our stockholders. Moreover, under our amended and restated bylaws and the Stockholders Agreement, for so long as the Refinitiv Owners and their affiliates together continue to beneficially own at least 10% of the combined voting power of our common stock, we will agree to nominate to our board of directors a certain number of individuals designated by the Refinitiv Owners. Even when the Refinitiv Owners and their affiliates cease to own shares of our common stock representing a majority of the combined voting power, for so long as the Refinitiv Owners continue to own a significant percentage of our common stock, the Refinitiv Owners will still be able to significantly influence the composition of our board of directors and the approval of actions requiring stockholder approval through their combined voting power. Accordingly, for such period of time, the Refinitiv Owners and their affiliates will continue to have significant influence with respect to our management, business plans and policies. In particular, the Refinitiv Owners and their affiliates are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16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Refinitiv Owners and their affiliates engage in a broad spectrum of activities. In the ordinary course of their business activities, the Refinitiv Owners and their affiliates may engage in activities where their interests conflict with our interests or those of our stockholders. Our amended and restated certificate of incorporation provides that none of the Refinitiv Owners, any of their affiliates or any director who is not employed by us (including any non-employee director who serves as one of our officers in both his director and officer capacities) or his or her affiliates has any duty to refrain from engaging, directly or indirectly, in the same business activities or similar business activities or lines of business in which we operate. The Refinitiv Owners and their affiliates also may pursue acquisition opportunities that may be complementary to our business, and, as a result, those acquisition opportunities may not be available to us. In addition, the Refinitiv Owners and their affiliates may have an interest in us pursuing acquisitions, divestitures and other transactions that, in their judgment, could enhance their investment, even though such transactions might involve risks to you.</w:t>
      </w:r>
    </w:p>
    <w:p>
      <w:pPr>
        <w:spacing w:after="0" w:line="1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Refinitiv Direct Owner and the Continuing LLC Owners may require us to issue additional shares of our Class A common stock.</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of January 31, 2020, we have an aggregate of 931,056,956 shares of Class A common stock authorized but unissued, including 154,244,233 shares of Class A common stock issuable upon the redemption or exchange of LLC Interests that are held by the Continuing LLC Owners or the exchange of shares of Class B common stock that are held by the Refinitiv Direct Owner and any other future holders of Class B common stock. Subject to certain restrictions set forth in the TWM LLC Agreement, the Continuing LLC Owners are entitled to have their LLC Interests redeemed for newly issued shares of our Class A common stock or Class B common stock,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corporate governance standards of Nasdaq and, as a result, qualify for, and rely on, exemptions from certain corporate governance requirements.</w:t>
      </w:r>
    </w:p>
    <w:p>
      <w:pPr>
        <w:spacing w:after="0" w:line="170"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Refinitiv owns a majority of the combined voting power in us. As a result, we are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54" w:lineRule="exact"/>
        <w:rPr>
          <w:sz w:val="20"/>
          <w:szCs w:val="20"/>
          <w:color w:val="auto"/>
        </w:rPr>
      </w:pPr>
    </w:p>
    <w:p>
      <w:pPr>
        <w:ind w:left="660" w:hanging="333"/>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23" w:lineRule="exact"/>
        <w:rPr>
          <w:rFonts w:ascii="Arial" w:cs="Arial" w:eastAsia="Arial" w:hAnsi="Arial"/>
          <w:sz w:val="18"/>
          <w:szCs w:val="18"/>
          <w:color w:val="auto"/>
        </w:rPr>
      </w:pPr>
    </w:p>
    <w:p>
      <w:pPr>
        <w:ind w:left="660" w:right="560" w:hanging="333"/>
        <w:spacing w:after="0" w:line="28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requirement that director nominations be made, or recommended to the full board of directors, by its independent directors or by a nominations committee that is composed entirely of independent directors; and</w:t>
      </w:r>
    </w:p>
    <w:p>
      <w:pPr>
        <w:spacing w:after="0" w:line="1" w:lineRule="exact"/>
        <w:rPr>
          <w:rFonts w:ascii="Arial" w:cs="Arial" w:eastAsia="Arial" w:hAnsi="Arial"/>
          <w:sz w:val="16"/>
          <w:szCs w:val="16"/>
          <w:color w:val="auto"/>
        </w:rPr>
      </w:pPr>
    </w:p>
    <w:p>
      <w:pPr>
        <w:ind w:left="660" w:right="200" w:hanging="333"/>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intend to continue to rely on all of the exemptions listed above. If we continue to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 of the corporate governance requirements of Nasdaq.</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may be highly volatile, and you may not be able to resell your shares at or above the public offering price.</w:t>
      </w:r>
    </w:p>
    <w:p>
      <w:pPr>
        <w:spacing w:after="0" w:line="17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Prior to the IPO, there was no public market for our Class A common stock. Given our limited trading history, an active trading market for our Class A common stock may not be sustained, which could adversely affect your ability to sell your shares and the market price for your shares. Further, the market price and trading volumes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and trading volume of our Class A common stock:</w:t>
      </w:r>
    </w:p>
    <w:p>
      <w:pPr>
        <w:spacing w:after="0" w:line="178" w:lineRule="exact"/>
        <w:rPr>
          <w:sz w:val="20"/>
          <w:szCs w:val="20"/>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w:t>
      </w:r>
    </w:p>
    <w:p>
      <w:pPr>
        <w:spacing w:after="0" w:line="23" w:lineRule="exact"/>
        <w:rPr>
          <w:rFonts w:ascii="Arial" w:cs="Arial" w:eastAsia="Arial" w:hAnsi="Arial"/>
          <w:sz w:val="18"/>
          <w:szCs w:val="18"/>
          <w:color w:val="auto"/>
        </w:rPr>
      </w:pPr>
    </w:p>
    <w:p>
      <w:pPr>
        <w:ind w:left="660" w:right="200" w:hanging="333"/>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or expectations or trends in the markets in which we operate;</w:t>
      </w:r>
    </w:p>
    <w:p>
      <w:pPr>
        <w:ind w:left="660" w:right="100" w:hanging="333"/>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concerning or by our competitors or concerning our industry or the markets in which we operate in general;</w:t>
      </w: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9" w:lineRule="exact"/>
        <w:rPr>
          <w:rFonts w:ascii="Arial" w:cs="Arial" w:eastAsia="Arial" w:hAnsi="Arial"/>
          <w:sz w:val="18"/>
          <w:szCs w:val="18"/>
          <w:color w:val="auto"/>
        </w:rPr>
      </w:pPr>
    </w:p>
    <w:p>
      <w:pPr>
        <w:ind w:left="660" w:right="60" w:hanging="333"/>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 or failure to meet guidance given by us or any change in guidance given by us or in our guidance practices;</w:t>
      </w: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9" w:lineRule="exact"/>
        <w:rPr>
          <w:rFonts w:ascii="Arial" w:cs="Arial" w:eastAsia="Arial" w:hAnsi="Arial"/>
          <w:sz w:val="18"/>
          <w:szCs w:val="18"/>
          <w:color w:val="auto"/>
        </w:rPr>
      </w:pPr>
    </w:p>
    <w:p>
      <w:pPr>
        <w:ind w:left="660" w:right="160" w:hanging="333"/>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securities analysts to cover the Company or changes in financial estimates by the analysts who cover us, our competitors or our industry in general;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political, social, legal and regulatory factors unrelated to our performance;</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sales of our Class A common stock by us, our executive officers, directors or our stockholders in the future;</w:t>
      </w:r>
    </w:p>
    <w:p>
      <w:pPr>
        <w:spacing w:after="0" w:line="20" w:lineRule="exact"/>
        <w:rPr>
          <w:rFonts w:ascii="Arial" w:cs="Arial" w:eastAsia="Arial" w:hAnsi="Arial"/>
          <w:sz w:val="17"/>
          <w:szCs w:val="17"/>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investor perception of us, our competitors and our industry;</w:t>
      </w:r>
    </w:p>
    <w:p>
      <w:pPr>
        <w:spacing w:after="0" w:line="9" w:lineRule="exact"/>
        <w:rPr>
          <w:rFonts w:ascii="Arial" w:cs="Arial" w:eastAsia="Arial" w:hAnsi="Arial"/>
          <w:sz w:val="18"/>
          <w:szCs w:val="18"/>
          <w:color w:val="auto"/>
        </w:rPr>
      </w:pPr>
    </w:p>
    <w:p>
      <w:pPr>
        <w:ind w:left="660" w:right="520" w:hanging="333"/>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adverse consequences related to our multi-class capital structure, such as stock index providers excluding companies with multi-class capital structures from certain indices; and</w:t>
      </w: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overall fluctuations in the U.S. equity markets generally.</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170"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As of January 31, 2020, we have 68,943,044 outstanding shares of Class A common stock and 931,056,956 shares of Class A common stock that are authorized but unissued that would be issuable upon redemption or exchange of LLC Interests or exchange of shares of our Class B common stock.</w:t>
      </w:r>
    </w:p>
    <w:p>
      <w:pPr>
        <w:spacing w:after="0" w:line="1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entered into the Registration Rights Agreement in connection with the IPO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are subject to certain transfer restrictions. Sales of a substantial number of Class A common stock upon expiration of such above-described agreement, the perception that such sales may occur, or early release of such agreement, could cause the market price of our shares of Class A common stock to fall or make it more difficult for you to sell your Class A common stock at a time and price that you deem appropriate.</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All of our shares of Class A common stock outstanding as of the date of this Annual Report on Form 10-K (and shares of Class A common stock issuable upon redemption or exchange of LLC Interests or exchange of shares of our Class B common stock) may be sold in the public market by existing stockholders following the expiration or early release of the extended lock-up period in the Registration Rights Agreement, subject to applicable limitations imposed under federal securities laws. Sales of shares of our Class A common stock following the expiration or early release of the extended lock-up period in the Registration Rights Agreement could have a material adverse effect on the trading price of our Class A common stock.</w:t>
      </w:r>
    </w:p>
    <w:p>
      <w:pPr>
        <w:spacing w:after="0" w:line="189"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In addition, shares of Class A common stock issued or issuable upon exercise of options that have currently vested are eligible for sale. We have filed a registration statement on Form S-8 under the Securities Act covering 31,819,860 shares of Class A common stock issued or issuable under our equity incentive plans. Accordingly, shares registered under such registration statement are available for sale in the open market following the vesting of awards, as applicable, expiration of any applicable lockup period and subject to Rule 144 limitations applicable to affiliates.</w:t>
      </w:r>
    </w:p>
    <w:p>
      <w:pPr>
        <w:spacing w:after="0" w:line="173" w:lineRule="exact"/>
        <w:rPr>
          <w:sz w:val="20"/>
          <w:szCs w:val="20"/>
          <w:color w:val="auto"/>
        </w:rPr>
      </w:pPr>
    </w:p>
    <w:p>
      <w:pPr>
        <w:ind w:right="300" w:firstLine="324"/>
        <w:spacing w:after="0" w:line="276" w:lineRule="auto"/>
        <w:rPr>
          <w:sz w:val="20"/>
          <w:szCs w:val="20"/>
          <w:color w:val="auto"/>
        </w:rPr>
      </w:pPr>
      <w:r>
        <w:rPr>
          <w:rFonts w:ascii="Arial" w:cs="Arial" w:eastAsia="Arial" w:hAnsi="Arial"/>
          <w:sz w:val="17"/>
          <w:szCs w:val="17"/>
          <w:color w:val="auto"/>
        </w:rPr>
        <w:t>In addition, pursuant to the Registration Rights Agreement, we granted the Refinitiv Owners, the Bank Stockholders, their affiliates and certain of their transferees the right, under certain circumstances and subject to certain restrictions, to require us to register under the Securities Act shares of Class A common stock. Registration of these shares under the Securities Act would result in the shares becoming freely tradable without restriction under the Securities Act, except for shares held by our affiliates as defined in Rule 144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If securities or industry analysts cease publishing research or reports about us, our business, our industry or markets or our competitors, or if they adversely change their recommendations or publish negative reports regarding our business or our Class A common stock, our stock price and trading volume could materially decline.</w:t>
      </w:r>
    </w:p>
    <w:p>
      <w:pPr>
        <w:spacing w:after="0" w:line="147"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may publish about us, our business, our industry or markets or our competitors. We do not have any control over these analysts and we cannot provide any assurance that analysts will continue to cover us or provide favorable coverage. If any of the analysts who cover us adversely change their recommendation regarding our Class A common stock, or provide more favorable relative recommendations about our competitors, our stock price could materially decline. If any analyst who covers us were to cease coverage of our company or fail to regularly publish reports on us, we could lose visibility in the financial markets, which in turn could cause our stock price or trading volumes to materially decline.</w:t>
      </w:r>
    </w:p>
    <w:p>
      <w:pPr>
        <w:spacing w:after="0" w:line="167"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b w:val="1"/>
          <w:bCs w:val="1"/>
          <w:i w:val="1"/>
          <w:iCs w:val="1"/>
          <w:color w:val="auto"/>
        </w:rPr>
        <w:t>We intend to continue to pay regular dividends on our Class A common stock and Class B common stock, but our ability to do so may be limited.</w:t>
      </w:r>
    </w:p>
    <w:p>
      <w:pPr>
        <w:spacing w:after="0" w:line="170" w:lineRule="exact"/>
        <w:rPr>
          <w:sz w:val="20"/>
          <w:szCs w:val="20"/>
          <w:color w:val="auto"/>
        </w:rPr>
      </w:pPr>
    </w:p>
    <w:p>
      <w:pPr>
        <w:jc w:val="both"/>
        <w:ind w:right="160" w:firstLine="324"/>
        <w:spacing w:after="0" w:line="302" w:lineRule="auto"/>
        <w:rPr>
          <w:sz w:val="20"/>
          <w:szCs w:val="20"/>
          <w:color w:val="auto"/>
        </w:rPr>
      </w:pPr>
      <w:r>
        <w:rPr>
          <w:rFonts w:ascii="Arial" w:cs="Arial" w:eastAsia="Arial" w:hAnsi="Arial"/>
          <w:sz w:val="16"/>
          <w:szCs w:val="16"/>
          <w:color w:val="auto"/>
        </w:rPr>
        <w:t>We intend to continue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pacing w:after="0" w:line="154"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the Revolving Credit Facility, any future credit agreement or any future debt or preferred equity securities of Tradeweb or its subsidiaries.</w:t>
      </w:r>
    </w:p>
    <w:p>
      <w:pPr>
        <w:spacing w:after="0" w:line="17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make the merger or acquisition of our company more difficult without the approval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these provisions:</w:t>
      </w:r>
    </w:p>
    <w:p>
      <w:pPr>
        <w:spacing w:after="0" w:line="225" w:lineRule="exact"/>
        <w:rPr>
          <w:sz w:val="20"/>
          <w:szCs w:val="20"/>
          <w:color w:val="auto"/>
        </w:rPr>
      </w:pPr>
    </w:p>
    <w:p>
      <w:pPr>
        <w:ind w:left="660" w:right="80" w:hanging="333"/>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a multi-class common stock structure with a 10 vote per share feature of our Class B common stock and Class D common stock;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00" w:hanging="333"/>
        <w:spacing w:after="0" w:line="25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2" w:lineRule="exact"/>
        <w:rPr>
          <w:rFonts w:ascii="Arial" w:cs="Arial" w:eastAsia="Arial" w:hAnsi="Arial"/>
          <w:sz w:val="18"/>
          <w:szCs w:val="18"/>
          <w:color w:val="auto"/>
        </w:rPr>
      </w:pPr>
    </w:p>
    <w:p>
      <w:pPr>
        <w:ind w:left="660" w:hanging="333"/>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stockholder action by written consent from and after the date on which the Refinitiv Owners cease to beneficially own at least 50% of the total voting power of all then outstanding shares of our capital stock unless such action is recommended by all directors then in office;</w:t>
      </w:r>
    </w:p>
    <w:p>
      <w:pPr>
        <w:spacing w:after="0" w:line="1" w:lineRule="exact"/>
        <w:rPr>
          <w:rFonts w:ascii="Arial" w:cs="Arial" w:eastAsia="Arial" w:hAnsi="Arial"/>
          <w:sz w:val="18"/>
          <w:szCs w:val="18"/>
          <w:color w:val="auto"/>
        </w:rPr>
      </w:pPr>
    </w:p>
    <w:p>
      <w:pPr>
        <w:ind w:left="660" w:right="160" w:hanging="333"/>
        <w:spacing w:after="0" w:line="265"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that the board of directors is expressly authorized to make, alter or repeal our bylaws and that our stockholders may only amend our bylaws with the approval of 662⁄3% or more in voting power of all outstanding shares of our capital stock, if the Refinitiv Owners and their respective affiliates beneficially own less than 50% in voting power of our stock entitled to vote generally in the election of directors; and</w:t>
      </w:r>
    </w:p>
    <w:p>
      <w:pPr>
        <w:ind w:left="660" w:hanging="333"/>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184"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47" w:lineRule="exact"/>
        <w:rPr>
          <w:sz w:val="20"/>
          <w:szCs w:val="20"/>
          <w:color w:val="auto"/>
        </w:rPr>
      </w:pPr>
    </w:p>
    <w:p>
      <w:pPr>
        <w:ind w:left="660" w:right="60" w:hanging="333"/>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 w:lineRule="exact"/>
        <w:rPr>
          <w:rFonts w:ascii="Arial" w:cs="Arial" w:eastAsia="Arial" w:hAnsi="Arial"/>
          <w:sz w:val="18"/>
          <w:szCs w:val="18"/>
          <w:color w:val="auto"/>
        </w:rPr>
      </w:pPr>
    </w:p>
    <w:p>
      <w:pPr>
        <w:ind w:left="660" w:right="220" w:hanging="333"/>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 w:lineRule="exact"/>
        <w:rPr>
          <w:rFonts w:ascii="Arial" w:cs="Arial" w:eastAsia="Arial" w:hAnsi="Arial"/>
          <w:sz w:val="18"/>
          <w:szCs w:val="18"/>
          <w:color w:val="auto"/>
        </w:rPr>
      </w:pPr>
    </w:p>
    <w:p>
      <w:pPr>
        <w:ind w:left="660" w:right="120" w:hanging="333"/>
        <w:spacing w:after="0" w:line="323"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of directors and by the affirmative vote of holders of at least 662⁄3% of our outstanding voting stock that is not owned by the interested stockholder.</w:t>
      </w:r>
    </w:p>
    <w:p>
      <w:pPr>
        <w:spacing w:after="0" w:line="13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market price of our Class A common stock. These provisions could also discourage proxy contests and make it more difficult for you and other stockholders to elect directors of your choosing and to cause us to take other corporate actions you desire. See Exhibit 4.2 to this Annual Report on Form 10-K for a description of our capital stock.</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171"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Delaware General Corporation Law (“DGCL”) or our amended and restated certificate of incorporation or our amended and restated bylaws or</w:t>
      </w:r>
    </w:p>
    <w:p>
      <w:pPr>
        <w:spacing w:after="0" w:line="2" w:lineRule="exact"/>
        <w:rPr>
          <w:sz w:val="20"/>
          <w:szCs w:val="20"/>
          <w:color w:val="auto"/>
        </w:rPr>
      </w:pPr>
    </w:p>
    <w:p>
      <w:pPr>
        <w:ind w:right="240" w:firstLine="3"/>
        <w:spacing w:after="0" w:line="281" w:lineRule="auto"/>
        <w:tabs>
          <w:tab w:leader="none" w:pos="3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Notwithstanding the foregoing, the exclusive forum provision does not apply to suits brought 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Taking advantage of the reduced disclosure requirements applicable to “emerging growth companies” may make our Class A common stock less attractive to investors.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JOBS Act provides that, so long as a company qualifies as an “emerging growth company,” it will, among other things:</w:t>
      </w:r>
    </w:p>
    <w:p>
      <w:pPr>
        <w:spacing w:after="0" w:line="248" w:lineRule="exact"/>
        <w:rPr>
          <w:sz w:val="20"/>
          <w:szCs w:val="20"/>
          <w:color w:val="auto"/>
        </w:rPr>
      </w:pPr>
    </w:p>
    <w:p>
      <w:pPr>
        <w:ind w:left="660" w:right="20" w:hanging="333"/>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ind w:left="660" w:hanging="333"/>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be exempt from the “say on pay” and “say on golden parachute” advisory vote requirements of the Dodd-Frank Act;</w:t>
      </w:r>
    </w:p>
    <w:p>
      <w:pPr>
        <w:spacing w:after="0" w:line="32" w:lineRule="exact"/>
        <w:rPr>
          <w:rFonts w:ascii="Arial" w:cs="Arial" w:eastAsia="Arial" w:hAnsi="Arial"/>
          <w:sz w:val="16"/>
          <w:szCs w:val="16"/>
          <w:color w:val="auto"/>
        </w:rPr>
      </w:pPr>
    </w:p>
    <w:p>
      <w:pPr>
        <w:ind w:left="660" w:right="300" w:hanging="333"/>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 w:lineRule="exact"/>
        <w:rPr>
          <w:rFonts w:ascii="Arial" w:cs="Arial" w:eastAsia="Arial" w:hAnsi="Arial"/>
          <w:sz w:val="18"/>
          <w:szCs w:val="18"/>
          <w:color w:val="auto"/>
        </w:rPr>
      </w:pPr>
    </w:p>
    <w:p>
      <w:pPr>
        <w:ind w:left="660" w:right="480" w:hanging="333"/>
        <w:spacing w:after="0" w:line="323"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be exempt from any rules that may be adopted by the Public Company Accounting Oversight Board requiring mandatory audit firm rotations or a supplement to the auditor’s report on the financial statements.</w:t>
      </w:r>
    </w:p>
    <w:p>
      <w:pPr>
        <w:spacing w:after="0" w:line="13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We intend to continue to take advantage of each of the exemptions described above. In addition, the JOBS Act permits an emerging growth company like us to take advantage of an extended transition period to comply with new or revised accounting standards applicable to public companies. We have irrevocably elected not to take advantage of the extension of time to comply with new or revised financial accounting standards available under Section 107(b) of the JOBS Act.</w:t>
      </w:r>
    </w:p>
    <w:p>
      <w:pPr>
        <w:spacing w:after="0" w:line="154"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could be an emerging growth company for up to five years after the IPO. We cannot predict if investors will find our Class A common stock less attractive because we rely on these exemptions, or if taking advantage of these exemptions will result in less active trading or more volatility in the market price of our Class A common stock.</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are not currently required to make a formal assessment of the effectiveness of our internal control over financial reporting for purposes of the rules of the SEC implementing Section 404 of the Sarbanes Oxley-Act. We are required to comply with the SEC’s rules implementing Sections 302 and 906 of the Sarbanes-Oxley Act, which require management to certify financial and other information in our quarterly and annual reports and provide an annual management report on the effectiveness of control over financial reporting. Although we are required to disclose changes made in our internal controls and procedures on a quarterly basis, we are not required to make our first annual assessment of our internal control over financial reporting pursuant to Section 404 until our annual report on Form 10-K for the year ending December 31, 2020. As an emerging growth company, our independent registered public accounting firm will not be required to formally attest to the effectiveness of our internal control over financial reporting in our annual report on Form 10-K at the later of the year following our first annual report required to be filed with the SEC or the date on which we are no longer an emerging growth company. At such time, our independent registered public accounting firm may issue a report that is adverse in the event that in its opinion we have not maintained effective internal control over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financial reporting based on criteria established under in Internal Control – Integrated Framework (2013) issued by the Committee of Sponsoring Organizations of the Treadway Commission.</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a private company, we did not have any internal audit function. To comply with the requirements of being a public company, we have undertaken various actions, and will need to take additional actions, such as implementing new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management assessment and auditor attestation requirements of Section 404. If we identify any material weaknesses in our internal control over financial reporting or are unable to comply with the requirements of Section 404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Class A common stock could be negatively affected, and we could become subject to investigations by the stock exchange on which our securities are listed, the SEC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83"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13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As a public company, we are subject to the reporting requirements of the Exchange Act, and the corporate governance standards of the Sarbanes-Oxley Act and Nasdaq. We have a limited history operating as a public company, and these requirements may place a strain on our management, systems and resources. In addition, we have incurred, and expect to continue to incur significant legal, accounting, insurance and other expenses that we did not incur as a private company. The Exchange Act requires us to file annual, quarterly and current reports with respect to our business and financial condition within specified time periods and to prepare a proxy statement with respect to our annual meeting of stockholders. The Sarbanes-Oxley Act requires that we maintain effective disclosure controls and procedures and internal control over financial reporting. Nasdaq requires that we comply with various corporate governance requirements. To maintain and improve the effectiveness of our disclosure controls and procedures and internal control over financial reporting and comply with the Exchange Act and Nasdaq requirements, significant resources and management oversight are required. This may divert management’s attention from other business concerns and lead to significant costs associated with compliance, which could have a material adverse effect on us and the market price of our Class A common stock.</w:t>
      </w:r>
    </w:p>
    <w:p>
      <w:pPr>
        <w:spacing w:after="0" w:line="16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expenses incurred by public companies generally for reporting and corporate governance purposes have been increasing. We expect these rules and regulations to continue to increase our legal and financial compliance costs and to make some activities more time-consuming and costly.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Our stock price may be volatile and, in the past, companies that have experienced volatility in the market price of their stock have been subject to securities class action litigation. We may be the target of this type of litigation in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231F20"/>
        </w:rPr>
        <w:t>Our corporate headquarters is located in New York, New York. As of December 31, 2019, our principal offices consisted of the following properties: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gridSpan w:val="2"/>
          </w:tcPr>
          <w:p>
            <w:pPr>
              <w:spacing w:after="0"/>
              <w:rPr>
                <w:sz w:val="20"/>
                <w:szCs w:val="20"/>
                <w:color w:val="auto"/>
              </w:rPr>
            </w:pPr>
            <w:r>
              <w:rPr>
                <w:rFonts w:ascii="Arial" w:cs="Arial" w:eastAsia="Arial" w:hAnsi="Arial"/>
                <w:sz w:val="14"/>
                <w:szCs w:val="14"/>
                <w:b w:val="1"/>
                <w:bCs w:val="1"/>
                <w:color w:val="231F20"/>
              </w:rPr>
              <w:t>Location</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231F20"/>
              </w:rPr>
              <w:t>Square Feet</w:t>
            </w: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231F20"/>
              </w:rPr>
              <w:t>Lease Expiration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231F20"/>
                <w:w w:val="85"/>
              </w:rPr>
              <w:t>Use</w:t>
            </w:r>
          </w:p>
        </w:tc>
      </w:tr>
      <w:tr>
        <w:trPr>
          <w:trHeight w:val="210"/>
        </w:trPr>
        <w:tc>
          <w:tcPr>
            <w:tcW w:w="4640" w:type="dxa"/>
            <w:vAlign w:val="bottom"/>
            <w:tcBorders>
              <w:top w:val="single" w:sz="8" w:color="231F20"/>
            </w:tcBorders>
            <w:shd w:val="clear" w:color="auto" w:fill="CCEEFF"/>
          </w:tcPr>
          <w:p>
            <w:pPr>
              <w:spacing w:after="0"/>
              <w:rPr>
                <w:sz w:val="20"/>
                <w:szCs w:val="20"/>
                <w:color w:val="auto"/>
              </w:rPr>
            </w:pPr>
            <w:r>
              <w:rPr>
                <w:rFonts w:ascii="Arial" w:cs="Arial" w:eastAsia="Arial" w:hAnsi="Arial"/>
                <w:sz w:val="18"/>
                <w:szCs w:val="18"/>
                <w:color w:val="231F20"/>
              </w:rPr>
              <w:t>New York, New York</w:t>
            </w:r>
            <w:r>
              <w:rPr>
                <w:rFonts w:ascii="Arial" w:cs="Arial" w:eastAsia="Arial" w:hAnsi="Arial"/>
                <w:sz w:val="8"/>
                <w:szCs w:val="8"/>
                <w:color w:val="231F20"/>
              </w:rPr>
              <w:t>(1)</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41,062</w:t>
            </w:r>
          </w:p>
        </w:tc>
        <w:tc>
          <w:tcPr>
            <w:tcW w:w="1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231F20"/>
            </w:tcBorders>
            <w:shd w:val="clear" w:color="auto" w:fill="CCEEFF"/>
          </w:tcPr>
          <w:p>
            <w:pPr>
              <w:jc w:val="center"/>
              <w:spacing w:after="0"/>
              <w:rPr>
                <w:sz w:val="20"/>
                <w:szCs w:val="20"/>
                <w:color w:val="auto"/>
              </w:rPr>
            </w:pPr>
            <w:r>
              <w:rPr>
                <w:rFonts w:ascii="Arial" w:cs="Arial" w:eastAsia="Arial" w:hAnsi="Arial"/>
                <w:sz w:val="18"/>
                <w:szCs w:val="18"/>
                <w:color w:val="231F20"/>
                <w:w w:val="92"/>
              </w:rPr>
              <w:t>5/31/2021</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231F20"/>
            </w:tcBorders>
            <w:shd w:val="clear" w:color="auto" w:fill="CCEEFF"/>
          </w:tcPr>
          <w:p>
            <w:pPr>
              <w:jc w:val="center"/>
              <w:spacing w:after="0"/>
              <w:rPr>
                <w:sz w:val="20"/>
                <w:szCs w:val="20"/>
                <w:color w:val="auto"/>
              </w:rPr>
            </w:pPr>
            <w:r>
              <w:rPr>
                <w:rFonts w:ascii="Arial" w:cs="Arial" w:eastAsia="Arial" w:hAnsi="Arial"/>
                <w:sz w:val="18"/>
                <w:szCs w:val="18"/>
                <w:color w:val="231F20"/>
                <w:w w:val="89"/>
              </w:rPr>
              <w:t>Office Space</w:t>
            </w: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231F20"/>
              </w:rPr>
              <w:t>Jersey City, New Jersey</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231F20"/>
              </w:rPr>
              <w:t>65,242</w:t>
            </w:r>
          </w:p>
        </w:tc>
        <w:tc>
          <w:tcPr>
            <w:tcW w:w="160" w:type="dxa"/>
            <w:vAlign w:val="bottom"/>
          </w:tcPr>
          <w:p>
            <w:pPr>
              <w:spacing w:after="0"/>
              <w:rPr>
                <w:sz w:val="17"/>
                <w:szCs w:val="17"/>
                <w:color w:val="auto"/>
              </w:rPr>
            </w:pPr>
          </w:p>
        </w:tc>
        <w:tc>
          <w:tcPr>
            <w:tcW w:w="1620" w:type="dxa"/>
            <w:vAlign w:val="bottom"/>
          </w:tcPr>
          <w:p>
            <w:pPr>
              <w:jc w:val="center"/>
              <w:spacing w:after="0" w:line="201" w:lineRule="exact"/>
              <w:rPr>
                <w:sz w:val="20"/>
                <w:szCs w:val="20"/>
                <w:color w:val="auto"/>
              </w:rPr>
            </w:pPr>
            <w:r>
              <w:rPr>
                <w:rFonts w:ascii="Arial" w:cs="Arial" w:eastAsia="Arial" w:hAnsi="Arial"/>
                <w:sz w:val="18"/>
                <w:szCs w:val="18"/>
                <w:color w:val="231F20"/>
                <w:w w:val="90"/>
              </w:rPr>
              <w:t>12/31/2027</w:t>
            </w:r>
          </w:p>
        </w:tc>
        <w:tc>
          <w:tcPr>
            <w:tcW w:w="18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231F20"/>
                <w:w w:val="89"/>
              </w:rPr>
              <w:t>Office Space</w:t>
            </w:r>
          </w:p>
        </w:tc>
      </w:tr>
      <w:tr>
        <w:trPr>
          <w:trHeight w:val="224"/>
        </w:trPr>
        <w:tc>
          <w:tcPr>
            <w:tcW w:w="4820" w:type="dxa"/>
            <w:vAlign w:val="bottom"/>
            <w:gridSpan w:val="2"/>
          </w:tcPr>
          <w:p>
            <w:pPr>
              <w:spacing w:after="0"/>
              <w:rPr>
                <w:sz w:val="20"/>
                <w:szCs w:val="20"/>
                <w:color w:val="auto"/>
              </w:rPr>
            </w:pPr>
            <w:r>
              <w:rPr>
                <w:rFonts w:ascii="Arial" w:cs="Arial" w:eastAsia="Arial" w:hAnsi="Arial"/>
                <w:sz w:val="18"/>
                <w:szCs w:val="18"/>
                <w:color w:val="231F20"/>
              </w:rPr>
              <w:t>London, United Kingdom</w:t>
            </w:r>
          </w:p>
        </w:tc>
        <w:tc>
          <w:tcPr>
            <w:tcW w:w="1160" w:type="dxa"/>
            <w:vAlign w:val="bottom"/>
          </w:tcPr>
          <w:p>
            <w:pPr>
              <w:jc w:val="right"/>
              <w:spacing w:after="0"/>
              <w:rPr>
                <w:sz w:val="20"/>
                <w:szCs w:val="20"/>
                <w:color w:val="auto"/>
              </w:rPr>
            </w:pPr>
            <w:r>
              <w:rPr>
                <w:rFonts w:ascii="Arial" w:cs="Arial" w:eastAsia="Arial" w:hAnsi="Arial"/>
                <w:sz w:val="18"/>
                <w:szCs w:val="18"/>
                <w:color w:val="231F20"/>
              </w:rPr>
              <w:t>16,259</w:t>
            </w:r>
          </w:p>
        </w:tc>
        <w:tc>
          <w:tcPr>
            <w:tcW w:w="1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231F20"/>
                <w:w w:val="92"/>
              </w:rPr>
              <w:t>9/30/2024</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231F20"/>
                <w:w w:val="89"/>
              </w:rPr>
              <w:t>Office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575437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660" w:right="120" w:hanging="333"/>
        <w:spacing w:after="0" w:line="237"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currently anticipate that in 2020 we will likely enter into a new lease to increase the size of our corporate headquarters in or near New York, New York, which may result in increased operating expenses.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also lease offices in Los Angeles, California, Boca Raton, Florida, Chicago, Illinois and Garden City, New York.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Through a shared services agreement with Refinitiv, we lease office space in Amsterdam, Netherlands.</w:t>
      </w:r>
    </w:p>
    <w:p>
      <w:pPr>
        <w:spacing w:after="0" w:line="211"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color w:val="auto"/>
        </w:rPr>
        <w:t>Our infrastructure operates out of third-party data centers in Secaucus, New Jersey, Weehawken, New Jersey, Piscataway, New Jersey, Chicago, Illinois and Elk Grove, Illinois and, outside the United States, in Hounslow, United Kingdom, Slough, United Kingdom, Saitama, Japan and Tokyo, Japan.</w:t>
      </w:r>
    </w:p>
    <w:p>
      <w:pPr>
        <w:spacing w:after="0" w:line="181"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reputational loss and other factors.</w:t>
      </w:r>
    </w:p>
    <w:p>
      <w:pPr>
        <w:spacing w:after="0" w:line="183"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231F20"/>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IDC Matter</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 xml:space="preserve">In September 2015, IDC Financial Publishing, Inc. (“IDC”) filed a lawsuit in the United States District Court for the Eastern District of Wisconsin against BondDesk Group LLC and Tradeweb Markets LLC (together, the “Tradeweb Parties”), and Fidelity Global Brokerage Group, Inc., Fidelity Brokerage Services, LLC, and National Financial Services, LLC (collectively, “Fidelity”), captioned </w:t>
      </w:r>
      <w:r>
        <w:rPr>
          <w:rFonts w:ascii="Arial" w:cs="Arial" w:eastAsia="Arial" w:hAnsi="Arial"/>
          <w:sz w:val="16"/>
          <w:szCs w:val="16"/>
          <w:i w:val="1"/>
          <w:iCs w:val="1"/>
          <w:color w:val="auto"/>
        </w:rPr>
        <w:t>IDC Financial Publishing Inc. v. BondDesk Group LLC, et al.</w:t>
      </w:r>
      <w:r>
        <w:rPr>
          <w:rFonts w:ascii="Arial" w:cs="Arial" w:eastAsia="Arial" w:hAnsi="Arial"/>
          <w:sz w:val="16"/>
          <w:szCs w:val="16"/>
          <w:color w:val="auto"/>
        </w:rPr>
        <w:t>, Case No. 2:15-cv-01085-PP, relating to the distribution of IDC’s financial strength ratings over Tradeweb’s trading platform to Fidelity, its registered investment advisors and Fidelity’s correspondent banks. IDC alleges that while certain business units of Fidelity were licensed to receive its data via Tradeweb’s platform, the IDC data was also distributed without authorization to Fidelity’s institutional customers for approximately five years. The complaint, as amended, asserts claims for breach of contract and intentional misrepresentation against all of the defendants (as well as a claim of tortious interference with contract against Fidelity). IDC claims to have suffered approximately $80 million in damages and also seeks punitive damages, attorneys’ fees and costs. The defendants answered the complaint denying the claims and asserting various affirmative defenses.</w:t>
      </w:r>
    </w:p>
    <w:p>
      <w:pPr>
        <w:spacing w:after="0" w:line="17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Tradeweb Parties and Fidelity moved for summary judgment dismissing IDC’s claims and rejecting its damage theory as speculative and contrary to the evidence, and IDC sought partial summary judgment dismissing several of the Tradeweb Parties’ and Fidelity’s affirmative defenses. The Court held oral argument on those motions, and in September 2019, the Court granted in part and denied in part the motions for summary judgment filed by Tradeweb and its Fidelity co-defendants, dismissing the breach of contract claims against both Tradeweb and Fidelity, but allowing the misrepresentation claims against both sets of defendants to move forward. The Court also rejected IDC’s damages theory on which it relied to support its claims for approximately $80 million in damages for its breach of contract claim. The defendants are still challenging with pre-trial motions whether IDC’s $80 million damage theory is viable with respect to its tort claims, and IDC has in parallel offered an alternative theory quantifying its damages at $4 million to $8 million, which it will pursue if the $80 million theory is disallowed. The matter is now scheduled for trial in October 2020 with respect to the tort claims that survived. We intend to continue to vigorously defend what we believe to be meritless claims.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Treasuries Matter</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Arial" w:cs="Arial" w:eastAsia="Arial" w:hAnsi="Arial"/>
          <w:sz w:val="17"/>
          <w:szCs w:val="17"/>
          <w:i w:val="1"/>
          <w:iCs w:val="1"/>
          <w:color w:val="auto"/>
        </w:rPr>
        <w:t>In re Treasuries Securities Auction Antitrust</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w:t>
      </w:r>
      <w:r>
        <w:rPr>
          <w:rFonts w:ascii="Arial" w:cs="Arial" w:eastAsia="Arial" w:hAnsi="Arial"/>
          <w:sz w:val="17"/>
          <w:szCs w:val="17"/>
          <w:color w:val="auto"/>
        </w:rPr>
        <w:t>, No. 1:15-md-2673 (S.D.N.Y.) (PGG). In November 2017, the plaintiffs in these consolidated actions filed a</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 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18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158"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Defendants filed motions to dismiss in February 2018, including a separate motion to dismiss filed by the Tradeweb Parties. The motions to dismiss are pending. We believe that we have meritorious defenses to the claims set forth in the complaint and intend to continue to vigorously defend our position</w:t>
      </w:r>
      <w:r>
        <w:rPr>
          <w:rFonts w:ascii="Arial" w:cs="Arial" w:eastAsia="Arial" w:hAnsi="Arial"/>
          <w:sz w:val="18"/>
          <w:szCs w:val="18"/>
          <w:color w:val="231F20"/>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Swaps Matter</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Arial" w:cs="Arial" w:eastAsia="Arial" w:hAnsi="Arial"/>
          <w:sz w:val="18"/>
          <w:szCs w:val="18"/>
          <w:i w:val="1"/>
          <w:iCs w:val="1"/>
          <w:color w:val="auto"/>
        </w:rPr>
        <w:t>Public School Teachers’ Pension and Retirement Fund of Chicago v.</w:t>
      </w:r>
      <w:r>
        <w:rPr>
          <w:rFonts w:ascii="Arial" w:cs="Arial" w:eastAsia="Arial" w:hAnsi="Arial"/>
          <w:sz w:val="18"/>
          <w:szCs w:val="18"/>
          <w:color w:val="auto"/>
        </w:rPr>
        <w:t xml:space="preserve"> </w:t>
      </w:r>
      <w:r>
        <w:rPr>
          <w:rFonts w:ascii="Arial" w:cs="Arial" w:eastAsia="Arial" w:hAnsi="Arial"/>
          <w:sz w:val="18"/>
          <w:szCs w:val="18"/>
          <w:i w:val="1"/>
          <w:iCs w:val="1"/>
          <w:color w:val="auto"/>
        </w:rPr>
        <w:t>Bank of America Corporation</w:t>
      </w:r>
      <w:r>
        <w:rPr>
          <w:rFonts w:ascii="Arial" w:cs="Arial" w:eastAsia="Arial" w:hAnsi="Arial"/>
          <w:sz w:val="18"/>
          <w:szCs w:val="18"/>
          <w:color w:val="auto"/>
        </w:rPr>
        <w:t>, Case No. 15-cv-09219 (S.D.N.Y.). Additional plaintiffs, including Tera Group Inc. and Javelin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Capital Markets LLC, filed lawsuits and, ultimately, the cases were consolidated under the caption </w:t>
      </w:r>
      <w:r>
        <w:rPr>
          <w:rFonts w:ascii="Arial" w:cs="Arial" w:eastAsia="Arial" w:hAnsi="Arial"/>
          <w:sz w:val="18"/>
          <w:szCs w:val="18"/>
          <w:i w:val="1"/>
          <w:iCs w:val="1"/>
          <w:color w:val="auto"/>
        </w:rPr>
        <w:t>In re Interest Rate Swaps</w:t>
      </w:r>
      <w:r>
        <w:rPr>
          <w:rFonts w:ascii="Arial" w:cs="Arial" w:eastAsia="Arial" w:hAnsi="Arial"/>
          <w:sz w:val="18"/>
          <w:szCs w:val="18"/>
          <w:color w:val="auto"/>
        </w:rPr>
        <w:t xml:space="preserve"> </w:t>
      </w:r>
      <w:r>
        <w:rPr>
          <w:rFonts w:ascii="Arial" w:cs="Arial" w:eastAsia="Arial" w:hAnsi="Arial"/>
          <w:sz w:val="18"/>
          <w:szCs w:val="18"/>
          <w:i w:val="1"/>
          <w:iCs w:val="1"/>
          <w:color w:val="auto"/>
        </w:rPr>
        <w:t>Antitrust Litigation</w:t>
      </w:r>
      <w:r>
        <w:rPr>
          <w:rFonts w:ascii="Arial" w:cs="Arial" w:eastAsia="Arial" w:hAnsi="Arial"/>
          <w:sz w:val="18"/>
          <w:szCs w:val="18"/>
          <w:color w:val="auto"/>
        </w:rPr>
        <w:t>, No. 1:16-md-2704.</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188"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was actively engaged in third-party discovery and responded to the parties’ data and document requests. Additionally, in June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Our Class A common stock trades on the Nasdaq Global Select Market under the ticker symbol “TW.” There is no established public trading market for our Class B common stock, Class C common stock or Class D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of December 31, 2019, there is one holder of record of our Class A common stock, Cede &amp; Co., a nominee for The Depository Trust Company, one holder of record of our Class B common stock, two holders of record of our Class C common stock and 29 holders of record of our Class D common stock. A substantially greater number of holders of our Class A common stock are “street name” or beneficial owners, whose shares of Class A common stock are held of record by banks, brokerage firms and other financial institutions. Shares of Class A common stock held by banks, brokerage firms and other financial institutions as nominees for beneficial owners is considered to be held of record by Cede &amp; Co., who is considered to be one holder of record.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Subject to legally available funds, we intend to continue to pay quarterly cash dividends on our Class A common stock and Class B common stock equal to $0.08 per share.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 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Revolving Credit Facility or any future credit agreement or any future debt or preferred equity securities of Tradeweb or its subsidiaries.</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88"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See Part I, Item 1A. – “Risk Factors — Risks Relating to the Company and Our Organizational Structure — Our principal asset is our equity interest in TWM LLC, and, accordingly, we depend on distributions from TWM LLC to pay our taxes and expenses, including payments under the Tax Receivable Agreement” and Part I, Item 1A. – “Risk Factors — Risks Relating to Ownership of our Class A Common Stock — We intend to continue to pay regular dividends on our Class A common stock and Class B common stock, but our ability to do so may be limited.”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June, September and December 2019, Tradeweb Markets Inc. paid quarterly cash dividends to the holders of Class A common stock and Class B common stock in aggregate amounts of $11.4 million, $11.4 million and $13.1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provides information about shares of Class A common stock authorized for issuance under all of our equity compensation plans as of December 31,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380" w:type="dxa"/>
            <w:vAlign w:val="bottom"/>
            <w:gridSpan w:val="2"/>
          </w:tcPr>
          <w:p>
            <w:pPr>
              <w:jc w:val="center"/>
              <w:ind w:right="55"/>
              <w:spacing w:after="0"/>
              <w:rPr>
                <w:sz w:val="20"/>
                <w:szCs w:val="20"/>
                <w:color w:val="auto"/>
              </w:rPr>
            </w:pPr>
            <w:r>
              <w:rPr>
                <w:rFonts w:ascii="Arial" w:cs="Arial" w:eastAsia="Arial" w:hAnsi="Arial"/>
                <w:sz w:val="14"/>
                <w:szCs w:val="14"/>
                <w:b w:val="1"/>
                <w:bCs w:val="1"/>
                <w:color w:val="auto"/>
                <w:w w:val="91"/>
              </w:rPr>
              <w:t>Number of securities</w:t>
            </w: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380" w:type="dxa"/>
            <w:vAlign w:val="bottom"/>
            <w:gridSpan w:val="2"/>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960" w:type="dxa"/>
            <w:vAlign w:val="bottom"/>
            <w:gridSpan w:val="2"/>
            <w:vMerge w:val="restart"/>
          </w:tcPr>
          <w:p>
            <w:pPr>
              <w:jc w:val="center"/>
              <w:ind w:right="135"/>
              <w:spacing w:after="0"/>
              <w:rPr>
                <w:sz w:val="20"/>
                <w:szCs w:val="20"/>
                <w:color w:val="auto"/>
              </w:rPr>
            </w:pPr>
            <w:r>
              <w:rPr>
                <w:rFonts w:ascii="Arial" w:cs="Arial" w:eastAsia="Arial" w:hAnsi="Arial"/>
                <w:sz w:val="14"/>
                <w:szCs w:val="14"/>
                <w:b w:val="1"/>
                <w:bCs w:val="1"/>
                <w:color w:val="auto"/>
                <w:w w:val="92"/>
              </w:rPr>
              <w:t>Number of securities remaining available for</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380" w:type="dxa"/>
            <w:vAlign w:val="bottom"/>
            <w:gridSpan w:val="2"/>
          </w:tcPr>
          <w:p>
            <w:pPr>
              <w:jc w:val="center"/>
              <w:ind w:right="75"/>
              <w:spacing w:after="0" w:line="149" w:lineRule="exact"/>
              <w:rPr>
                <w:sz w:val="20"/>
                <w:szCs w:val="20"/>
                <w:color w:val="auto"/>
              </w:rPr>
            </w:pPr>
            <w:r>
              <w:rPr>
                <w:rFonts w:ascii="Arial" w:cs="Arial" w:eastAsia="Arial" w:hAnsi="Arial"/>
                <w:sz w:val="14"/>
                <w:szCs w:val="14"/>
                <w:b w:val="1"/>
                <w:bCs w:val="1"/>
                <w:color w:val="auto"/>
                <w:w w:val="87"/>
              </w:rPr>
              <w:t>be issued upon</w:t>
            </w:r>
          </w:p>
        </w:tc>
        <w:tc>
          <w:tcPr>
            <w:tcW w:w="12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380" w:type="dxa"/>
            <w:vAlign w:val="bottom"/>
            <w:gridSpan w:val="2"/>
          </w:tcPr>
          <w:p>
            <w:pPr>
              <w:jc w:val="center"/>
              <w:ind w:right="55"/>
              <w:spacing w:after="0" w:line="149" w:lineRule="exact"/>
              <w:rPr>
                <w:sz w:val="20"/>
                <w:szCs w:val="20"/>
                <w:color w:val="auto"/>
              </w:rPr>
            </w:pPr>
            <w:r>
              <w:rPr>
                <w:rFonts w:ascii="Arial" w:cs="Arial" w:eastAsia="Arial" w:hAnsi="Arial"/>
                <w:sz w:val="14"/>
                <w:szCs w:val="14"/>
                <w:b w:val="1"/>
                <w:bCs w:val="1"/>
                <w:color w:val="auto"/>
                <w:w w:val="85"/>
              </w:rPr>
              <w:t>exercise</w:t>
            </w:r>
          </w:p>
        </w:tc>
        <w:tc>
          <w:tcPr>
            <w:tcW w:w="10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960" w:type="dxa"/>
            <w:vAlign w:val="bottom"/>
            <w:gridSpan w:val="2"/>
          </w:tcPr>
          <w:p>
            <w:pPr>
              <w:jc w:val="center"/>
              <w:ind w:right="135"/>
              <w:spacing w:after="0" w:line="149" w:lineRule="exact"/>
              <w:rPr>
                <w:sz w:val="20"/>
                <w:szCs w:val="20"/>
                <w:color w:val="auto"/>
              </w:rPr>
            </w:pPr>
            <w:r>
              <w:rPr>
                <w:rFonts w:ascii="Arial" w:cs="Arial" w:eastAsia="Arial" w:hAnsi="Arial"/>
                <w:sz w:val="14"/>
                <w:szCs w:val="14"/>
                <w:b w:val="1"/>
                <w:bCs w:val="1"/>
                <w:color w:val="auto"/>
                <w:w w:val="95"/>
              </w:rPr>
              <w:t>future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380" w:type="dxa"/>
            <w:vAlign w:val="bottom"/>
            <w:gridSpan w:val="2"/>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of outstanding</w:t>
            </w:r>
          </w:p>
        </w:tc>
        <w:tc>
          <w:tcPr>
            <w:tcW w:w="10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options,</w:t>
            </w:r>
          </w:p>
        </w:tc>
        <w:tc>
          <w:tcPr>
            <w:tcW w:w="2960" w:type="dxa"/>
            <w:vAlign w:val="bottom"/>
            <w:gridSpan w:val="2"/>
          </w:tcPr>
          <w:p>
            <w:pPr>
              <w:jc w:val="center"/>
              <w:ind w:right="135"/>
              <w:spacing w:after="0" w:line="149" w:lineRule="exact"/>
              <w:rPr>
                <w:sz w:val="20"/>
                <w:szCs w:val="20"/>
                <w:color w:val="auto"/>
              </w:rPr>
            </w:pPr>
            <w:r>
              <w:rPr>
                <w:rFonts w:ascii="Arial" w:cs="Arial" w:eastAsia="Arial" w:hAnsi="Arial"/>
                <w:sz w:val="14"/>
                <w:szCs w:val="14"/>
                <w:b w:val="1"/>
                <w:bCs w:val="1"/>
                <w:color w:val="auto"/>
                <w:w w:val="89"/>
              </w:rPr>
              <w:t>issuance under equity compensation plans</w:t>
            </w:r>
          </w:p>
        </w:tc>
        <w:tc>
          <w:tcPr>
            <w:tcW w:w="0" w:type="dxa"/>
            <w:vAlign w:val="bottom"/>
          </w:tcPr>
          <w:p>
            <w:pPr>
              <w:spacing w:after="0"/>
              <w:rPr>
                <w:sz w:val="1"/>
                <w:szCs w:val="1"/>
                <w:color w:val="auto"/>
              </w:rPr>
            </w:pPr>
          </w:p>
        </w:tc>
      </w:tr>
      <w:tr>
        <w:trPr>
          <w:trHeight w:val="153"/>
        </w:trPr>
        <w:tc>
          <w:tcPr>
            <w:tcW w:w="3480" w:type="dxa"/>
            <w:vAlign w:val="bottom"/>
          </w:tcPr>
          <w:p>
            <w:pPr>
              <w:spacing w:after="0"/>
              <w:rPr>
                <w:sz w:val="13"/>
                <w:szCs w:val="13"/>
                <w:color w:val="auto"/>
              </w:rPr>
            </w:pPr>
          </w:p>
        </w:tc>
        <w:tc>
          <w:tcPr>
            <w:tcW w:w="1380" w:type="dxa"/>
            <w:vAlign w:val="bottom"/>
            <w:gridSpan w:val="2"/>
          </w:tcPr>
          <w:p>
            <w:pPr>
              <w:jc w:val="center"/>
              <w:ind w:right="55"/>
              <w:spacing w:after="0" w:line="153" w:lineRule="exact"/>
              <w:rPr>
                <w:sz w:val="20"/>
                <w:szCs w:val="20"/>
                <w:color w:val="auto"/>
              </w:rPr>
            </w:pPr>
            <w:r>
              <w:rPr>
                <w:rFonts w:ascii="Arial" w:cs="Arial" w:eastAsia="Arial" w:hAnsi="Arial"/>
                <w:sz w:val="14"/>
                <w:szCs w:val="14"/>
                <w:b w:val="1"/>
                <w:bCs w:val="1"/>
                <w:color w:val="auto"/>
                <w:w w:val="88"/>
              </w:rPr>
              <w:t>options,</w:t>
            </w:r>
          </w:p>
        </w:tc>
        <w:tc>
          <w:tcPr>
            <w:tcW w:w="100" w:type="dxa"/>
            <w:vAlign w:val="bottom"/>
          </w:tcPr>
          <w:p>
            <w:pPr>
              <w:spacing w:after="0"/>
              <w:rPr>
                <w:sz w:val="13"/>
                <w:szCs w:val="13"/>
                <w:color w:val="auto"/>
              </w:rPr>
            </w:pPr>
          </w:p>
        </w:tc>
        <w:tc>
          <w:tcPr>
            <w:tcW w:w="114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warrants and</w:t>
            </w:r>
          </w:p>
        </w:tc>
        <w:tc>
          <w:tcPr>
            <w:tcW w:w="2960" w:type="dxa"/>
            <w:vAlign w:val="bottom"/>
            <w:gridSpan w:val="2"/>
          </w:tcPr>
          <w:p>
            <w:pPr>
              <w:jc w:val="center"/>
              <w:ind w:right="115"/>
              <w:spacing w:after="0" w:line="153"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80" w:type="dxa"/>
            <w:vAlign w:val="bottom"/>
            <w:gridSpan w:val="2"/>
          </w:tcPr>
          <w:p>
            <w:pPr>
              <w:jc w:val="right"/>
              <w:ind w:right="115"/>
              <w:spacing w:after="0" w:line="149" w:lineRule="exact"/>
              <w:rPr>
                <w:sz w:val="20"/>
                <w:szCs w:val="20"/>
                <w:color w:val="auto"/>
              </w:rPr>
            </w:pPr>
            <w:r>
              <w:rPr>
                <w:rFonts w:ascii="Arial" w:cs="Arial" w:eastAsia="Arial" w:hAnsi="Arial"/>
                <w:sz w:val="14"/>
                <w:szCs w:val="14"/>
                <w:b w:val="1"/>
                <w:bCs w:val="1"/>
                <w:color w:val="auto"/>
                <w:w w:val="92"/>
              </w:rPr>
              <w:t>warrants and rights</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rights</w:t>
            </w:r>
          </w:p>
        </w:tc>
        <w:tc>
          <w:tcPr>
            <w:tcW w:w="2960" w:type="dxa"/>
            <w:vAlign w:val="bottom"/>
            <w:gridSpan w:val="2"/>
          </w:tcPr>
          <w:p>
            <w:pPr>
              <w:jc w:val="center"/>
              <w:ind w:right="135"/>
              <w:spacing w:after="0" w:line="149" w:lineRule="exact"/>
              <w:rPr>
                <w:sz w:val="20"/>
                <w:szCs w:val="20"/>
                <w:color w:val="auto"/>
              </w:rPr>
            </w:pPr>
            <w:r>
              <w:rPr>
                <w:rFonts w:ascii="Arial" w:cs="Arial" w:eastAsia="Arial" w:hAnsi="Arial"/>
                <w:sz w:val="14"/>
                <w:szCs w:val="14"/>
                <w:b w:val="1"/>
                <w:bCs w:val="1"/>
                <w:color w:val="auto"/>
                <w:w w:val="92"/>
              </w:rPr>
              <w:t>securities reflected in column (a))</w:t>
            </w:r>
          </w:p>
        </w:tc>
        <w:tc>
          <w:tcPr>
            <w:tcW w:w="0" w:type="dxa"/>
            <w:vAlign w:val="bottom"/>
          </w:tcPr>
          <w:p>
            <w:pPr>
              <w:spacing w:after="0"/>
              <w:rPr>
                <w:sz w:val="1"/>
                <w:szCs w:val="1"/>
                <w:color w:val="auto"/>
              </w:rPr>
            </w:pPr>
          </w:p>
        </w:tc>
      </w:tr>
      <w:tr>
        <w:trPr>
          <w:trHeight w:val="171"/>
        </w:trPr>
        <w:tc>
          <w:tcPr>
            <w:tcW w:w="3480" w:type="dxa"/>
            <w:vAlign w:val="bottom"/>
            <w:vMerge w:val="continue"/>
          </w:tcPr>
          <w:p>
            <w:pPr>
              <w:spacing w:after="0"/>
              <w:rPr>
                <w:sz w:val="14"/>
                <w:szCs w:val="14"/>
                <w:color w:val="auto"/>
              </w:rPr>
            </w:pPr>
          </w:p>
        </w:tc>
        <w:tc>
          <w:tcPr>
            <w:tcW w:w="1380" w:type="dxa"/>
            <w:vAlign w:val="bottom"/>
            <w:gridSpan w:val="2"/>
          </w:tcPr>
          <w:p>
            <w:pPr>
              <w:jc w:val="center"/>
              <w:ind w:right="55"/>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(b)</w:t>
            </w:r>
          </w:p>
        </w:tc>
        <w:tc>
          <w:tcPr>
            <w:tcW w:w="2960" w:type="dxa"/>
            <w:vAlign w:val="bottom"/>
            <w:gridSpan w:val="2"/>
          </w:tcPr>
          <w:p>
            <w:pPr>
              <w:jc w:val="center"/>
              <w:ind w:right="115"/>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2"/>
        </w:trPr>
        <w:tc>
          <w:tcPr>
            <w:tcW w:w="3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w w:val="98"/>
              </w:rPr>
              <w:t>Equity compensation plans approved by security holders</w:t>
            </w:r>
          </w:p>
        </w:tc>
        <w:tc>
          <w:tcPr>
            <w:tcW w:w="1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21,301,477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2"/>
              </w:rPr>
              <w:t>(1)</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21.61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2"/>
              </w:rPr>
              <w:t>(2)</w:t>
            </w:r>
          </w:p>
        </w:tc>
        <w:tc>
          <w:tcPr>
            <w:tcW w:w="40" w:type="dxa"/>
            <w:vAlign w:val="bottom"/>
            <w:tcBorders>
              <w:top w:val="single" w:sz="8" w:color="auto"/>
            </w:tcBorders>
            <w:shd w:val="clear" w:color="auto" w:fill="CCEEFF"/>
          </w:tcPr>
          <w:p>
            <w:pPr>
              <w:spacing w:after="0"/>
              <w:rPr>
                <w:sz w:val="12"/>
                <w:szCs w:val="12"/>
                <w:color w:val="auto"/>
              </w:rPr>
            </w:pPr>
          </w:p>
        </w:tc>
        <w:tc>
          <w:tcPr>
            <w:tcW w:w="2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9,312,374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2"/>
              </w:rPr>
              <w:t>(3)</w:t>
            </w:r>
          </w:p>
        </w:tc>
        <w:tc>
          <w:tcPr>
            <w:tcW w:w="0" w:type="dxa"/>
            <w:vAlign w:val="bottom"/>
          </w:tcPr>
          <w:p>
            <w:pPr>
              <w:spacing w:after="0"/>
              <w:rPr>
                <w:sz w:val="1"/>
                <w:szCs w:val="1"/>
                <w:color w:val="auto"/>
              </w:rPr>
            </w:pPr>
          </w:p>
        </w:tc>
      </w:tr>
      <w:tr>
        <w:trPr>
          <w:trHeight w:val="130"/>
        </w:trPr>
        <w:tc>
          <w:tcPr>
            <w:tcW w:w="3480" w:type="dxa"/>
            <w:vAlign w:val="bottom"/>
          </w:tcPr>
          <w:p>
            <w:pPr>
              <w:spacing w:after="0" w:line="130" w:lineRule="exact"/>
              <w:rPr>
                <w:sz w:val="20"/>
                <w:szCs w:val="20"/>
                <w:color w:val="auto"/>
              </w:rPr>
            </w:pPr>
            <w:r>
              <w:rPr>
                <w:rFonts w:ascii="Arial" w:cs="Arial" w:eastAsia="Arial" w:hAnsi="Arial"/>
                <w:sz w:val="14"/>
                <w:szCs w:val="14"/>
                <w:color w:val="auto"/>
              </w:rPr>
              <w:t>Equity compensation plans not approved by security</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holders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12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21,301,477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9,312,374</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-8255</wp:posOffset>
            </wp:positionV>
            <wp:extent cx="345630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56305" cy="17145"/>
                    </a:xfrm>
                    <a:prstGeom prst="rect">
                      <a:avLst/>
                    </a:prstGeom>
                    <a:noFill/>
                  </pic:spPr>
                </pic:pic>
              </a:graphicData>
            </a:graphic>
          </wp:anchor>
        </w:drawing>
      </w:r>
    </w:p>
    <w:p>
      <w:pPr>
        <w:ind w:left="660" w:right="60" w:hanging="333"/>
        <w:spacing w:after="0" w:line="242" w:lineRule="auto"/>
        <w:tabs>
          <w:tab w:leader="none" w:pos="6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Includes 11,112 shares of common stock that may be issued pursuant to outstanding restricted stock units (“RSUs”) under the Tradeweb Markets Inc. 2019 Omnibus Equity Incentive Plan; 17,775,944 shares of common stock that may be issued pursuant to outstanding stock options under the Amended and Restated Tradeweb Markets Inc. 2018 Share Option Plan; and 3,514,421 shares of common stock that may be issued pursuant to outstanding performance-based restricted share units (“PRSUs”) under the Amended and Restated Tradeweb Markets Inc. PRSU Plan. The number of PRSUs set forth above includes 1,976,569 PRSUs for which performance has already been measured but, as of December 31, 2019, remain subject to time-based vesting and 1,537,852 PRSUs for which performance has not yet been measured and have been included for this purpose at the potential maximum payout level.</w:t>
      </w:r>
    </w:p>
    <w:p>
      <w:pPr>
        <w:spacing w:after="0" w:line="109" w:lineRule="exact"/>
        <w:rPr>
          <w:rFonts w:ascii="Arial" w:cs="Arial" w:eastAsia="Arial" w:hAnsi="Arial"/>
          <w:sz w:val="12"/>
          <w:szCs w:val="12"/>
          <w:color w:val="auto"/>
        </w:rPr>
      </w:pPr>
    </w:p>
    <w:p>
      <w:pPr>
        <w:ind w:left="660" w:hanging="333"/>
        <w:spacing w:after="0"/>
        <w:tabs>
          <w:tab w:leader="none" w:pos="6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weighted average exercise price does not take into account RSU or PRSU awards.</w:t>
      </w:r>
    </w:p>
    <w:p>
      <w:pPr>
        <w:spacing w:after="0" w:line="120" w:lineRule="exact"/>
        <w:rPr>
          <w:rFonts w:ascii="Arial" w:cs="Arial" w:eastAsia="Arial" w:hAnsi="Arial"/>
          <w:sz w:val="13"/>
          <w:szCs w:val="13"/>
          <w:color w:val="auto"/>
        </w:rPr>
      </w:pPr>
    </w:p>
    <w:p>
      <w:pPr>
        <w:ind w:left="660" w:right="180" w:hanging="333"/>
        <w:spacing w:after="0" w:line="254" w:lineRule="auto"/>
        <w:tabs>
          <w:tab w:leader="none" w:pos="6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Includes 8,830,752 shares of common stock that remain available for issuance under the Tradeweb Markets Inc. 2019 Omnibus Equity Incentive Plan; and 481,622 shares of common stock that remain available for issuance under the Amended and Restated Tradeweb Markets Inc. 2018 Share Option Plan. As of December 31, 2019, no additional awards were permitted to be issued under the Amended and Restated Tradeweb Markets Inc. PRSU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connection with the Reorganization Transactions, Tradeweb Markets Inc., among other things, issued an aggregate of 96,933,192 shares of Class B common stock to Refinitiv Parent Limited. In addition, in connection with the Reorganization Transactions, Tradeweb Markets Inc. issued 20,000,000 shares of Class C common stock and 105,289,005 shares of Class D common stock to the Continuing LLC Owners. These equityholders also received 125,289,005 LLC Interests and an immaterial amount of cash in lieu of the issuance of any fractional interests. Holders of Class B common stock may from time to time exchange all or a portion of their shares of Class B common stock for newly issued shares of Class A common stock on a one-for-one basis. In addition, the LLC Interests are redeemable for newly issued shares of Class A common stock or Class B common stock on a one-for-one basis. For further information, see Note 1 –Organization and Note 11 – Stockholders’ Equity to our audited consolidated financial statements included elsewhere in this Annual Report on Form 10-K. The issuances of the Class B common stock, Class C common stock and Class D common stock described in this paragraph were made in reliance on Section 4(a)(2) of the Securities Act. The Company relied on this exemption from registration based in part on the nature of the transactions and the various representations made by the parties thereto.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The following graph shows a comparison from April 4, 2019 (the date our Class A common stock commenced trading on Nasdaq) through December 31, 2019 of the cumulative total return for (i) our Class A common stock, (ii) the S&amp;P 500 Index and (iii) the Dow Jones U.S. Financials Index. The graph assumes an initial investment of $100 in our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Class A common stock and in each index on April 4, 2019, and that all dividends were reinvested. Historical stock price performance should not be relied upon as an indication of future stock price performance</w:t>
      </w: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117475</wp:posOffset>
            </wp:positionV>
            <wp:extent cx="4810760" cy="24009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1076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or Exchange Act, except to the extent that we specifically incorporate it by reference into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 and Affiliated Purchasers</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following table provides information regarding purchases of shares of our Class A common stock by us and our “affiliated purchasers” (as defined in Rule 10b-18(a)(3) under the Exchange Act) during the three months ended December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Average Price</w:t>
            </w: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Plans and</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Purchased</w:t>
            </w:r>
            <w:r>
              <w:rPr>
                <w:rFonts w:ascii="Arial" w:cs="Arial" w:eastAsia="Arial" w:hAnsi="Arial"/>
                <w:sz w:val="14"/>
                <w:szCs w:val="14"/>
                <w:b w:val="1"/>
                <w:bCs w:val="1"/>
                <w:color w:val="auto"/>
                <w:w w:val="86"/>
                <w:vertAlign w:val="superscript"/>
              </w:rPr>
              <w:t>(1)</w:t>
            </w:r>
          </w:p>
        </w:tc>
        <w:tc>
          <w:tcPr>
            <w:tcW w:w="140" w:type="dxa"/>
            <w:vAlign w:val="bottom"/>
          </w:tcPr>
          <w:p>
            <w:pPr>
              <w:spacing w:after="0"/>
              <w:rPr>
                <w:sz w:val="14"/>
                <w:szCs w:val="14"/>
                <w:color w:val="auto"/>
              </w:rPr>
            </w:pPr>
          </w:p>
        </w:tc>
        <w:tc>
          <w:tcPr>
            <w:tcW w:w="116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Paid Per Share</w:t>
            </w:r>
          </w:p>
        </w:tc>
        <w:tc>
          <w:tcPr>
            <w:tcW w:w="2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and Programs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2019 - October 31, 2019</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November 1, 2019 - November 30, 2019</w:t>
            </w:r>
          </w:p>
        </w:tc>
        <w:tc>
          <w:tcPr>
            <w:tcW w:w="1180" w:type="dxa"/>
            <w:vAlign w:val="bottom"/>
          </w:tcPr>
          <w:p>
            <w:pPr>
              <w:jc w:val="right"/>
              <w:spacing w:after="0"/>
              <w:rPr>
                <w:sz w:val="20"/>
                <w:szCs w:val="20"/>
                <w:color w:val="auto"/>
              </w:rPr>
            </w:pPr>
            <w:r>
              <w:rPr>
                <w:rFonts w:ascii="Arial" w:cs="Arial" w:eastAsia="Arial" w:hAnsi="Arial"/>
                <w:sz w:val="18"/>
                <w:szCs w:val="18"/>
                <w:color w:val="auto"/>
              </w:rPr>
              <w:t>17,476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40.74</w:t>
            </w:r>
          </w:p>
        </w:tc>
        <w:tc>
          <w:tcPr>
            <w:tcW w:w="200" w:type="dxa"/>
            <w:vAlign w:val="bottom"/>
          </w:tcPr>
          <w:p>
            <w:pPr>
              <w:spacing w:after="0"/>
              <w:rPr>
                <w:sz w:val="18"/>
                <w:szCs w:val="18"/>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2019 - December 31, 2019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45,393</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0" w:hanging="333"/>
        <w:spacing w:after="0" w:line="264" w:lineRule="auto"/>
        <w:tabs>
          <w:tab w:leader="none" w:pos="6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We used a portion of the net proceeds that we received from the October 2019 follow-on offering to purchase 45,393 shares of Class A common stock from certain of our executive officers (and canceled such shares of Class A common stock), at a purchase price per share equal to the public offering price per share of our Class A common stock, less the underwriting discounts and commissions payable thereon.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following tables present selected historical consolidated financial and other data for the periods indicated below. Tradeweb Markets LLC is the predecessor of the registrant, Tradeweb Markets Inc., for financial reporting purposes. Prior to the consummation of the Reorganization Transactions, Tradeweb Markets Inc. did not conduct any activities other than those incident to its formation and the IPO. As a result of the Reorganization Transactions completed in connection with the IPO, Tradeweb Markets Inc. became the sole manager of Tradeweb Markets LLC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whose only material assets consist of its equity interest in Tradeweb Markets LLC and related deferred tax assets. As a result, Tradeweb Markets Inc. consolidates the financial results of Tradeweb Markets LLC and its subsidiaries. Accordingly, the historical consolidated financial data presented below relating to periods prior to and including March 31, 2019 reflect the results of operations, financial position and cash flows of Tradeweb Markets LLC and its subsidiaries. The historical consolidated financial data presented below relating to periods beginning on April 1, 2019, and through and including December 31, 2019 reflect the results of operations, financial position and cash flows of Tradeweb Markets Inc. and its subsidiaries, including the consolidation of its investment in Tradeweb Markets LLC. See “Basis of Presentation.”</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selected consolidated statement of income data for the year ended December 31, 2019, the 2018 Successor Period, the 2018 Predecessor Period and the year ended December 31, 2017 and the selected consolidated statement of financial condition data as of December 31, 2019 and 2018 are derived from our audited consolidated financial statements included elsewhere in this Annual Report on Form 10-K. The selected consolidated statement of income data for the year ended December 31, 2016 and the selected consolidated statement of financial condition data as of December 31, 2017 and 2016 are derived from the audited consolidated financial statements of Tradeweb Markets LLC not included elsewhere in this Annual Report on Form 10-K.</w:t>
      </w:r>
    </w:p>
    <w:p>
      <w:pPr>
        <w:spacing w:after="0" w:line="17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As discussed elsewhere in this Annual Report on Form 10-K,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2019,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and Part II, Item 7. – “Management’s Discussion and Analysis of Financial Condition and Results of Operations — Effects of Pushdown Accounting on our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results of operations for the periods presented below are not necessarily indicative of the results to be expected for any future period. The information set forth below should be read together with “Basis of Presentation,” Part II, Item 7. – “Management’s Discussion and Analysis of Financial Condition and Results of Operations” and our audited consolidated financial statements and related notes thereto appearing elsewhere in this Annual Report on Form 10-K.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78"/>
              </w:rPr>
              <w:t>Successor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78"/>
              </w:rPr>
              <w:t>Successor</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4"/>
              </w:rPr>
              <w:t>Predecessor</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4"/>
              </w:rPr>
              <w:t>Predecessor</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4"/>
              </w:rPr>
              <w:t>Predecessor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center"/>
              <w:ind w:right="66"/>
              <w:spacing w:after="0" w:line="102" w:lineRule="exact"/>
              <w:rPr>
                <w:sz w:val="20"/>
                <w:szCs w:val="20"/>
                <w:color w:val="auto"/>
              </w:rPr>
            </w:pPr>
            <w:r>
              <w:rPr>
                <w:rFonts w:ascii="Arial" w:cs="Arial" w:eastAsia="Arial" w:hAnsi="Arial"/>
                <w:sz w:val="11"/>
                <w:szCs w:val="11"/>
                <w:b w:val="1"/>
                <w:bCs w:val="1"/>
                <w:color w:val="auto"/>
                <w:w w:val="89"/>
              </w:rPr>
              <w:t>Year Ended</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w w:val="88"/>
              </w:rPr>
              <w:t>October 1, 2018 to</w:t>
            </w:r>
          </w:p>
        </w:tc>
        <w:tc>
          <w:tcPr>
            <w:tcW w:w="2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88"/>
              </w:rPr>
              <w:t>January 1, 2018 to</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center"/>
              <w:ind w:right="46"/>
              <w:spacing w:after="0" w:line="102" w:lineRule="exact"/>
              <w:rPr>
                <w:sz w:val="20"/>
                <w:szCs w:val="20"/>
                <w:color w:val="auto"/>
              </w:rPr>
            </w:pPr>
            <w:r>
              <w:rPr>
                <w:rFonts w:ascii="Arial" w:cs="Arial" w:eastAsia="Arial" w:hAnsi="Arial"/>
                <w:sz w:val="11"/>
                <w:szCs w:val="11"/>
                <w:b w:val="1"/>
                <w:bCs w:val="1"/>
                <w:color w:val="auto"/>
                <w:w w:val="89"/>
              </w:rPr>
              <w:t>Year Ended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66"/>
              <w:spacing w:after="0" w:line="102" w:lineRule="exact"/>
              <w:rPr>
                <w:sz w:val="20"/>
                <w:szCs w:val="20"/>
                <w:color w:val="auto"/>
              </w:rPr>
            </w:pPr>
            <w:r>
              <w:rPr>
                <w:rFonts w:ascii="Arial" w:cs="Arial" w:eastAsia="Arial" w:hAnsi="Arial"/>
                <w:sz w:val="11"/>
                <w:szCs w:val="11"/>
                <w:b w:val="1"/>
                <w:bCs w:val="1"/>
                <w:color w:val="auto"/>
                <w:w w:val="89"/>
              </w:rPr>
              <w:t>Year Ended</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89"/>
              </w:rPr>
              <w:t>2019</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81"/>
              </w:rPr>
              <w:t>2018</w:t>
            </w:r>
          </w:p>
        </w:tc>
        <w:tc>
          <w:tcPr>
            <w:tcW w:w="2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2017</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89"/>
              </w:rPr>
              <w:t>2016</w:t>
            </w: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Statement of Income Data:</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40" w:type="dxa"/>
            <w:vAlign w:val="bottom"/>
            <w:gridSpan w:val="8"/>
            <w:shd w:val="clear" w:color="auto" w:fill="CCEEFF"/>
          </w:tcPr>
          <w:p>
            <w:pPr>
              <w:jc w:val="right"/>
              <w:ind w:right="426"/>
              <w:spacing w:after="0" w:line="115" w:lineRule="exact"/>
              <w:rPr>
                <w:sz w:val="20"/>
                <w:szCs w:val="20"/>
                <w:color w:val="auto"/>
              </w:rPr>
            </w:pPr>
            <w:r>
              <w:rPr>
                <w:rFonts w:ascii="Arial" w:cs="Arial" w:eastAsia="Arial" w:hAnsi="Arial"/>
                <w:sz w:val="11"/>
                <w:szCs w:val="11"/>
                <w:b w:val="1"/>
                <w:bCs w:val="1"/>
                <w:color w:val="auto"/>
              </w:rPr>
              <w:t>(in thousands, except share and per share amounts)</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60" w:type="dxa"/>
            <w:vAlign w:val="bottom"/>
            <w:gridSpan w:val="2"/>
          </w:tcPr>
          <w:p>
            <w:pPr>
              <w:spacing w:after="0" w:line="112" w:lineRule="exact"/>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160" w:type="dxa"/>
            <w:vAlign w:val="bottom"/>
            <w:gridSpan w:val="2"/>
          </w:tcPr>
          <w:p>
            <w:pPr>
              <w:ind w:left="100"/>
              <w:spacing w:after="0" w:line="106" w:lineRule="exact"/>
              <w:rPr>
                <w:sz w:val="20"/>
                <w:szCs w:val="20"/>
                <w:color w:val="auto"/>
              </w:rPr>
            </w:pPr>
            <w:r>
              <w:rPr>
                <w:rFonts w:ascii="Arial" w:cs="Arial" w:eastAsia="Arial" w:hAnsi="Arial"/>
                <w:sz w:val="11"/>
                <w:szCs w:val="11"/>
                <w:color w:val="auto"/>
              </w:rPr>
              <w:t>Transaction fees</w:t>
            </w:r>
          </w:p>
        </w:tc>
        <w:tc>
          <w:tcPr>
            <w:tcW w:w="220" w:type="dxa"/>
            <w:vAlign w:val="bottom"/>
            <w:gridSpan w:val="2"/>
          </w:tcPr>
          <w:p>
            <w:pPr>
              <w:jc w:val="right"/>
              <w:spacing w:after="0" w:line="106"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06" w:lineRule="exact"/>
              <w:rPr>
                <w:sz w:val="20"/>
                <w:szCs w:val="20"/>
                <w:color w:val="auto"/>
              </w:rPr>
            </w:pPr>
            <w:r>
              <w:rPr>
                <w:rFonts w:ascii="Arial" w:cs="Arial" w:eastAsia="Arial" w:hAnsi="Arial"/>
                <w:sz w:val="11"/>
                <w:szCs w:val="11"/>
                <w:color w:val="auto"/>
              </w:rPr>
              <w:t>423,583</w:t>
            </w:r>
          </w:p>
        </w:tc>
        <w:tc>
          <w:tcPr>
            <w:tcW w:w="160" w:type="dxa"/>
            <w:vAlign w:val="bottom"/>
          </w:tcPr>
          <w:p>
            <w:pPr>
              <w:spacing w:after="0"/>
              <w:rPr>
                <w:sz w:val="9"/>
                <w:szCs w:val="9"/>
                <w:color w:val="auto"/>
              </w:rPr>
            </w:pPr>
          </w:p>
        </w:tc>
        <w:tc>
          <w:tcPr>
            <w:tcW w:w="180" w:type="dxa"/>
            <w:vAlign w:val="bottom"/>
            <w:gridSpan w:val="2"/>
          </w:tcPr>
          <w:p>
            <w:pPr>
              <w:jc w:val="right"/>
              <w:spacing w:after="0" w:line="106"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06" w:lineRule="exact"/>
              <w:rPr>
                <w:sz w:val="20"/>
                <w:szCs w:val="20"/>
                <w:color w:val="auto"/>
              </w:rPr>
            </w:pPr>
            <w:r>
              <w:rPr>
                <w:rFonts w:ascii="Arial" w:cs="Arial" w:eastAsia="Arial" w:hAnsi="Arial"/>
                <w:sz w:val="11"/>
                <w:szCs w:val="11"/>
                <w:color w:val="auto"/>
              </w:rPr>
              <w:t>97,130</w:t>
            </w:r>
          </w:p>
        </w:tc>
        <w:tc>
          <w:tcPr>
            <w:tcW w:w="240" w:type="dxa"/>
            <w:vAlign w:val="bottom"/>
            <w:tcBorders>
              <w:right w:val="single" w:sz="8" w:color="auto"/>
            </w:tcBorders>
          </w:tcPr>
          <w:p>
            <w:pPr>
              <w:spacing w:after="0"/>
              <w:rPr>
                <w:sz w:val="9"/>
                <w:szCs w:val="9"/>
                <w:color w:val="auto"/>
              </w:rPr>
            </w:pPr>
          </w:p>
        </w:tc>
        <w:tc>
          <w:tcPr>
            <w:tcW w:w="180" w:type="dxa"/>
            <w:vAlign w:val="bottom"/>
            <w:gridSpan w:val="2"/>
          </w:tcPr>
          <w:p>
            <w:pPr>
              <w:jc w:val="right"/>
              <w:spacing w:after="0" w:line="106" w:lineRule="exact"/>
              <w:rPr>
                <w:sz w:val="20"/>
                <w:szCs w:val="20"/>
                <w:color w:val="auto"/>
              </w:rPr>
            </w:pPr>
            <w:r>
              <w:rPr>
                <w:rFonts w:ascii="Arial" w:cs="Arial" w:eastAsia="Arial" w:hAnsi="Arial"/>
                <w:sz w:val="11"/>
                <w:szCs w:val="11"/>
                <w:color w:val="auto"/>
              </w:rPr>
              <w:t>$</w:t>
            </w:r>
          </w:p>
        </w:tc>
        <w:tc>
          <w:tcPr>
            <w:tcW w:w="900" w:type="dxa"/>
            <w:vAlign w:val="bottom"/>
          </w:tcPr>
          <w:p>
            <w:pPr>
              <w:jc w:val="right"/>
              <w:spacing w:after="0" w:line="106" w:lineRule="exact"/>
              <w:rPr>
                <w:sz w:val="20"/>
                <w:szCs w:val="20"/>
                <w:color w:val="auto"/>
              </w:rPr>
            </w:pPr>
            <w:r>
              <w:rPr>
                <w:rFonts w:ascii="Arial" w:cs="Arial" w:eastAsia="Arial" w:hAnsi="Arial"/>
                <w:sz w:val="11"/>
                <w:szCs w:val="11"/>
                <w:color w:val="auto"/>
              </w:rPr>
              <w:t>273,751</w:t>
            </w:r>
          </w:p>
        </w:tc>
        <w:tc>
          <w:tcPr>
            <w:tcW w:w="240" w:type="dxa"/>
            <w:vAlign w:val="bottom"/>
            <w:gridSpan w:val="2"/>
          </w:tcPr>
          <w:p>
            <w:pPr>
              <w:jc w:val="right"/>
              <w:spacing w:after="0" w:line="106"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06" w:lineRule="exact"/>
              <w:rPr>
                <w:sz w:val="20"/>
                <w:szCs w:val="20"/>
                <w:color w:val="auto"/>
              </w:rPr>
            </w:pPr>
            <w:r>
              <w:rPr>
                <w:rFonts w:ascii="Arial" w:cs="Arial" w:eastAsia="Arial" w:hAnsi="Arial"/>
                <w:sz w:val="11"/>
                <w:szCs w:val="11"/>
                <w:color w:val="auto"/>
              </w:rPr>
              <w:t>267,020</w:t>
            </w:r>
          </w:p>
        </w:tc>
        <w:tc>
          <w:tcPr>
            <w:tcW w:w="260" w:type="dxa"/>
            <w:vAlign w:val="bottom"/>
            <w:gridSpan w:val="2"/>
          </w:tcPr>
          <w:p>
            <w:pPr>
              <w:jc w:val="right"/>
              <w:ind w:right="33"/>
              <w:spacing w:after="0" w:line="106"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06" w:lineRule="exact"/>
              <w:rPr>
                <w:sz w:val="20"/>
                <w:szCs w:val="20"/>
                <w:color w:val="auto"/>
              </w:rPr>
            </w:pPr>
            <w:r>
              <w:rPr>
                <w:rFonts w:ascii="Arial" w:cs="Arial" w:eastAsia="Arial" w:hAnsi="Arial"/>
                <w:sz w:val="11"/>
                <w:szCs w:val="11"/>
                <w:color w:val="auto"/>
              </w:rPr>
              <w:t>230,171</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60" w:type="dxa"/>
            <w:vAlign w:val="bottom"/>
            <w:gridSpan w:val="2"/>
          </w:tcPr>
          <w:p>
            <w:pPr>
              <w:ind w:left="100"/>
              <w:spacing w:after="0"/>
              <w:rPr>
                <w:sz w:val="20"/>
                <w:szCs w:val="20"/>
                <w:color w:val="auto"/>
              </w:rPr>
            </w:pPr>
            <w:r>
              <w:rPr>
                <w:rFonts w:ascii="Arial" w:cs="Arial" w:eastAsia="Arial" w:hAnsi="Arial"/>
                <w:sz w:val="11"/>
                <w:szCs w:val="11"/>
                <w:color w:val="auto"/>
              </w:rPr>
              <w:t xml:space="preserve">Subscription fees </w:t>
            </w:r>
            <w:r>
              <w:rPr>
                <w:rFonts w:ascii="Arial" w:cs="Arial" w:eastAsia="Arial" w:hAnsi="Arial"/>
                <w:sz w:val="11"/>
                <w:szCs w:val="11"/>
                <w:color w:val="auto"/>
                <w:vertAlign w:val="superscript"/>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194,366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46,519</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143,981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194,534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191,983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Commissions</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149,365</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32,840</w:t>
            </w:r>
          </w:p>
        </w:tc>
        <w:tc>
          <w:tcPr>
            <w:tcW w:w="24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79,830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96,745</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91,663</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gridSpan w:val="2"/>
          </w:tcPr>
          <w:p>
            <w:pPr>
              <w:ind w:left="100"/>
              <w:spacing w:after="0" w:line="108" w:lineRule="exact"/>
              <w:rPr>
                <w:sz w:val="20"/>
                <w:szCs w:val="20"/>
                <w:color w:val="auto"/>
              </w:rPr>
            </w:pPr>
            <w:r>
              <w:rPr>
                <w:rFonts w:ascii="Arial" w:cs="Arial" w:eastAsia="Arial" w:hAnsi="Arial"/>
                <w:sz w:val="11"/>
                <w:szCs w:val="11"/>
                <w:color w:val="auto"/>
              </w:rPr>
              <w:t>Other</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1"/>
                <w:szCs w:val="11"/>
                <w:color w:val="auto"/>
              </w:rPr>
              <w:t>8,252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1"/>
                <w:szCs w:val="11"/>
                <w:color w:val="auto"/>
              </w:rPr>
              <w:t>2,148</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1"/>
                <w:szCs w:val="11"/>
                <w:color w:val="auto"/>
              </w:rPr>
              <w:t>8,209</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1"/>
                <w:szCs w:val="11"/>
                <w:color w:val="auto"/>
              </w:rPr>
              <w:t>4,669</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1"/>
                <w:szCs w:val="11"/>
                <w:color w:val="auto"/>
              </w:rPr>
              <w:t>4,587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60" w:type="dxa"/>
            <w:vAlign w:val="bottom"/>
            <w:gridSpan w:val="2"/>
          </w:tcPr>
          <w:p>
            <w:pPr>
              <w:ind w:left="200"/>
              <w:spacing w:after="0" w:line="96" w:lineRule="exact"/>
              <w:rPr>
                <w:sz w:val="20"/>
                <w:szCs w:val="20"/>
                <w:color w:val="auto"/>
              </w:rPr>
            </w:pPr>
            <w:r>
              <w:rPr>
                <w:rFonts w:ascii="Arial" w:cs="Arial" w:eastAsia="Arial" w:hAnsi="Arial"/>
                <w:sz w:val="11"/>
                <w:szCs w:val="11"/>
                <w:b w:val="1"/>
                <w:bCs w:val="1"/>
                <w:color w:val="auto"/>
              </w:rPr>
              <w:t>Gross revenue</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right"/>
              <w:spacing w:after="0" w:line="96" w:lineRule="exact"/>
              <w:rPr>
                <w:sz w:val="20"/>
                <w:szCs w:val="20"/>
                <w:color w:val="auto"/>
              </w:rPr>
            </w:pPr>
            <w:r>
              <w:rPr>
                <w:rFonts w:ascii="Arial" w:cs="Arial" w:eastAsia="Arial" w:hAnsi="Arial"/>
                <w:sz w:val="11"/>
                <w:szCs w:val="11"/>
                <w:b w:val="1"/>
                <w:bCs w:val="1"/>
                <w:color w:val="auto"/>
              </w:rPr>
              <w:t>775,566</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jc w:val="right"/>
              <w:spacing w:after="0" w:line="96" w:lineRule="exact"/>
              <w:rPr>
                <w:sz w:val="20"/>
                <w:szCs w:val="20"/>
                <w:color w:val="auto"/>
              </w:rPr>
            </w:pPr>
            <w:r>
              <w:rPr>
                <w:rFonts w:ascii="Arial" w:cs="Arial" w:eastAsia="Arial" w:hAnsi="Arial"/>
                <w:sz w:val="11"/>
                <w:szCs w:val="11"/>
                <w:b w:val="1"/>
                <w:bCs w:val="1"/>
                <w:color w:val="auto"/>
              </w:rPr>
              <w:t>178,637</w:t>
            </w:r>
          </w:p>
        </w:tc>
        <w:tc>
          <w:tcPr>
            <w:tcW w:w="2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jc w:val="right"/>
              <w:spacing w:after="0" w:line="96" w:lineRule="exact"/>
              <w:rPr>
                <w:sz w:val="20"/>
                <w:szCs w:val="20"/>
                <w:color w:val="auto"/>
              </w:rPr>
            </w:pPr>
            <w:r>
              <w:rPr>
                <w:rFonts w:ascii="Arial" w:cs="Arial" w:eastAsia="Arial" w:hAnsi="Arial"/>
                <w:sz w:val="11"/>
                <w:szCs w:val="11"/>
                <w:b w:val="1"/>
                <w:bCs w:val="1"/>
                <w:color w:val="auto"/>
              </w:rPr>
              <w:t>505,771</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right"/>
              <w:spacing w:after="0" w:line="96" w:lineRule="exact"/>
              <w:rPr>
                <w:sz w:val="20"/>
                <w:szCs w:val="20"/>
                <w:color w:val="auto"/>
              </w:rPr>
            </w:pPr>
            <w:r>
              <w:rPr>
                <w:rFonts w:ascii="Arial" w:cs="Arial" w:eastAsia="Arial" w:hAnsi="Arial"/>
                <w:sz w:val="11"/>
                <w:szCs w:val="11"/>
                <w:b w:val="1"/>
                <w:bCs w:val="1"/>
                <w:color w:val="auto"/>
              </w:rPr>
              <w:t>562,968</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spacing w:after="0" w:line="96" w:lineRule="exact"/>
              <w:rPr>
                <w:sz w:val="20"/>
                <w:szCs w:val="20"/>
                <w:color w:val="auto"/>
              </w:rPr>
            </w:pPr>
            <w:r>
              <w:rPr>
                <w:rFonts w:ascii="Arial" w:cs="Arial" w:eastAsia="Arial" w:hAnsi="Arial"/>
                <w:sz w:val="11"/>
                <w:szCs w:val="11"/>
                <w:b w:val="1"/>
                <w:bCs w:val="1"/>
                <w:color w:val="auto"/>
              </w:rPr>
              <w:t>518,404</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Contingent consideration</w:t>
            </w:r>
            <w:r>
              <w:rPr>
                <w:rFonts w:ascii="Arial" w:cs="Arial" w:eastAsia="Arial" w:hAnsi="Arial"/>
                <w:sz w:val="11"/>
                <w:szCs w:val="11"/>
                <w:color w:val="auto"/>
                <w:vertAlign w:val="superscript"/>
              </w:rPr>
              <w:t>(2)</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(26,830)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(58,520)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(26,224)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Net revenue</w:t>
            </w:r>
          </w:p>
        </w:tc>
        <w:tc>
          <w:tcPr>
            <w:tcW w:w="1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775,566</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178,637</w:t>
            </w:r>
          </w:p>
        </w:tc>
        <w:tc>
          <w:tcPr>
            <w:tcW w:w="24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478,941</w:t>
            </w:r>
          </w:p>
        </w:tc>
        <w:tc>
          <w:tcPr>
            <w:tcW w:w="1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504,448</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492,180</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Expenses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Employee compensation and benefits</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329,457</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80,436</w:t>
            </w:r>
          </w:p>
        </w:tc>
        <w:tc>
          <w:tcPr>
            <w:tcW w:w="24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209,053</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248,963</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228,584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Depreciation and amortization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139,330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33,020</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48,808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68,615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80,859</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Technology and communications</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39,285</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9,907</w:t>
            </w:r>
          </w:p>
        </w:tc>
        <w:tc>
          <w:tcPr>
            <w:tcW w:w="24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26,598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30,013</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28,239</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General and administrative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34,960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11,837</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23,056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33,973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27,392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Professional fees</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28,029</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8,194</w:t>
            </w:r>
          </w:p>
        </w:tc>
        <w:tc>
          <w:tcPr>
            <w:tcW w:w="24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20,360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19,351</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18,158</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tcBorders>
              <w:bottom w:val="single" w:sz="8" w:color="CCEEFF"/>
            </w:tcBorders>
            <w:gridSpan w:val="2"/>
          </w:tcPr>
          <w:p>
            <w:pPr>
              <w:ind w:left="100"/>
              <w:spacing w:after="0" w:line="122" w:lineRule="exact"/>
              <w:rPr>
                <w:sz w:val="20"/>
                <w:szCs w:val="20"/>
                <w:color w:val="auto"/>
              </w:rPr>
            </w:pPr>
            <w:r>
              <w:rPr>
                <w:rFonts w:ascii="Arial" w:cs="Arial" w:eastAsia="Arial" w:hAnsi="Arial"/>
                <w:sz w:val="11"/>
                <w:szCs w:val="11"/>
                <w:color w:val="auto"/>
              </w:rPr>
              <w:t>Occupancy</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14,686</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3,308</w:t>
            </w:r>
          </w:p>
        </w:tc>
        <w:tc>
          <w:tcPr>
            <w:tcW w:w="240" w:type="dxa"/>
            <w:vAlign w:val="bottom"/>
            <w:tcBorders>
              <w:bottom w:val="single" w:sz="8" w:color="CCEEFF"/>
              <w:right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10,732</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14,441</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15,817</w:t>
            </w: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gridSpan w:val="2"/>
            <w:shd w:val="clear" w:color="auto" w:fill="CCEEFF"/>
          </w:tcPr>
          <w:p>
            <w:pPr>
              <w:ind w:left="200"/>
              <w:spacing w:after="0" w:line="115" w:lineRule="exact"/>
              <w:rPr>
                <w:sz w:val="20"/>
                <w:szCs w:val="20"/>
                <w:color w:val="auto"/>
              </w:rPr>
            </w:pPr>
            <w:r>
              <w:rPr>
                <w:rFonts w:ascii="Arial" w:cs="Arial" w:eastAsia="Arial" w:hAnsi="Arial"/>
                <w:sz w:val="11"/>
                <w:szCs w:val="11"/>
                <w:b w:val="1"/>
                <w:bCs w:val="1"/>
                <w:color w:val="auto"/>
              </w:rPr>
              <w:t>Total expenses</w:t>
            </w:r>
          </w:p>
        </w:tc>
        <w:tc>
          <w:tcPr>
            <w:tcW w:w="1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585,747</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146,702</w:t>
            </w:r>
          </w:p>
        </w:tc>
        <w:tc>
          <w:tcPr>
            <w:tcW w:w="24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338,607</w:t>
            </w:r>
          </w:p>
        </w:tc>
        <w:tc>
          <w:tcPr>
            <w:tcW w:w="1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415,356</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399,049</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Operating 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189,819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31,935</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140,334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89,092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93,131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Tax receivable agreement liability adjustment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33,134</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tcBorders>
              <w:bottom w:val="single" w:sz="8" w:color="CCEEFF"/>
            </w:tcBorders>
            <w:gridSpan w:val="2"/>
          </w:tcPr>
          <w:p>
            <w:pPr>
              <w:ind w:left="100"/>
              <w:spacing w:after="0" w:line="122" w:lineRule="exact"/>
              <w:rPr>
                <w:sz w:val="20"/>
                <w:szCs w:val="20"/>
                <w:color w:val="auto"/>
              </w:rPr>
            </w:pPr>
            <w:r>
              <w:rPr>
                <w:rFonts w:ascii="Arial" w:cs="Arial" w:eastAsia="Arial" w:hAnsi="Arial"/>
                <w:sz w:val="11"/>
                <w:szCs w:val="11"/>
                <w:color w:val="auto"/>
              </w:rPr>
              <w:t>Net interest income</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2,373</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787</w:t>
            </w:r>
          </w:p>
        </w:tc>
        <w:tc>
          <w:tcPr>
            <w:tcW w:w="240" w:type="dxa"/>
            <w:vAlign w:val="bottom"/>
            <w:tcBorders>
              <w:bottom w:val="single" w:sz="8" w:color="CCEEFF"/>
              <w:right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1,726</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685</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(695)</w:t>
            </w: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Income before taxes</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225,326</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32,722</w:t>
            </w:r>
          </w:p>
        </w:tc>
        <w:tc>
          <w:tcPr>
            <w:tcW w:w="24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142,060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89,777</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92,436</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Provision for income taxes</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(52,302)</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(3,415)</w:t>
            </w:r>
          </w:p>
        </w:tc>
        <w:tc>
          <w:tcPr>
            <w:tcW w:w="240" w:type="dxa"/>
            <w:vAlign w:val="bottom"/>
            <w:tcBorders>
              <w:bottom w:val="single" w:sz="8" w:color="CCEEFF"/>
              <w:right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(11,900)</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(6,129)</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725</w:t>
            </w: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Borders>
              <w:bottom w:val="single" w:sz="8" w:color="CCEEFF"/>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Net income</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173,024</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5"/>
                <w:szCs w:val="5"/>
                <w:b w:val="1"/>
                <w:bCs w:val="1"/>
                <w:color w:val="auto"/>
                <w:w w:val="70"/>
              </w:rPr>
              <w:t>$</w:t>
            </w: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29,307</w:t>
            </w:r>
          </w:p>
        </w:tc>
        <w:tc>
          <w:tcPr>
            <w:tcW w:w="240" w:type="dxa"/>
            <w:vAlign w:val="bottom"/>
            <w:tcBorders>
              <w:bottom w:val="single" w:sz="8" w:color="CCEEFF"/>
              <w:right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130,160</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83,648</w:t>
            </w: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5"/>
                <w:szCs w:val="5"/>
                <w:b w:val="1"/>
                <w:bCs w:val="1"/>
                <w:color w:val="auto"/>
                <w:w w:val="70"/>
              </w:rPr>
              <w:t>$</w:t>
            </w:r>
          </w:p>
        </w:tc>
        <w:tc>
          <w:tcPr>
            <w:tcW w:w="8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93,161</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60" w:type="dxa"/>
            <w:vAlign w:val="bottom"/>
            <w:tcBorders>
              <w:bottom w:val="single" w:sz="8" w:color="CCEEFF"/>
            </w:tcBorders>
            <w:gridSpan w:val="2"/>
          </w:tcPr>
          <w:p>
            <w:pPr>
              <w:spacing w:after="0" w:line="109" w:lineRule="exact"/>
              <w:rPr>
                <w:sz w:val="20"/>
                <w:szCs w:val="20"/>
                <w:color w:val="auto"/>
              </w:rPr>
            </w:pPr>
            <w:r>
              <w:rPr>
                <w:rFonts w:ascii="Arial" w:cs="Arial" w:eastAsia="Arial" w:hAnsi="Arial"/>
                <w:sz w:val="11"/>
                <w:szCs w:val="11"/>
                <w:color w:val="auto"/>
              </w:rPr>
              <w:t>Less: Pre-IPO net income attributable to Tradeweb Markets LLC</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42,352</w:t>
            </w:r>
          </w:p>
        </w:tc>
        <w:tc>
          <w:tcPr>
            <w:tcW w:w="1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spacing w:after="0"/>
              <w:rPr>
                <w:sz w:val="9"/>
                <w:szCs w:val="9"/>
                <w:color w:val="auto"/>
              </w:rPr>
            </w:pPr>
          </w:p>
        </w:tc>
        <w:tc>
          <w:tcPr>
            <w:tcW w:w="240" w:type="dxa"/>
            <w:vAlign w:val="bottom"/>
            <w:tcBorders>
              <w:bottom w:val="single" w:sz="8" w:color="CCEEFF"/>
              <w:right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90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60" w:type="dxa"/>
            <w:vAlign w:val="bottom"/>
            <w:gridSpan w:val="2"/>
            <w:shd w:val="clear" w:color="auto" w:fill="CCEEFF"/>
          </w:tcPr>
          <w:p>
            <w:pPr>
              <w:spacing w:after="0" w:line="92" w:lineRule="exact"/>
              <w:rPr>
                <w:sz w:val="20"/>
                <w:szCs w:val="20"/>
                <w:color w:val="auto"/>
              </w:rPr>
            </w:pPr>
            <w:r>
              <w:rPr>
                <w:rFonts w:ascii="Arial" w:cs="Arial" w:eastAsia="Arial" w:hAnsi="Arial"/>
                <w:sz w:val="10"/>
                <w:szCs w:val="10"/>
                <w:color w:val="auto"/>
              </w:rPr>
              <w:t>Net income attributable to Tradeweb Markets Inc. and non-controlling</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40" w:type="dxa"/>
            <w:vAlign w:val="bottom"/>
            <w:tcBorders>
              <w:right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interests</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130,672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Less: Net income attributable to non-controlling interests</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46,903</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right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Borders>
              <w:bottom w:val="single" w:sz="8" w:color="CCEEFF"/>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Net income attributable to Tradeweb Markets Inc.</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83,769</w:t>
            </w: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right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EPS calculations for pre-IPO and post-IPO periods </w:t>
            </w:r>
            <w:r>
              <w:rPr>
                <w:rFonts w:ascii="Arial" w:cs="Arial" w:eastAsia="Arial" w:hAnsi="Arial"/>
                <w:sz w:val="11"/>
                <w:szCs w:val="11"/>
                <w:b w:val="1"/>
                <w:bCs w:val="1"/>
                <w:color w:val="auto"/>
                <w:vertAlign w:val="superscript"/>
              </w:rPr>
              <w:t>(3)</w:t>
            </w:r>
          </w:p>
        </w:tc>
        <w:tc>
          <w:tcPr>
            <w:tcW w:w="22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0.19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Borders>
              <w:top w:val="single" w:sz="8" w:color="auto"/>
            </w:tcBorders>
          </w:tcPr>
          <w:p>
            <w:pPr>
              <w:spacing w:after="0"/>
              <w:rPr>
                <w:sz w:val="10"/>
                <w:szCs w:val="10"/>
                <w:color w:val="auto"/>
              </w:rPr>
            </w:pPr>
          </w:p>
        </w:tc>
        <w:tc>
          <w:tcPr>
            <w:tcW w:w="2340" w:type="dxa"/>
            <w:vAlign w:val="bottom"/>
            <w:tcBorders>
              <w:top w:val="single" w:sz="8" w:color="auto"/>
            </w:tcBorders>
          </w:tcPr>
          <w:p>
            <w:pPr>
              <w:ind w:left="100"/>
              <w:spacing w:after="0" w:line="115" w:lineRule="exact"/>
              <w:rPr>
                <w:sz w:val="20"/>
                <w:szCs w:val="20"/>
                <w:color w:val="auto"/>
              </w:rPr>
            </w:pPr>
            <w:r>
              <w:rPr>
                <w:rFonts w:ascii="Arial" w:cs="Arial" w:eastAsia="Arial" w:hAnsi="Arial"/>
                <w:sz w:val="11"/>
                <w:szCs w:val="11"/>
                <w:color w:val="auto"/>
              </w:rPr>
              <w:t>Basic</w:t>
            </w:r>
          </w:p>
        </w:tc>
        <w:tc>
          <w:tcPr>
            <w:tcW w:w="82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9"/>
                <w:szCs w:val="9"/>
                <w:color w:val="auto"/>
              </w:rPr>
              <w:t>(a)</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0.57</w:t>
            </w:r>
          </w:p>
        </w:tc>
        <w:tc>
          <w:tcPr>
            <w:tcW w:w="1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(b)</w:t>
            </w:r>
          </w:p>
        </w:tc>
        <w:tc>
          <w:tcPr>
            <w:tcW w:w="18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0.13</w:t>
            </w:r>
          </w:p>
        </w:tc>
        <w:tc>
          <w:tcPr>
            <w:tcW w:w="240" w:type="dxa"/>
            <w:vAlign w:val="bottom"/>
            <w:tcBorders>
              <w:right w:val="single" w:sz="8" w:color="auto"/>
            </w:tcBorders>
            <w:shd w:val="clear" w:color="auto" w:fill="CCEEFF"/>
          </w:tcPr>
          <w:p>
            <w:pPr>
              <w:spacing w:after="0" w:line="102" w:lineRule="exact"/>
              <w:rPr>
                <w:sz w:val="20"/>
                <w:szCs w:val="20"/>
                <w:color w:val="auto"/>
              </w:rPr>
            </w:pPr>
            <w:r>
              <w:rPr>
                <w:rFonts w:ascii="Arial" w:cs="Arial" w:eastAsia="Arial" w:hAnsi="Arial"/>
                <w:sz w:val="9"/>
                <w:szCs w:val="9"/>
                <w:color w:val="auto"/>
              </w:rPr>
              <w:t>(a)</w:t>
            </w:r>
          </w:p>
        </w:tc>
        <w:tc>
          <w:tcPr>
            <w:tcW w:w="18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0.60</w:t>
            </w:r>
          </w:p>
        </w:tc>
        <w:tc>
          <w:tcPr>
            <w:tcW w:w="2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6"/>
                <w:szCs w:val="6"/>
                <w:color w:val="auto"/>
              </w:rPr>
              <w:t xml:space="preserve">(a) </w:t>
            </w:r>
            <w:r>
              <w:rPr>
                <w:rFonts w:ascii="Arial" w:cs="Arial" w:eastAsia="Arial" w:hAnsi="Arial"/>
                <w:sz w:val="11"/>
                <w:szCs w:val="11"/>
                <w:color w:val="auto"/>
                <w:vertAlign w:val="superscript"/>
              </w:rPr>
              <w:t>$</w:t>
            </w:r>
          </w:p>
        </w:tc>
        <w:tc>
          <w:tcPr>
            <w:tcW w:w="8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0.39</w:t>
            </w:r>
          </w:p>
        </w:tc>
        <w:tc>
          <w:tcPr>
            <w:tcW w:w="260" w:type="dxa"/>
            <w:vAlign w:val="bottom"/>
            <w:gridSpan w:val="2"/>
            <w:shd w:val="clear" w:color="auto" w:fill="CCEEFF"/>
          </w:tcPr>
          <w:p>
            <w:pPr>
              <w:jc w:val="right"/>
              <w:ind w:right="33"/>
              <w:spacing w:after="0" w:line="102" w:lineRule="exact"/>
              <w:rPr>
                <w:sz w:val="20"/>
                <w:szCs w:val="20"/>
                <w:color w:val="auto"/>
              </w:rPr>
            </w:pPr>
            <w:r>
              <w:rPr>
                <w:rFonts w:ascii="Arial" w:cs="Arial" w:eastAsia="Arial" w:hAnsi="Arial"/>
                <w:sz w:val="6"/>
                <w:szCs w:val="6"/>
                <w:color w:val="auto"/>
              </w:rPr>
              <w:t xml:space="preserve">(a) </w:t>
            </w:r>
            <w:r>
              <w:rPr>
                <w:rFonts w:ascii="Arial" w:cs="Arial" w:eastAsia="Arial" w:hAnsi="Arial"/>
                <w:sz w:val="11"/>
                <w:szCs w:val="11"/>
                <w:color w:val="auto"/>
                <w:vertAlign w:val="superscript"/>
              </w:rPr>
              <w:t>$</w:t>
            </w: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0.44</w:t>
            </w:r>
          </w:p>
        </w:tc>
        <w:tc>
          <w:tcPr>
            <w:tcW w:w="14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60" w:type="dxa"/>
            <w:vAlign w:val="bottom"/>
            <w:tcBorders>
              <w:top w:val="single" w:sz="8" w:color="CCEEFF"/>
            </w:tcBorders>
            <w:gridSpan w:val="2"/>
          </w:tcPr>
          <w:p>
            <w:pPr>
              <w:ind w:left="100"/>
              <w:spacing w:after="0" w:line="109" w:lineRule="exact"/>
              <w:rPr>
                <w:sz w:val="20"/>
                <w:szCs w:val="20"/>
                <w:color w:val="auto"/>
              </w:rPr>
            </w:pPr>
            <w:r>
              <w:rPr>
                <w:rFonts w:ascii="Arial" w:cs="Arial" w:eastAsia="Arial" w:hAnsi="Arial"/>
                <w:sz w:val="11"/>
                <w:szCs w:val="11"/>
                <w:color w:val="auto"/>
              </w:rPr>
              <w:t>Diluted</w:t>
            </w:r>
          </w:p>
        </w:tc>
        <w:tc>
          <w:tcPr>
            <w:tcW w:w="1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0.19</w:t>
            </w:r>
          </w:p>
        </w:tc>
        <w:tc>
          <w:tcPr>
            <w:tcW w:w="160" w:type="dxa"/>
            <w:vAlign w:val="bottom"/>
            <w:tcBorders>
              <w:top w:val="single" w:sz="8" w:color="CCEEFF"/>
            </w:tcBorders>
          </w:tcPr>
          <w:p>
            <w:pPr>
              <w:spacing w:after="0"/>
              <w:rPr>
                <w:sz w:val="20"/>
                <w:szCs w:val="20"/>
                <w:color w:val="auto"/>
              </w:rPr>
            </w:pPr>
            <w:r>
              <w:rPr>
                <w:rFonts w:ascii="Arial" w:cs="Arial" w:eastAsia="Arial" w:hAnsi="Arial"/>
                <w:sz w:val="9"/>
                <w:szCs w:val="9"/>
                <w:color w:val="auto"/>
              </w:rPr>
              <w:t>(a)</w:t>
            </w:r>
          </w:p>
        </w:tc>
        <w:tc>
          <w:tcPr>
            <w:tcW w:w="6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40" w:type="dxa"/>
            <w:vAlign w:val="bottom"/>
            <w:tcBorders>
              <w:top w:val="single" w:sz="8" w:color="CCEEFF"/>
              <w:right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0.54</w:t>
            </w:r>
          </w:p>
        </w:tc>
        <w:tc>
          <w:tcPr>
            <w:tcW w:w="16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(b)</w:t>
            </w:r>
          </w:p>
        </w:tc>
        <w:tc>
          <w:tcPr>
            <w:tcW w:w="18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0.13</w:t>
            </w:r>
          </w:p>
        </w:tc>
        <w:tc>
          <w:tcPr>
            <w:tcW w:w="240" w:type="dxa"/>
            <w:vAlign w:val="bottom"/>
            <w:tcBorders>
              <w:right w:val="single" w:sz="8" w:color="auto"/>
            </w:tcBorders>
            <w:shd w:val="clear" w:color="auto" w:fill="CCEEFF"/>
          </w:tcPr>
          <w:p>
            <w:pPr>
              <w:spacing w:after="0" w:line="102" w:lineRule="exact"/>
              <w:rPr>
                <w:sz w:val="20"/>
                <w:szCs w:val="20"/>
                <w:color w:val="auto"/>
              </w:rPr>
            </w:pPr>
            <w:r>
              <w:rPr>
                <w:rFonts w:ascii="Arial" w:cs="Arial" w:eastAsia="Arial" w:hAnsi="Arial"/>
                <w:sz w:val="9"/>
                <w:szCs w:val="9"/>
                <w:color w:val="auto"/>
              </w:rPr>
              <w:t>(a)</w:t>
            </w:r>
          </w:p>
        </w:tc>
        <w:tc>
          <w:tcPr>
            <w:tcW w:w="18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0.60</w:t>
            </w:r>
          </w:p>
        </w:tc>
        <w:tc>
          <w:tcPr>
            <w:tcW w:w="2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6"/>
                <w:szCs w:val="6"/>
                <w:color w:val="auto"/>
              </w:rPr>
              <w:t xml:space="preserve">(a) </w:t>
            </w:r>
            <w:r>
              <w:rPr>
                <w:rFonts w:ascii="Arial" w:cs="Arial" w:eastAsia="Arial" w:hAnsi="Arial"/>
                <w:sz w:val="11"/>
                <w:szCs w:val="11"/>
                <w:color w:val="auto"/>
                <w:vertAlign w:val="superscript"/>
              </w:rPr>
              <w:t>$</w:t>
            </w:r>
          </w:p>
        </w:tc>
        <w:tc>
          <w:tcPr>
            <w:tcW w:w="8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0.39</w:t>
            </w:r>
          </w:p>
        </w:tc>
        <w:tc>
          <w:tcPr>
            <w:tcW w:w="260" w:type="dxa"/>
            <w:vAlign w:val="bottom"/>
            <w:gridSpan w:val="2"/>
            <w:shd w:val="clear" w:color="auto" w:fill="CCEEFF"/>
          </w:tcPr>
          <w:p>
            <w:pPr>
              <w:jc w:val="right"/>
              <w:ind w:right="33"/>
              <w:spacing w:after="0" w:line="102" w:lineRule="exact"/>
              <w:rPr>
                <w:sz w:val="20"/>
                <w:szCs w:val="20"/>
                <w:color w:val="auto"/>
              </w:rPr>
            </w:pPr>
            <w:r>
              <w:rPr>
                <w:rFonts w:ascii="Arial" w:cs="Arial" w:eastAsia="Arial" w:hAnsi="Arial"/>
                <w:sz w:val="6"/>
                <w:szCs w:val="6"/>
                <w:color w:val="auto"/>
              </w:rPr>
              <w:t xml:space="preserve">(a) </w:t>
            </w:r>
            <w:r>
              <w:rPr>
                <w:rFonts w:ascii="Arial" w:cs="Arial" w:eastAsia="Arial" w:hAnsi="Arial"/>
                <w:sz w:val="11"/>
                <w:szCs w:val="11"/>
                <w:color w:val="auto"/>
                <w:vertAlign w:val="superscript"/>
              </w:rPr>
              <w:t>$</w:t>
            </w:r>
          </w:p>
        </w:tc>
        <w:tc>
          <w:tcPr>
            <w:tcW w:w="8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0.44</w:t>
            </w:r>
          </w:p>
        </w:tc>
        <w:tc>
          <w:tcPr>
            <w:tcW w:w="14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160" w:type="dxa"/>
            <w:vAlign w:val="bottom"/>
            <w:tcBorders>
              <w:top w:val="single" w:sz="8" w:color="CCEEFF"/>
            </w:tcBorders>
            <w:gridSpan w:val="2"/>
          </w:tcPr>
          <w:p>
            <w:pPr>
              <w:spacing w:after="0" w:line="109" w:lineRule="exact"/>
              <w:rPr>
                <w:sz w:val="20"/>
                <w:szCs w:val="20"/>
                <w:color w:val="auto"/>
              </w:rPr>
            </w:pPr>
            <w:r>
              <w:rPr>
                <w:rFonts w:ascii="Arial" w:cs="Arial" w:eastAsia="Arial" w:hAnsi="Arial"/>
                <w:sz w:val="11"/>
                <w:szCs w:val="11"/>
                <w:color w:val="auto"/>
              </w:rPr>
              <w:t>Weighted average shares outstanding</w:t>
            </w:r>
          </w:p>
        </w:tc>
        <w:tc>
          <w:tcPr>
            <w:tcW w:w="1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40" w:type="dxa"/>
            <w:vAlign w:val="bottom"/>
            <w:tcBorders>
              <w:top w:val="single" w:sz="8" w:color="CCEEFF"/>
              <w:right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Basic</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222,222,197</w:t>
            </w:r>
          </w:p>
        </w:tc>
        <w:tc>
          <w:tcPr>
            <w:tcW w:w="160" w:type="dxa"/>
            <w:vAlign w:val="bottom"/>
            <w:shd w:val="clear" w:color="auto" w:fill="CCEEFF"/>
          </w:tcPr>
          <w:p>
            <w:pPr>
              <w:spacing w:after="0"/>
              <w:rPr>
                <w:sz w:val="20"/>
                <w:szCs w:val="20"/>
                <w:color w:val="auto"/>
              </w:rPr>
            </w:pPr>
            <w:r>
              <w:rPr>
                <w:rFonts w:ascii="Arial" w:cs="Arial" w:eastAsia="Arial" w:hAnsi="Arial"/>
                <w:sz w:val="9"/>
                <w:szCs w:val="9"/>
                <w:color w:val="auto"/>
              </w:rPr>
              <w:t>(a)</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148,013,274</w:t>
            </w:r>
          </w:p>
        </w:tc>
        <w:tc>
          <w:tcPr>
            <w:tcW w:w="160" w:type="dxa"/>
            <w:vAlign w:val="bottom"/>
          </w:tcPr>
          <w:p>
            <w:pPr>
              <w:spacing w:after="0"/>
              <w:rPr>
                <w:sz w:val="20"/>
                <w:szCs w:val="20"/>
                <w:color w:val="auto"/>
              </w:rPr>
            </w:pPr>
            <w:r>
              <w:rPr>
                <w:rFonts w:ascii="Arial" w:cs="Arial" w:eastAsia="Arial" w:hAnsi="Arial"/>
                <w:sz w:val="9"/>
                <w:szCs w:val="9"/>
                <w:color w:val="auto"/>
              </w:rPr>
              <w:t>(b)</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222,221,628</w:t>
            </w:r>
          </w:p>
        </w:tc>
        <w:tc>
          <w:tcPr>
            <w:tcW w:w="240" w:type="dxa"/>
            <w:vAlign w:val="bottom"/>
            <w:tcBorders>
              <w:right w:val="single" w:sz="8" w:color="auto"/>
            </w:tcBorders>
          </w:tcPr>
          <w:p>
            <w:pPr>
              <w:spacing w:after="0"/>
              <w:rPr>
                <w:sz w:val="20"/>
                <w:szCs w:val="20"/>
                <w:color w:val="auto"/>
              </w:rPr>
            </w:pPr>
            <w:r>
              <w:rPr>
                <w:rFonts w:ascii="Arial" w:cs="Arial" w:eastAsia="Arial" w:hAnsi="Arial"/>
                <w:sz w:val="9"/>
                <w:szCs w:val="9"/>
                <w:color w:val="auto"/>
              </w:rPr>
              <w:t>(a)</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215,365,920</w:t>
            </w:r>
          </w:p>
        </w:tc>
        <w:tc>
          <w:tcPr>
            <w:tcW w:w="240" w:type="dxa"/>
            <w:vAlign w:val="bottom"/>
            <w:gridSpan w:val="2"/>
          </w:tcPr>
          <w:p>
            <w:pPr>
              <w:jc w:val="right"/>
              <w:ind w:right="91"/>
              <w:spacing w:after="0"/>
              <w:rPr>
                <w:sz w:val="20"/>
                <w:szCs w:val="20"/>
                <w:color w:val="auto"/>
              </w:rPr>
            </w:pPr>
            <w:r>
              <w:rPr>
                <w:rFonts w:ascii="Arial" w:cs="Arial" w:eastAsia="Arial" w:hAnsi="Arial"/>
                <w:sz w:val="9"/>
                <w:szCs w:val="9"/>
                <w:color w:val="auto"/>
                <w:w w:val="72"/>
              </w:rPr>
              <w:t>(a)</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212,568,635</w:t>
            </w:r>
          </w:p>
        </w:tc>
        <w:tc>
          <w:tcPr>
            <w:tcW w:w="260" w:type="dxa"/>
            <w:vAlign w:val="bottom"/>
            <w:gridSpan w:val="2"/>
          </w:tcPr>
          <w:p>
            <w:pPr>
              <w:jc w:val="right"/>
              <w:ind w:right="133"/>
              <w:spacing w:after="0"/>
              <w:rPr>
                <w:sz w:val="20"/>
                <w:szCs w:val="20"/>
                <w:color w:val="auto"/>
              </w:rPr>
            </w:pPr>
            <w:r>
              <w:rPr>
                <w:rFonts w:ascii="Arial" w:cs="Arial" w:eastAsia="Arial" w:hAnsi="Arial"/>
                <w:sz w:val="9"/>
                <w:szCs w:val="9"/>
                <w:color w:val="auto"/>
                <w:w w:val="72"/>
              </w:rPr>
              <w:t>(a)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210,979,704</w:t>
            </w:r>
          </w:p>
        </w:tc>
        <w:tc>
          <w:tcPr>
            <w:tcW w:w="140" w:type="dxa"/>
            <w:vAlign w:val="bottom"/>
          </w:tcPr>
          <w:p>
            <w:pPr>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Diluted</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223,320,457</w:t>
            </w:r>
          </w:p>
        </w:tc>
        <w:tc>
          <w:tcPr>
            <w:tcW w:w="160" w:type="dxa"/>
            <w:vAlign w:val="bottom"/>
            <w:shd w:val="clear" w:color="auto" w:fill="CCEEFF"/>
          </w:tcPr>
          <w:p>
            <w:pPr>
              <w:spacing w:after="0"/>
              <w:rPr>
                <w:sz w:val="20"/>
                <w:szCs w:val="20"/>
                <w:color w:val="auto"/>
              </w:rPr>
            </w:pPr>
            <w:r>
              <w:rPr>
                <w:rFonts w:ascii="Arial" w:cs="Arial" w:eastAsia="Arial" w:hAnsi="Arial"/>
                <w:sz w:val="9"/>
                <w:szCs w:val="9"/>
                <w:color w:val="auto"/>
              </w:rPr>
              <w:t>(a)</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156,540,246</w:t>
            </w:r>
          </w:p>
        </w:tc>
        <w:tc>
          <w:tcPr>
            <w:tcW w:w="160" w:type="dxa"/>
            <w:vAlign w:val="bottom"/>
          </w:tcPr>
          <w:p>
            <w:pPr>
              <w:spacing w:after="0"/>
              <w:rPr>
                <w:sz w:val="20"/>
                <w:szCs w:val="20"/>
                <w:color w:val="auto"/>
              </w:rPr>
            </w:pPr>
            <w:r>
              <w:rPr>
                <w:rFonts w:ascii="Arial" w:cs="Arial" w:eastAsia="Arial" w:hAnsi="Arial"/>
                <w:sz w:val="9"/>
                <w:szCs w:val="9"/>
                <w:color w:val="auto"/>
              </w:rPr>
              <w:t>(b)</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222,243,851</w:t>
            </w:r>
          </w:p>
        </w:tc>
        <w:tc>
          <w:tcPr>
            <w:tcW w:w="240" w:type="dxa"/>
            <w:vAlign w:val="bottom"/>
            <w:tcBorders>
              <w:right w:val="single" w:sz="8" w:color="auto"/>
            </w:tcBorders>
          </w:tcPr>
          <w:p>
            <w:pPr>
              <w:spacing w:after="0"/>
              <w:rPr>
                <w:sz w:val="20"/>
                <w:szCs w:val="20"/>
                <w:color w:val="auto"/>
              </w:rPr>
            </w:pPr>
            <w:r>
              <w:rPr>
                <w:rFonts w:ascii="Arial" w:cs="Arial" w:eastAsia="Arial" w:hAnsi="Arial"/>
                <w:sz w:val="9"/>
                <w:szCs w:val="9"/>
                <w:color w:val="auto"/>
              </w:rPr>
              <w:t>(a)</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215,365,920</w:t>
            </w:r>
          </w:p>
        </w:tc>
        <w:tc>
          <w:tcPr>
            <w:tcW w:w="240" w:type="dxa"/>
            <w:vAlign w:val="bottom"/>
            <w:gridSpan w:val="2"/>
          </w:tcPr>
          <w:p>
            <w:pPr>
              <w:jc w:val="right"/>
              <w:ind w:right="91"/>
              <w:spacing w:after="0"/>
              <w:rPr>
                <w:sz w:val="20"/>
                <w:szCs w:val="20"/>
                <w:color w:val="auto"/>
              </w:rPr>
            </w:pPr>
            <w:r>
              <w:rPr>
                <w:rFonts w:ascii="Arial" w:cs="Arial" w:eastAsia="Arial" w:hAnsi="Arial"/>
                <w:sz w:val="9"/>
                <w:szCs w:val="9"/>
                <w:color w:val="auto"/>
                <w:w w:val="72"/>
              </w:rPr>
              <w:t>(a)</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212,568,635</w:t>
            </w:r>
          </w:p>
        </w:tc>
        <w:tc>
          <w:tcPr>
            <w:tcW w:w="260" w:type="dxa"/>
            <w:vAlign w:val="bottom"/>
            <w:gridSpan w:val="2"/>
          </w:tcPr>
          <w:p>
            <w:pPr>
              <w:jc w:val="right"/>
              <w:ind w:right="133"/>
              <w:spacing w:after="0"/>
              <w:rPr>
                <w:sz w:val="20"/>
                <w:szCs w:val="20"/>
                <w:color w:val="auto"/>
              </w:rPr>
            </w:pPr>
            <w:r>
              <w:rPr>
                <w:rFonts w:ascii="Arial" w:cs="Arial" w:eastAsia="Arial" w:hAnsi="Arial"/>
                <w:sz w:val="9"/>
                <w:szCs w:val="9"/>
                <w:color w:val="auto"/>
                <w:w w:val="72"/>
              </w:rPr>
              <w:t>(a)</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210,979,704</w:t>
            </w:r>
          </w:p>
        </w:tc>
        <w:tc>
          <w:tcPr>
            <w:tcW w:w="140" w:type="dxa"/>
            <w:vAlign w:val="bottom"/>
          </w:tcPr>
          <w:p>
            <w:pPr>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3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60" w:type="dxa"/>
            <w:vAlign w:val="bottom"/>
            <w:gridSpan w:val="2"/>
          </w:tcPr>
          <w:p>
            <w:pPr>
              <w:spacing w:after="0" w:line="122" w:lineRule="exact"/>
              <w:rPr>
                <w:sz w:val="20"/>
                <w:szCs w:val="20"/>
                <w:color w:val="auto"/>
              </w:rPr>
            </w:pPr>
            <w:r>
              <w:rPr>
                <w:rFonts w:ascii="Arial" w:cs="Arial" w:eastAsia="Arial" w:hAnsi="Arial"/>
                <w:sz w:val="11"/>
                <w:szCs w:val="11"/>
                <w:color w:val="auto"/>
              </w:rPr>
              <w:t>Dividends per share</w:t>
            </w:r>
          </w:p>
        </w:tc>
        <w:tc>
          <w:tcPr>
            <w:tcW w:w="2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0.24</w:t>
            </w:r>
          </w:p>
        </w:tc>
        <w:tc>
          <w:tcPr>
            <w:tcW w:w="160" w:type="dxa"/>
            <w:vAlign w:val="bottom"/>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33"/>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-3163570</wp:posOffset>
            </wp:positionV>
            <wp:extent cx="5754370"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-2854960</wp:posOffset>
            </wp:positionV>
            <wp:extent cx="575437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-977265</wp:posOffset>
            </wp:positionV>
            <wp:extent cx="5754370" cy="774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2"/>
              </w:rPr>
              <w:t>Successor</w:t>
            </w:r>
          </w:p>
        </w:tc>
        <w:tc>
          <w:tcPr>
            <w:tcW w:w="180" w:type="dxa"/>
            <w:vAlign w:val="bottom"/>
          </w:tcPr>
          <w:p>
            <w:pPr>
              <w:spacing w:after="0"/>
              <w:rPr>
                <w:sz w:val="19"/>
                <w:szCs w:val="19"/>
                <w:color w:val="auto"/>
              </w:rPr>
            </w:pPr>
          </w:p>
        </w:tc>
        <w:tc>
          <w:tcPr>
            <w:tcW w:w="11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82"/>
              </w:rPr>
              <w:t>Successor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1"/>
              </w:rPr>
              <w:t>Predecessor</w:t>
            </w:r>
          </w:p>
        </w:tc>
        <w:tc>
          <w:tcPr>
            <w:tcW w:w="18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4"/>
              </w:rPr>
              <w:t>Predecessor</w:t>
            </w:r>
          </w:p>
        </w:tc>
        <w:tc>
          <w:tcPr>
            <w:tcW w:w="0" w:type="dxa"/>
            <w:vAlign w:val="bottom"/>
          </w:tcPr>
          <w:p>
            <w:pPr>
              <w:spacing w:after="0"/>
              <w:rPr>
                <w:sz w:val="1"/>
                <w:szCs w:val="1"/>
                <w:color w:val="auto"/>
              </w:rPr>
            </w:pPr>
          </w:p>
        </w:tc>
      </w:tr>
      <w:tr>
        <w:trPr>
          <w:trHeight w:val="101"/>
        </w:trPr>
        <w:tc>
          <w:tcPr>
            <w:tcW w:w="36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center"/>
              <w:ind w:right="126"/>
              <w:spacing w:after="0" w:line="102" w:lineRule="exact"/>
              <w:rPr>
                <w:sz w:val="20"/>
                <w:szCs w:val="20"/>
                <w:color w:val="auto"/>
              </w:rPr>
            </w:pPr>
            <w:r>
              <w:rPr>
                <w:rFonts w:ascii="Arial" w:cs="Arial" w:eastAsia="Arial" w:hAnsi="Arial"/>
                <w:sz w:val="11"/>
                <w:szCs w:val="11"/>
                <w:b w:val="1"/>
                <w:bCs w:val="1"/>
                <w:color w:val="auto"/>
                <w:w w:val="79"/>
              </w:rPr>
              <w:t>As of</w:t>
            </w: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jc w:val="center"/>
              <w:ind w:right="126"/>
              <w:spacing w:after="0" w:line="102" w:lineRule="exact"/>
              <w:rPr>
                <w:sz w:val="20"/>
                <w:szCs w:val="20"/>
                <w:color w:val="auto"/>
              </w:rPr>
            </w:pPr>
            <w:r>
              <w:rPr>
                <w:rFonts w:ascii="Arial" w:cs="Arial" w:eastAsia="Arial" w:hAnsi="Arial"/>
                <w:sz w:val="11"/>
                <w:szCs w:val="11"/>
                <w:b w:val="1"/>
                <w:bCs w:val="1"/>
                <w:color w:val="auto"/>
                <w:w w:val="87"/>
              </w:rPr>
              <w:t>As of</w:t>
            </w: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center"/>
              <w:ind w:right="166"/>
              <w:spacing w:after="0" w:line="102" w:lineRule="exact"/>
              <w:rPr>
                <w:sz w:val="20"/>
                <w:szCs w:val="20"/>
                <w:color w:val="auto"/>
              </w:rPr>
            </w:pPr>
            <w:r>
              <w:rPr>
                <w:rFonts w:ascii="Arial" w:cs="Arial" w:eastAsia="Arial" w:hAnsi="Arial"/>
                <w:sz w:val="11"/>
                <w:szCs w:val="11"/>
                <w:b w:val="1"/>
                <w:bCs w:val="1"/>
                <w:color w:val="auto"/>
                <w:w w:val="87"/>
              </w:rPr>
              <w:t>As of</w:t>
            </w:r>
          </w:p>
        </w:tc>
        <w:tc>
          <w:tcPr>
            <w:tcW w:w="1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jc w:val="center"/>
              <w:ind w:right="126"/>
              <w:spacing w:after="0" w:line="102" w:lineRule="exact"/>
              <w:rPr>
                <w:sz w:val="20"/>
                <w:szCs w:val="20"/>
                <w:color w:val="auto"/>
              </w:rPr>
            </w:pPr>
            <w:r>
              <w:rPr>
                <w:rFonts w:ascii="Arial" w:cs="Arial" w:eastAsia="Arial" w:hAnsi="Arial"/>
                <w:sz w:val="11"/>
                <w:szCs w:val="11"/>
                <w:b w:val="1"/>
                <w:bCs w:val="1"/>
                <w:color w:val="auto"/>
                <w:w w:val="87"/>
              </w:rPr>
              <w:t>As of</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80" w:type="dxa"/>
            <w:vAlign w:val="bottom"/>
          </w:tcPr>
          <w:p>
            <w:pPr>
              <w:spacing w:after="0"/>
              <w:rPr>
                <w:sz w:val="10"/>
                <w:szCs w:val="10"/>
                <w:color w:val="auto"/>
              </w:rPr>
            </w:pPr>
          </w:p>
        </w:tc>
        <w:tc>
          <w:tcPr>
            <w:tcW w:w="1160" w:type="dxa"/>
            <w:vAlign w:val="bottom"/>
            <w:tcBorders>
              <w:right w:val="single" w:sz="8" w:color="auto"/>
            </w:tcBorders>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80" w:type="dxa"/>
            <w:vAlign w:val="bottom"/>
          </w:tcPr>
          <w:p>
            <w:pPr>
              <w:spacing w:after="0"/>
              <w:rPr>
                <w:sz w:val="10"/>
                <w:szCs w:val="10"/>
                <w:color w:val="auto"/>
              </w:rPr>
            </w:pPr>
          </w:p>
        </w:tc>
        <w:tc>
          <w:tcPr>
            <w:tcW w:w="112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0" w:type="dxa"/>
            <w:vAlign w:val="bottom"/>
          </w:tcPr>
          <w:p>
            <w:pPr>
              <w:spacing w:after="0"/>
              <w:rPr>
                <w:sz w:val="1"/>
                <w:szCs w:val="1"/>
                <w:color w:val="auto"/>
              </w:rPr>
            </w:pPr>
          </w:p>
        </w:tc>
      </w:tr>
      <w:tr>
        <w:trPr>
          <w:trHeight w:val="135"/>
        </w:trPr>
        <w:tc>
          <w:tcPr>
            <w:tcW w:w="3600" w:type="dxa"/>
            <w:vAlign w:val="bottom"/>
            <w:vMerge w:val="restart"/>
          </w:tcPr>
          <w:p>
            <w:pPr>
              <w:spacing w:after="0"/>
              <w:rPr>
                <w:sz w:val="20"/>
                <w:szCs w:val="20"/>
                <w:color w:val="auto"/>
              </w:rPr>
            </w:pPr>
            <w:r>
              <w:rPr>
                <w:rFonts w:ascii="Arial" w:cs="Arial" w:eastAsia="Arial" w:hAnsi="Arial"/>
                <w:sz w:val="11"/>
                <w:szCs w:val="11"/>
                <w:b w:val="1"/>
                <w:bCs w:val="1"/>
                <w:color w:val="auto"/>
              </w:rPr>
              <w:t>Statement of Financial Condition Data:</w:t>
            </w: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89"/>
              </w:rPr>
              <w:t>2019</w:t>
            </w: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86"/>
              <w:spacing w:after="0"/>
              <w:rPr>
                <w:sz w:val="20"/>
                <w:szCs w:val="20"/>
                <w:color w:val="auto"/>
              </w:rPr>
            </w:pPr>
            <w:r>
              <w:rPr>
                <w:rFonts w:ascii="Arial" w:cs="Arial" w:eastAsia="Arial" w:hAnsi="Arial"/>
                <w:sz w:val="11"/>
                <w:szCs w:val="11"/>
                <w:b w:val="1"/>
                <w:bCs w:val="1"/>
                <w:color w:val="auto"/>
                <w:w w:val="89"/>
              </w:rPr>
              <w:t>2017</w:t>
            </w: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89"/>
              </w:rPr>
              <w:t>2016</w:t>
            </w: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4"/>
          </w:tcPr>
          <w:p>
            <w:pPr>
              <w:jc w:val="right"/>
              <w:ind w:right="20"/>
              <w:spacing w:after="0" w:line="115" w:lineRule="exact"/>
              <w:rPr>
                <w:sz w:val="20"/>
                <w:szCs w:val="20"/>
                <w:color w:val="auto"/>
              </w:rPr>
            </w:pPr>
            <w:r>
              <w:rPr>
                <w:rFonts w:ascii="Arial" w:cs="Arial" w:eastAsia="Arial" w:hAnsi="Arial"/>
                <w:sz w:val="11"/>
                <w:szCs w:val="11"/>
                <w:b w:val="1"/>
                <w:bCs w:val="1"/>
                <w:color w:val="auto"/>
              </w:rPr>
              <w:t>(in thousands)</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Cash and cash equivalents</w:t>
            </w:r>
          </w:p>
        </w:tc>
        <w:tc>
          <w:tcPr>
            <w:tcW w:w="18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460,711</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410,104</w:t>
            </w:r>
          </w:p>
        </w:tc>
        <w:tc>
          <w:tcPr>
            <w:tcW w:w="140" w:type="dxa"/>
            <w:vAlign w:val="bottom"/>
            <w:tcBorders>
              <w:right w:val="single" w:sz="8" w:color="auto"/>
            </w:tcBorders>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352,598</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324,074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line="122" w:lineRule="exact"/>
              <w:rPr>
                <w:sz w:val="20"/>
                <w:szCs w:val="20"/>
                <w:color w:val="auto"/>
              </w:rPr>
            </w:pPr>
            <w:r>
              <w:rPr>
                <w:rFonts w:ascii="Arial" w:cs="Arial" w:eastAsia="Arial" w:hAnsi="Arial"/>
                <w:sz w:val="11"/>
                <w:szCs w:val="11"/>
                <w:color w:val="auto"/>
              </w:rPr>
              <w:t>Total assets</w:t>
            </w:r>
          </w:p>
        </w:tc>
        <w:tc>
          <w:tcPr>
            <w:tcW w:w="180" w:type="dxa"/>
            <w:vAlign w:val="bottom"/>
          </w:tcPr>
          <w:p>
            <w:pPr>
              <w:jc w:val="right"/>
              <w:ind w:right="46"/>
              <w:spacing w:after="0" w:line="122" w:lineRule="exact"/>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line="122" w:lineRule="exact"/>
              <w:rPr>
                <w:sz w:val="20"/>
                <w:szCs w:val="20"/>
                <w:color w:val="auto"/>
              </w:rPr>
            </w:pPr>
            <w:r>
              <w:rPr>
                <w:rFonts w:ascii="Arial" w:cs="Arial" w:eastAsia="Arial" w:hAnsi="Arial"/>
                <w:sz w:val="11"/>
                <w:szCs w:val="11"/>
                <w:color w:val="auto"/>
              </w:rPr>
              <w:t>5,095,334</w:t>
            </w:r>
          </w:p>
        </w:tc>
        <w:tc>
          <w:tcPr>
            <w:tcW w:w="200" w:type="dxa"/>
            <w:vAlign w:val="bottom"/>
          </w:tcPr>
          <w:p>
            <w:pPr>
              <w:spacing w:after="0"/>
              <w:rPr>
                <w:sz w:val="10"/>
                <w:szCs w:val="10"/>
                <w:color w:val="auto"/>
              </w:rPr>
            </w:pPr>
          </w:p>
        </w:tc>
        <w:tc>
          <w:tcPr>
            <w:tcW w:w="1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4,997,139</w:t>
            </w:r>
          </w:p>
        </w:tc>
        <w:tc>
          <w:tcPr>
            <w:tcW w:w="140" w:type="dxa"/>
            <w:vAlign w:val="bottom"/>
            <w:tcBorders>
              <w:right w:val="single" w:sz="8" w:color="auto"/>
            </w:tcBorders>
          </w:tcPr>
          <w:p>
            <w:pPr>
              <w:spacing w:after="0"/>
              <w:rPr>
                <w:sz w:val="10"/>
                <w:szCs w:val="10"/>
                <w:color w:val="auto"/>
              </w:rPr>
            </w:pP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1,316,887</w:t>
            </w:r>
          </w:p>
        </w:tc>
        <w:tc>
          <w:tcPr>
            <w:tcW w:w="140" w:type="dxa"/>
            <w:vAlign w:val="bottom"/>
          </w:tcPr>
          <w:p>
            <w:pPr>
              <w:spacing w:after="0"/>
              <w:rPr>
                <w:sz w:val="10"/>
                <w:szCs w:val="10"/>
                <w:color w:val="auto"/>
              </w:rPr>
            </w:pPr>
          </w:p>
        </w:tc>
        <w:tc>
          <w:tcPr>
            <w:tcW w:w="180" w:type="dxa"/>
            <w:vAlign w:val="bottom"/>
          </w:tcPr>
          <w:p>
            <w:pPr>
              <w:jc w:val="right"/>
              <w:ind w:right="46"/>
              <w:spacing w:after="0" w:line="122" w:lineRule="exact"/>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1,320,732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Total liabilities</w:t>
            </w:r>
          </w:p>
        </w:tc>
        <w:tc>
          <w:tcPr>
            <w:tcW w:w="18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502,589</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410,626</w:t>
            </w:r>
          </w:p>
        </w:tc>
        <w:tc>
          <w:tcPr>
            <w:tcW w:w="140" w:type="dxa"/>
            <w:vAlign w:val="bottom"/>
            <w:tcBorders>
              <w:right w:val="single" w:sz="8" w:color="auto"/>
            </w:tcBorders>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317,118</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283,319</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line="122" w:lineRule="exact"/>
              <w:rPr>
                <w:sz w:val="20"/>
                <w:szCs w:val="20"/>
                <w:color w:val="auto"/>
              </w:rPr>
            </w:pPr>
            <w:r>
              <w:rPr>
                <w:rFonts w:ascii="Arial" w:cs="Arial" w:eastAsia="Arial" w:hAnsi="Arial"/>
                <w:sz w:val="11"/>
                <w:szCs w:val="11"/>
                <w:color w:val="auto"/>
              </w:rPr>
              <w:t>Non-controlling interests</w:t>
            </w:r>
          </w:p>
        </w:tc>
        <w:tc>
          <w:tcPr>
            <w:tcW w:w="180" w:type="dxa"/>
            <w:vAlign w:val="bottom"/>
          </w:tcPr>
          <w:p>
            <w:pPr>
              <w:jc w:val="right"/>
              <w:ind w:right="46"/>
              <w:spacing w:after="0" w:line="122" w:lineRule="exact"/>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line="122" w:lineRule="exact"/>
              <w:rPr>
                <w:sz w:val="20"/>
                <w:szCs w:val="20"/>
                <w:color w:val="auto"/>
              </w:rPr>
            </w:pPr>
            <w:r>
              <w:rPr>
                <w:rFonts w:ascii="Arial" w:cs="Arial" w:eastAsia="Arial" w:hAnsi="Arial"/>
                <w:sz w:val="11"/>
                <w:szCs w:val="11"/>
                <w:color w:val="auto"/>
              </w:rPr>
              <w:t>1,214,157</w:t>
            </w:r>
          </w:p>
        </w:tc>
        <w:tc>
          <w:tcPr>
            <w:tcW w:w="200" w:type="dxa"/>
            <w:vAlign w:val="bottom"/>
          </w:tcPr>
          <w:p>
            <w:pPr>
              <w:spacing w:after="0"/>
              <w:rPr>
                <w:sz w:val="10"/>
                <w:szCs w:val="10"/>
                <w:color w:val="auto"/>
              </w:rPr>
            </w:pPr>
          </w:p>
        </w:tc>
        <w:tc>
          <w:tcPr>
            <w:tcW w:w="1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jc w:val="right"/>
              <w:ind w:right="46"/>
              <w:spacing w:after="0" w:line="122" w:lineRule="exact"/>
              <w:rPr>
                <w:sz w:val="20"/>
                <w:szCs w:val="20"/>
                <w:color w:val="auto"/>
              </w:rPr>
            </w:pPr>
            <w:r>
              <w:rPr>
                <w:rFonts w:ascii="Arial" w:cs="Arial" w:eastAsia="Arial" w:hAnsi="Arial"/>
                <w:sz w:val="11"/>
                <w:szCs w:val="11"/>
                <w:color w:val="auto"/>
                <w:w w:val="97"/>
              </w:rPr>
              <w:t>$</w:t>
            </w: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Total equity/members' capital</w:t>
            </w:r>
          </w:p>
        </w:tc>
        <w:tc>
          <w:tcPr>
            <w:tcW w:w="18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4,592,745</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4,572,334</w:t>
            </w:r>
          </w:p>
        </w:tc>
        <w:tc>
          <w:tcPr>
            <w:tcW w:w="140" w:type="dxa"/>
            <w:vAlign w:val="bottom"/>
            <w:tcBorders>
              <w:right w:val="single" w:sz="8" w:color="auto"/>
            </w:tcBorders>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986,468</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1,024,759</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66"/>
              <w:spacing w:after="0"/>
              <w:rPr>
                <w:sz w:val="20"/>
                <w:szCs w:val="20"/>
                <w:color w:val="auto"/>
              </w:rPr>
            </w:pPr>
            <w:r>
              <w:rPr>
                <w:rFonts w:ascii="Arial" w:cs="Arial" w:eastAsia="Arial" w:hAnsi="Arial"/>
                <w:sz w:val="11"/>
                <w:szCs w:val="11"/>
                <w:b w:val="1"/>
                <w:bCs w:val="1"/>
                <w:color w:val="auto"/>
                <w:w w:val="82"/>
              </w:rPr>
              <w:t>Successor</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jc w:val="center"/>
              <w:ind w:right="66"/>
              <w:spacing w:after="0"/>
              <w:rPr>
                <w:sz w:val="20"/>
                <w:szCs w:val="20"/>
                <w:color w:val="auto"/>
              </w:rPr>
            </w:pPr>
            <w:r>
              <w:rPr>
                <w:rFonts w:ascii="Arial" w:cs="Arial" w:eastAsia="Arial" w:hAnsi="Arial"/>
                <w:sz w:val="11"/>
                <w:szCs w:val="11"/>
                <w:b w:val="1"/>
                <w:bCs w:val="1"/>
                <w:color w:val="auto"/>
                <w:w w:val="78"/>
              </w:rPr>
              <w:t>Successor</w:t>
            </w:r>
          </w:p>
        </w:tc>
        <w:tc>
          <w:tcPr>
            <w:tcW w:w="40" w:type="dxa"/>
            <w:vAlign w:val="bottom"/>
            <w:tcBorders>
              <w:bottom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Borders>
              <w:bottom w:val="single" w:sz="8" w:color="auto"/>
            </w:tcBorders>
            <w:gridSpan w:val="4"/>
          </w:tcPr>
          <w:p>
            <w:pPr>
              <w:jc w:val="center"/>
              <w:ind w:left="6"/>
              <w:spacing w:after="0"/>
              <w:rPr>
                <w:sz w:val="20"/>
                <w:szCs w:val="20"/>
                <w:color w:val="auto"/>
              </w:rPr>
            </w:pPr>
            <w:r>
              <w:rPr>
                <w:rFonts w:ascii="Arial" w:cs="Arial" w:eastAsia="Arial" w:hAnsi="Arial"/>
                <w:sz w:val="11"/>
                <w:szCs w:val="11"/>
                <w:b w:val="1"/>
                <w:bCs w:val="1"/>
                <w:color w:val="auto"/>
                <w:w w:val="81"/>
              </w:rPr>
              <w:t>Predecessor</w:t>
            </w:r>
          </w:p>
        </w:tc>
        <w:tc>
          <w:tcPr>
            <w:tcW w:w="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84"/>
              </w:rPr>
              <w:t>Predecessor</w:t>
            </w:r>
          </w:p>
        </w:tc>
        <w:tc>
          <w:tcPr>
            <w:tcW w:w="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Predecessor</w:t>
            </w:r>
          </w:p>
        </w:tc>
        <w:tc>
          <w:tcPr>
            <w:tcW w:w="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center"/>
              <w:ind w:right="66"/>
              <w:spacing w:after="0" w:line="102" w:lineRule="exact"/>
              <w:rPr>
                <w:sz w:val="20"/>
                <w:szCs w:val="20"/>
                <w:color w:val="auto"/>
              </w:rPr>
            </w:pPr>
            <w:r>
              <w:rPr>
                <w:rFonts w:ascii="Arial" w:cs="Arial" w:eastAsia="Arial" w:hAnsi="Arial"/>
                <w:sz w:val="11"/>
                <w:szCs w:val="11"/>
                <w:b w:val="1"/>
                <w:bCs w:val="1"/>
                <w:color w:val="auto"/>
                <w:w w:val="89"/>
              </w:rPr>
              <w:t>Year Ended</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4"/>
          </w:tcPr>
          <w:p>
            <w:pPr>
              <w:jc w:val="center"/>
              <w:ind w:right="66"/>
              <w:spacing w:after="0" w:line="102" w:lineRule="exact"/>
              <w:rPr>
                <w:sz w:val="20"/>
                <w:szCs w:val="20"/>
                <w:color w:val="auto"/>
              </w:rPr>
            </w:pPr>
            <w:r>
              <w:rPr>
                <w:rFonts w:ascii="Arial" w:cs="Arial" w:eastAsia="Arial" w:hAnsi="Arial"/>
                <w:sz w:val="11"/>
                <w:szCs w:val="11"/>
                <w:b w:val="1"/>
                <w:bCs w:val="1"/>
                <w:color w:val="auto"/>
                <w:w w:val="88"/>
              </w:rPr>
              <w:t>October 1, 2018 to</w:t>
            </w:r>
          </w:p>
        </w:tc>
        <w:tc>
          <w:tcPr>
            <w:tcW w:w="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4"/>
          </w:tcPr>
          <w:p>
            <w:pPr>
              <w:jc w:val="center"/>
              <w:ind w:left="6"/>
              <w:spacing w:after="0" w:line="102" w:lineRule="exact"/>
              <w:rPr>
                <w:sz w:val="20"/>
                <w:szCs w:val="20"/>
                <w:color w:val="auto"/>
              </w:rPr>
            </w:pPr>
            <w:r>
              <w:rPr>
                <w:rFonts w:ascii="Arial" w:cs="Arial" w:eastAsia="Arial" w:hAnsi="Arial"/>
                <w:sz w:val="11"/>
                <w:szCs w:val="11"/>
                <w:b w:val="1"/>
                <w:bCs w:val="1"/>
                <w:color w:val="auto"/>
                <w:w w:val="90"/>
              </w:rPr>
              <w:t>January 1, 2018 to</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tcPr>
          <w:p>
            <w:pPr>
              <w:jc w:val="center"/>
              <w:ind w:right="60"/>
              <w:spacing w:after="0" w:line="102" w:lineRule="exact"/>
              <w:rPr>
                <w:sz w:val="20"/>
                <w:szCs w:val="20"/>
                <w:color w:val="auto"/>
              </w:rPr>
            </w:pPr>
            <w:r>
              <w:rPr>
                <w:rFonts w:ascii="Arial" w:cs="Arial" w:eastAsia="Arial" w:hAnsi="Arial"/>
                <w:sz w:val="11"/>
                <w:szCs w:val="11"/>
                <w:b w:val="1"/>
                <w:bCs w:val="1"/>
                <w:color w:val="auto"/>
                <w:w w:val="89"/>
              </w:rPr>
              <w:t>Year Ended</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89"/>
              </w:rPr>
              <w:t>Year Ended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66"/>
              <w:spacing w:after="0" w:line="122" w:lineRule="exact"/>
              <w:rPr>
                <w:sz w:val="20"/>
                <w:szCs w:val="20"/>
                <w:color w:val="auto"/>
              </w:rPr>
            </w:pPr>
            <w:r>
              <w:rPr>
                <w:rFonts w:ascii="Arial" w:cs="Arial" w:eastAsia="Arial" w:hAnsi="Arial"/>
                <w:sz w:val="11"/>
                <w:szCs w:val="11"/>
                <w:b w:val="1"/>
                <w:bCs w:val="1"/>
                <w:color w:val="auto"/>
                <w:w w:val="86"/>
              </w:rPr>
              <w:t>December 31,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4"/>
          </w:tcPr>
          <w:p>
            <w:pPr>
              <w:jc w:val="center"/>
              <w:ind w:right="6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4"/>
          </w:tcPr>
          <w:p>
            <w:pPr>
              <w:jc w:val="center"/>
              <w:ind w:left="6"/>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December 31,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vMerge w:val="restart"/>
          </w:tcPr>
          <w:p>
            <w:pPr>
              <w:spacing w:after="0"/>
              <w:rPr>
                <w:sz w:val="20"/>
                <w:szCs w:val="20"/>
                <w:color w:val="auto"/>
              </w:rPr>
            </w:pPr>
            <w:r>
              <w:rPr>
                <w:rFonts w:ascii="Arial" w:cs="Arial" w:eastAsia="Arial" w:hAnsi="Arial"/>
                <w:sz w:val="11"/>
                <w:szCs w:val="11"/>
                <w:b w:val="1"/>
                <w:bCs w:val="1"/>
                <w:color w:val="auto"/>
              </w:rPr>
              <w:t>Other Financial Data:</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66"/>
              <w:spacing w:after="0"/>
              <w:rPr>
                <w:sz w:val="20"/>
                <w:szCs w:val="20"/>
                <w:color w:val="auto"/>
              </w:rPr>
            </w:pPr>
            <w:r>
              <w:rPr>
                <w:rFonts w:ascii="Arial" w:cs="Arial" w:eastAsia="Arial" w:hAnsi="Arial"/>
                <w:sz w:val="11"/>
                <w:szCs w:val="11"/>
                <w:b w:val="1"/>
                <w:bCs w:val="1"/>
                <w:color w:val="auto"/>
                <w:w w:val="89"/>
              </w:rPr>
              <w:t>2019</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center"/>
              <w:ind w:left="286"/>
              <w:spacing w:after="0"/>
              <w:rPr>
                <w:sz w:val="20"/>
                <w:szCs w:val="20"/>
                <w:color w:val="auto"/>
              </w:rPr>
            </w:pPr>
            <w:r>
              <w:rPr>
                <w:rFonts w:ascii="Arial" w:cs="Arial" w:eastAsia="Arial" w:hAnsi="Arial"/>
                <w:sz w:val="11"/>
                <w:szCs w:val="11"/>
                <w:b w:val="1"/>
                <w:bCs w:val="1"/>
                <w:color w:val="auto"/>
                <w:w w:val="89"/>
              </w:rPr>
              <w:t>2018</w:t>
            </w: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1"/>
                <w:szCs w:val="11"/>
                <w:b w:val="1"/>
                <w:bCs w:val="1"/>
                <w:color w:val="auto"/>
                <w:w w:val="89"/>
              </w:rPr>
              <w:t>2018</w:t>
            </w: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left="66"/>
              <w:spacing w:after="0"/>
              <w:rPr>
                <w:sz w:val="20"/>
                <w:szCs w:val="20"/>
                <w:color w:val="auto"/>
              </w:rPr>
            </w:pPr>
            <w:r>
              <w:rPr>
                <w:rFonts w:ascii="Arial" w:cs="Arial" w:eastAsia="Arial" w:hAnsi="Arial"/>
                <w:sz w:val="11"/>
                <w:szCs w:val="11"/>
                <w:b w:val="1"/>
                <w:bCs w:val="1"/>
                <w:color w:val="auto"/>
                <w:w w:val="89"/>
              </w:rPr>
              <w:t>2017</w:t>
            </w: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9"/>
              </w:rPr>
              <w:t>2016</w:t>
            </w: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15"/>
          </w:tcPr>
          <w:p>
            <w:pPr>
              <w:jc w:val="right"/>
              <w:ind w:right="560"/>
              <w:spacing w:after="0" w:line="105" w:lineRule="exact"/>
              <w:rPr>
                <w:sz w:val="20"/>
                <w:szCs w:val="20"/>
                <w:color w:val="auto"/>
              </w:rPr>
            </w:pPr>
            <w:r>
              <w:rPr>
                <w:rFonts w:ascii="Arial" w:cs="Arial" w:eastAsia="Arial" w:hAnsi="Arial"/>
                <w:sz w:val="11"/>
                <w:szCs w:val="11"/>
                <w:b w:val="1"/>
                <w:bCs w:val="1"/>
                <w:color w:val="auto"/>
                <w:w w:val="86"/>
              </w:rPr>
              <w:t>(in thousands, except share and per share amounts)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020" w:type="dxa"/>
            <w:vAlign w:val="bottom"/>
          </w:tcPr>
          <w:p>
            <w:pPr>
              <w:spacing w:after="0" w:line="106" w:lineRule="exact"/>
              <w:rPr>
                <w:sz w:val="20"/>
                <w:szCs w:val="20"/>
                <w:color w:val="auto"/>
              </w:rPr>
            </w:pPr>
            <w:r>
              <w:rPr>
                <w:rFonts w:ascii="Arial" w:cs="Arial" w:eastAsia="Arial" w:hAnsi="Arial"/>
                <w:sz w:val="11"/>
                <w:szCs w:val="11"/>
                <w:color w:val="auto"/>
              </w:rPr>
              <w:t>Cash Flow from Operating Activities</w:t>
            </w:r>
          </w:p>
        </w:tc>
        <w:tc>
          <w:tcPr>
            <w:tcW w:w="140" w:type="dxa"/>
            <w:vAlign w:val="bottom"/>
          </w:tcPr>
          <w:p>
            <w:pPr>
              <w:jc w:val="right"/>
              <w:ind w:right="6"/>
              <w:spacing w:after="0" w:line="106" w:lineRule="exact"/>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spacing w:after="0" w:line="106" w:lineRule="exact"/>
              <w:rPr>
                <w:sz w:val="20"/>
                <w:szCs w:val="20"/>
                <w:color w:val="auto"/>
              </w:rPr>
            </w:pPr>
            <w:r>
              <w:rPr>
                <w:rFonts w:ascii="Arial" w:cs="Arial" w:eastAsia="Arial" w:hAnsi="Arial"/>
                <w:sz w:val="11"/>
                <w:szCs w:val="11"/>
                <w:color w:val="auto"/>
              </w:rPr>
              <w:t>311,003</w:t>
            </w:r>
          </w:p>
        </w:tc>
        <w:tc>
          <w:tcPr>
            <w:tcW w:w="320" w:type="dxa"/>
            <w:vAlign w:val="bottom"/>
            <w:gridSpan w:val="3"/>
          </w:tcPr>
          <w:p>
            <w:pPr>
              <w:jc w:val="right"/>
              <w:ind w:right="40"/>
              <w:spacing w:after="0" w:line="106"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spacing w:after="0" w:line="106" w:lineRule="exact"/>
              <w:rPr>
                <w:sz w:val="20"/>
                <w:szCs w:val="20"/>
                <w:color w:val="auto"/>
              </w:rPr>
            </w:pPr>
            <w:r>
              <w:rPr>
                <w:rFonts w:ascii="Arial" w:cs="Arial" w:eastAsia="Arial" w:hAnsi="Arial"/>
                <w:sz w:val="11"/>
                <w:szCs w:val="11"/>
                <w:color w:val="auto"/>
              </w:rPr>
              <w:t>112,556</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426"/>
              <w:spacing w:after="0" w:line="106"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80" w:type="dxa"/>
            <w:vAlign w:val="bottom"/>
            <w:gridSpan w:val="2"/>
          </w:tcPr>
          <w:p>
            <w:pPr>
              <w:jc w:val="right"/>
              <w:spacing w:after="0" w:line="106" w:lineRule="exact"/>
              <w:rPr>
                <w:sz w:val="20"/>
                <w:szCs w:val="20"/>
                <w:color w:val="auto"/>
              </w:rPr>
            </w:pPr>
            <w:r>
              <w:rPr>
                <w:rFonts w:ascii="Arial" w:cs="Arial" w:eastAsia="Arial" w:hAnsi="Arial"/>
                <w:sz w:val="11"/>
                <w:szCs w:val="11"/>
                <w:color w:val="auto"/>
                <w:w w:val="90"/>
              </w:rPr>
              <w:t>164,828</w:t>
            </w:r>
          </w:p>
        </w:tc>
        <w:tc>
          <w:tcPr>
            <w:tcW w:w="320" w:type="dxa"/>
            <w:vAlign w:val="bottom"/>
            <w:gridSpan w:val="3"/>
          </w:tcPr>
          <w:p>
            <w:pPr>
              <w:jc w:val="right"/>
              <w:ind w:right="40"/>
              <w:spacing w:after="0" w:line="106" w:lineRule="exact"/>
              <w:rPr>
                <w:sz w:val="20"/>
                <w:szCs w:val="20"/>
                <w:color w:val="auto"/>
              </w:rPr>
            </w:pPr>
            <w:r>
              <w:rPr>
                <w:rFonts w:ascii="Arial" w:cs="Arial" w:eastAsia="Arial" w:hAnsi="Arial"/>
                <w:sz w:val="11"/>
                <w:szCs w:val="11"/>
                <w:color w:val="auto"/>
              </w:rPr>
              <w:t>$</w:t>
            </w:r>
          </w:p>
        </w:tc>
        <w:tc>
          <w:tcPr>
            <w:tcW w:w="760" w:type="dxa"/>
            <w:vAlign w:val="bottom"/>
            <w:gridSpan w:val="3"/>
          </w:tcPr>
          <w:p>
            <w:pPr>
              <w:jc w:val="right"/>
              <w:spacing w:after="0" w:line="106" w:lineRule="exact"/>
              <w:rPr>
                <w:sz w:val="20"/>
                <w:szCs w:val="20"/>
                <w:color w:val="auto"/>
              </w:rPr>
            </w:pPr>
            <w:r>
              <w:rPr>
                <w:rFonts w:ascii="Arial" w:cs="Arial" w:eastAsia="Arial" w:hAnsi="Arial"/>
                <w:sz w:val="11"/>
                <w:szCs w:val="11"/>
                <w:color w:val="auto"/>
              </w:rPr>
              <w:t>224,580</w:t>
            </w:r>
          </w:p>
        </w:tc>
        <w:tc>
          <w:tcPr>
            <w:tcW w:w="280" w:type="dxa"/>
            <w:vAlign w:val="bottom"/>
            <w:gridSpan w:val="3"/>
          </w:tcPr>
          <w:p>
            <w:pPr>
              <w:jc w:val="right"/>
              <w:spacing w:after="0" w:line="106"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06" w:lineRule="exact"/>
              <w:rPr>
                <w:sz w:val="20"/>
                <w:szCs w:val="20"/>
                <w:color w:val="auto"/>
              </w:rPr>
            </w:pPr>
            <w:r>
              <w:rPr>
                <w:rFonts w:ascii="Arial" w:cs="Arial" w:eastAsia="Arial" w:hAnsi="Arial"/>
                <w:sz w:val="11"/>
                <w:szCs w:val="11"/>
                <w:color w:val="auto"/>
              </w:rPr>
              <w:t>171,845</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020" w:type="dxa"/>
            <w:vAlign w:val="bottom"/>
            <w:vMerge w:val="restart"/>
          </w:tcPr>
          <w:p>
            <w:pPr>
              <w:spacing w:after="0" w:line="122" w:lineRule="exact"/>
              <w:rPr>
                <w:sz w:val="20"/>
                <w:szCs w:val="20"/>
                <w:color w:val="auto"/>
              </w:rPr>
            </w:pPr>
            <w:r>
              <w:rPr>
                <w:rFonts w:ascii="Arial" w:cs="Arial" w:eastAsia="Arial" w:hAnsi="Arial"/>
                <w:sz w:val="11"/>
                <w:szCs w:val="11"/>
                <w:color w:val="auto"/>
              </w:rPr>
              <w:t>Free Cash Flow</w:t>
            </w:r>
            <w:r>
              <w:rPr>
                <w:rFonts w:ascii="Arial" w:cs="Arial" w:eastAsia="Arial" w:hAnsi="Arial"/>
                <w:sz w:val="11"/>
                <w:szCs w:val="11"/>
                <w:color w:val="auto"/>
                <w:vertAlign w:val="superscript"/>
              </w:rPr>
              <w:t>(4)</w:t>
            </w:r>
          </w:p>
        </w:tc>
        <w:tc>
          <w:tcPr>
            <w:tcW w:w="140" w:type="dxa"/>
            <w:vAlign w:val="bottom"/>
            <w:vMerge w:val="restart"/>
          </w:tcPr>
          <w:p>
            <w:pPr>
              <w:jc w:val="right"/>
              <w:ind w:right="6"/>
              <w:spacing w:after="0" w:line="122" w:lineRule="exact"/>
              <w:rPr>
                <w:sz w:val="20"/>
                <w:szCs w:val="20"/>
                <w:color w:val="auto"/>
              </w:rPr>
            </w:pPr>
            <w:r>
              <w:rPr>
                <w:rFonts w:ascii="Arial" w:cs="Arial" w:eastAsia="Arial" w:hAnsi="Arial"/>
                <w:sz w:val="11"/>
                <w:szCs w:val="11"/>
                <w:color w:val="auto"/>
                <w:w w:val="97"/>
              </w:rPr>
              <w:t>$</w:t>
            </w:r>
          </w:p>
        </w:tc>
        <w:tc>
          <w:tcPr>
            <w:tcW w:w="82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266,541</w:t>
            </w:r>
          </w:p>
        </w:tc>
        <w:tc>
          <w:tcPr>
            <w:tcW w:w="320" w:type="dxa"/>
            <w:vAlign w:val="bottom"/>
            <w:gridSpan w:val="3"/>
            <w:vMerge w:val="restart"/>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rPr>
              <w:t>96,310</w:t>
            </w: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gridSpan w:val="2"/>
            <w:vMerge w:val="restart"/>
          </w:tcPr>
          <w:p>
            <w:pPr>
              <w:jc w:val="right"/>
              <w:ind w:right="426"/>
              <w:spacing w:after="0" w:line="122" w:lineRule="exact"/>
              <w:rPr>
                <w:sz w:val="20"/>
                <w:szCs w:val="20"/>
                <w:color w:val="auto"/>
              </w:rPr>
            </w:pPr>
            <w:r>
              <w:rPr>
                <w:rFonts w:ascii="Arial" w:cs="Arial" w:eastAsia="Arial" w:hAnsi="Arial"/>
                <w:sz w:val="11"/>
                <w:szCs w:val="11"/>
                <w:color w:val="auto"/>
              </w:rPr>
              <w:t>$</w:t>
            </w:r>
          </w:p>
        </w:tc>
        <w:tc>
          <w:tcPr>
            <w:tcW w:w="160" w:type="dxa"/>
            <w:vAlign w:val="bottom"/>
            <w:vMerge w:val="restart"/>
          </w:tcPr>
          <w:p>
            <w:pPr>
              <w:spacing w:after="0"/>
              <w:rPr>
                <w:sz w:val="2"/>
                <w:szCs w:val="2"/>
                <w:color w:val="auto"/>
              </w:rPr>
            </w:pPr>
          </w:p>
        </w:tc>
        <w:tc>
          <w:tcPr>
            <w:tcW w:w="380" w:type="dxa"/>
            <w:vAlign w:val="bottom"/>
            <w:gridSpan w:val="2"/>
            <w:vMerge w:val="restart"/>
          </w:tcPr>
          <w:p>
            <w:pPr>
              <w:jc w:val="right"/>
              <w:spacing w:after="0" w:line="122" w:lineRule="exact"/>
              <w:rPr>
                <w:sz w:val="20"/>
                <w:szCs w:val="20"/>
                <w:color w:val="auto"/>
              </w:rPr>
            </w:pPr>
            <w:r>
              <w:rPr>
                <w:rFonts w:ascii="Arial" w:cs="Arial" w:eastAsia="Arial" w:hAnsi="Arial"/>
                <w:sz w:val="11"/>
                <w:szCs w:val="11"/>
                <w:color w:val="auto"/>
                <w:w w:val="90"/>
              </w:rPr>
              <w:t>138,978</w:t>
            </w:r>
          </w:p>
        </w:tc>
        <w:tc>
          <w:tcPr>
            <w:tcW w:w="320" w:type="dxa"/>
            <w:vAlign w:val="bottom"/>
            <w:gridSpan w:val="3"/>
            <w:vMerge w:val="restart"/>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3"/>
            <w:vMerge w:val="restart"/>
          </w:tcPr>
          <w:p>
            <w:pPr>
              <w:jc w:val="right"/>
              <w:spacing w:after="0" w:line="122" w:lineRule="exact"/>
              <w:rPr>
                <w:sz w:val="20"/>
                <w:szCs w:val="20"/>
                <w:color w:val="auto"/>
              </w:rPr>
            </w:pPr>
            <w:r>
              <w:rPr>
                <w:rFonts w:ascii="Arial" w:cs="Arial" w:eastAsia="Arial" w:hAnsi="Arial"/>
                <w:sz w:val="11"/>
                <w:szCs w:val="11"/>
                <w:color w:val="auto"/>
              </w:rPr>
              <w:t>183,962</w:t>
            </w:r>
          </w:p>
        </w:tc>
        <w:tc>
          <w:tcPr>
            <w:tcW w:w="280" w:type="dxa"/>
            <w:vAlign w:val="bottom"/>
            <w:gridSpan w:val="3"/>
            <w:vMerge w:val="restart"/>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136,496</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302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32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320" w:type="dxa"/>
            <w:vAlign w:val="bottom"/>
            <w:gridSpan w:val="3"/>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280" w:type="dxa"/>
            <w:vAlign w:val="bottom"/>
            <w:gridSpan w:val="3"/>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line="122" w:lineRule="exact"/>
              <w:rPr>
                <w:sz w:val="20"/>
                <w:szCs w:val="20"/>
                <w:color w:val="auto"/>
              </w:rPr>
            </w:pPr>
            <w:r>
              <w:rPr>
                <w:rFonts w:ascii="Arial" w:cs="Arial" w:eastAsia="Arial" w:hAnsi="Arial"/>
                <w:sz w:val="11"/>
                <w:szCs w:val="11"/>
                <w:color w:val="auto"/>
              </w:rPr>
              <w:t>Adjusted EBITDA</w:t>
            </w:r>
            <w:r>
              <w:rPr>
                <w:rFonts w:ascii="Arial" w:cs="Arial" w:eastAsia="Arial" w:hAnsi="Arial"/>
                <w:sz w:val="11"/>
                <w:szCs w:val="11"/>
                <w:color w:val="auto"/>
                <w:vertAlign w:val="superscript"/>
              </w:rPr>
              <w:t>(5)</w:t>
            </w:r>
          </w:p>
        </w:tc>
        <w:tc>
          <w:tcPr>
            <w:tcW w:w="140" w:type="dxa"/>
            <w:vAlign w:val="bottom"/>
          </w:tcPr>
          <w:p>
            <w:pPr>
              <w:jc w:val="right"/>
              <w:ind w:right="6"/>
              <w:spacing w:after="0" w:line="122" w:lineRule="exact"/>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353,162</w:t>
            </w:r>
          </w:p>
        </w:tc>
        <w:tc>
          <w:tcPr>
            <w:tcW w:w="32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65,308</w:t>
            </w:r>
          </w:p>
        </w:tc>
        <w:tc>
          <w:tcPr>
            <w:tcW w:w="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40" w:type="dxa"/>
            <w:vAlign w:val="bottom"/>
            <w:gridSpan w:val="2"/>
          </w:tcPr>
          <w:p>
            <w:pPr>
              <w:jc w:val="right"/>
              <w:ind w:right="42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8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0"/>
              </w:rPr>
              <w:t>214,091</w:t>
            </w:r>
          </w:p>
        </w:tc>
        <w:tc>
          <w:tcPr>
            <w:tcW w:w="32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215,185</w:t>
            </w:r>
          </w:p>
        </w:tc>
        <w:tc>
          <w:tcPr>
            <w:tcW w:w="2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200,771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line="122" w:lineRule="exact"/>
              <w:rPr>
                <w:sz w:val="20"/>
                <w:szCs w:val="20"/>
                <w:color w:val="auto"/>
              </w:rPr>
            </w:pPr>
            <w:r>
              <w:rPr>
                <w:rFonts w:ascii="Arial" w:cs="Arial" w:eastAsia="Arial" w:hAnsi="Arial"/>
                <w:sz w:val="11"/>
                <w:szCs w:val="11"/>
                <w:color w:val="auto"/>
              </w:rPr>
              <w:t>Adjusted EBITDA margin</w:t>
            </w:r>
            <w:r>
              <w:rPr>
                <w:rFonts w:ascii="Arial" w:cs="Arial" w:eastAsia="Arial" w:hAnsi="Arial"/>
                <w:sz w:val="11"/>
                <w:szCs w:val="11"/>
                <w:color w:val="auto"/>
                <w:vertAlign w:val="superscript"/>
              </w:rPr>
              <w:t>(5)</w:t>
            </w:r>
          </w:p>
        </w:tc>
        <w:tc>
          <w:tcPr>
            <w:tcW w:w="140" w:type="dxa"/>
            <w:vAlign w:val="bottom"/>
          </w:tcPr>
          <w:p>
            <w:pPr>
              <w:spacing w:after="0"/>
              <w:rPr>
                <w:sz w:val="10"/>
                <w:szCs w:val="10"/>
                <w:color w:val="auto"/>
              </w:rPr>
            </w:pPr>
          </w:p>
        </w:tc>
        <w:tc>
          <w:tcPr>
            <w:tcW w:w="98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45.5 %</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36.6</w:t>
            </w:r>
          </w:p>
        </w:tc>
        <w:tc>
          <w:tcPr>
            <w:tcW w:w="240" w:type="dxa"/>
            <w:vAlign w:val="bottom"/>
            <w:tcBorders>
              <w:right w:val="single" w:sz="8" w:color="auto"/>
            </w:tcBorders>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rPr>
              <w:t>42.3 %</w:t>
            </w:r>
          </w:p>
        </w:tc>
        <w:tc>
          <w:tcPr>
            <w:tcW w:w="120" w:type="dxa"/>
            <w:vAlign w:val="bottom"/>
          </w:tcPr>
          <w:p>
            <w:pPr>
              <w:spacing w:after="0"/>
              <w:rPr>
                <w:sz w:val="10"/>
                <w:szCs w:val="10"/>
                <w:color w:val="auto"/>
              </w:rPr>
            </w:pPr>
          </w:p>
        </w:tc>
        <w:tc>
          <w:tcPr>
            <w:tcW w:w="960" w:type="dxa"/>
            <w:vAlign w:val="bottom"/>
            <w:gridSpan w:val="5"/>
          </w:tcPr>
          <w:p>
            <w:pPr>
              <w:jc w:val="right"/>
              <w:ind w:right="60"/>
              <w:spacing w:after="0" w:line="122" w:lineRule="exact"/>
              <w:rPr>
                <w:sz w:val="20"/>
                <w:szCs w:val="20"/>
                <w:color w:val="auto"/>
              </w:rPr>
            </w:pPr>
            <w:r>
              <w:rPr>
                <w:rFonts w:ascii="Arial" w:cs="Arial" w:eastAsia="Arial" w:hAnsi="Arial"/>
                <w:sz w:val="11"/>
                <w:szCs w:val="11"/>
                <w:color w:val="auto"/>
              </w:rPr>
              <w:t>38.2 %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38.7</w:t>
            </w:r>
          </w:p>
        </w:tc>
        <w:tc>
          <w:tcPr>
            <w:tcW w:w="18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020" w:type="dxa"/>
            <w:vAlign w:val="bottom"/>
          </w:tcPr>
          <w:p>
            <w:pPr>
              <w:spacing w:after="0" w:line="122" w:lineRule="exact"/>
              <w:rPr>
                <w:sz w:val="20"/>
                <w:szCs w:val="20"/>
                <w:color w:val="auto"/>
              </w:rPr>
            </w:pPr>
            <w:r>
              <w:rPr>
                <w:rFonts w:ascii="Arial" w:cs="Arial" w:eastAsia="Arial" w:hAnsi="Arial"/>
                <w:sz w:val="11"/>
                <w:szCs w:val="11"/>
                <w:color w:val="auto"/>
              </w:rPr>
              <w:t>Adjusted EBIT</w:t>
            </w:r>
            <w:r>
              <w:rPr>
                <w:rFonts w:ascii="Arial" w:cs="Arial" w:eastAsia="Arial" w:hAnsi="Arial"/>
                <w:sz w:val="11"/>
                <w:szCs w:val="11"/>
                <w:color w:val="auto"/>
                <w:vertAlign w:val="superscript"/>
              </w:rPr>
              <w:t>(5)</w:t>
            </w:r>
          </w:p>
        </w:tc>
        <w:tc>
          <w:tcPr>
            <w:tcW w:w="140" w:type="dxa"/>
            <w:vAlign w:val="bottom"/>
          </w:tcPr>
          <w:p>
            <w:pPr>
              <w:jc w:val="right"/>
              <w:ind w:right="6"/>
              <w:spacing w:after="0" w:line="122" w:lineRule="exact"/>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311,397</w:t>
            </w:r>
          </w:p>
        </w:tc>
        <w:tc>
          <w:tcPr>
            <w:tcW w:w="32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54,701</w:t>
            </w:r>
          </w:p>
        </w:tc>
        <w:tc>
          <w:tcPr>
            <w:tcW w:w="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40" w:type="dxa"/>
            <w:vAlign w:val="bottom"/>
            <w:gridSpan w:val="2"/>
          </w:tcPr>
          <w:p>
            <w:pPr>
              <w:jc w:val="right"/>
              <w:ind w:right="426"/>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8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0"/>
              </w:rPr>
              <w:t>184,859</w:t>
            </w:r>
          </w:p>
        </w:tc>
        <w:tc>
          <w:tcPr>
            <w:tcW w:w="32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177,806</w:t>
            </w:r>
          </w:p>
        </w:tc>
        <w:tc>
          <w:tcPr>
            <w:tcW w:w="2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161,037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line="122" w:lineRule="exact"/>
              <w:rPr>
                <w:sz w:val="20"/>
                <w:szCs w:val="20"/>
                <w:color w:val="auto"/>
              </w:rPr>
            </w:pPr>
            <w:r>
              <w:rPr>
                <w:rFonts w:ascii="Arial" w:cs="Arial" w:eastAsia="Arial" w:hAnsi="Arial"/>
                <w:sz w:val="11"/>
                <w:szCs w:val="11"/>
                <w:color w:val="auto"/>
              </w:rPr>
              <w:t>Adjusted EBIT margin</w:t>
            </w:r>
            <w:r>
              <w:rPr>
                <w:rFonts w:ascii="Arial" w:cs="Arial" w:eastAsia="Arial" w:hAnsi="Arial"/>
                <w:sz w:val="11"/>
                <w:szCs w:val="11"/>
                <w:color w:val="auto"/>
                <w:vertAlign w:val="superscript"/>
              </w:rPr>
              <w:t>(5)</w:t>
            </w:r>
          </w:p>
        </w:tc>
        <w:tc>
          <w:tcPr>
            <w:tcW w:w="140" w:type="dxa"/>
            <w:vAlign w:val="bottom"/>
          </w:tcPr>
          <w:p>
            <w:pPr>
              <w:spacing w:after="0"/>
              <w:rPr>
                <w:sz w:val="10"/>
                <w:szCs w:val="10"/>
                <w:color w:val="auto"/>
              </w:rPr>
            </w:pPr>
          </w:p>
        </w:tc>
        <w:tc>
          <w:tcPr>
            <w:tcW w:w="98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40.2 %</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30.6</w:t>
            </w:r>
          </w:p>
        </w:tc>
        <w:tc>
          <w:tcPr>
            <w:tcW w:w="240" w:type="dxa"/>
            <w:vAlign w:val="bottom"/>
            <w:tcBorders>
              <w:right w:val="single" w:sz="8" w:color="auto"/>
            </w:tcBorders>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4"/>
          </w:tcPr>
          <w:p>
            <w:pPr>
              <w:jc w:val="right"/>
              <w:ind w:right="60"/>
              <w:spacing w:after="0" w:line="122" w:lineRule="exact"/>
              <w:rPr>
                <w:sz w:val="20"/>
                <w:szCs w:val="20"/>
                <w:color w:val="auto"/>
              </w:rPr>
            </w:pPr>
            <w:r>
              <w:rPr>
                <w:rFonts w:ascii="Arial" w:cs="Arial" w:eastAsia="Arial" w:hAnsi="Arial"/>
                <w:sz w:val="11"/>
                <w:szCs w:val="11"/>
                <w:color w:val="auto"/>
              </w:rPr>
              <w:t>36.5 %</w:t>
            </w:r>
          </w:p>
        </w:tc>
        <w:tc>
          <w:tcPr>
            <w:tcW w:w="120" w:type="dxa"/>
            <w:vAlign w:val="bottom"/>
          </w:tcPr>
          <w:p>
            <w:pPr>
              <w:spacing w:after="0"/>
              <w:rPr>
                <w:sz w:val="10"/>
                <w:szCs w:val="10"/>
                <w:color w:val="auto"/>
              </w:rPr>
            </w:pPr>
          </w:p>
        </w:tc>
        <w:tc>
          <w:tcPr>
            <w:tcW w:w="960" w:type="dxa"/>
            <w:vAlign w:val="bottom"/>
            <w:gridSpan w:val="5"/>
          </w:tcPr>
          <w:p>
            <w:pPr>
              <w:jc w:val="right"/>
              <w:ind w:right="60"/>
              <w:spacing w:after="0" w:line="122" w:lineRule="exact"/>
              <w:rPr>
                <w:sz w:val="20"/>
                <w:szCs w:val="20"/>
                <w:color w:val="auto"/>
              </w:rPr>
            </w:pPr>
            <w:r>
              <w:rPr>
                <w:rFonts w:ascii="Arial" w:cs="Arial" w:eastAsia="Arial" w:hAnsi="Arial"/>
                <w:sz w:val="11"/>
                <w:szCs w:val="11"/>
                <w:color w:val="auto"/>
              </w:rPr>
              <w:t>31.6 %</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31.1</w:t>
            </w:r>
          </w:p>
        </w:tc>
        <w:tc>
          <w:tcPr>
            <w:tcW w:w="18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1"/>
                <w:szCs w:val="11"/>
                <w:color w:val="auto"/>
              </w:rPr>
              <w:t>Adjusted Net Income</w:t>
            </w:r>
            <w:r>
              <w:rPr>
                <w:rFonts w:ascii="Arial" w:cs="Arial" w:eastAsia="Arial" w:hAnsi="Arial"/>
                <w:sz w:val="11"/>
                <w:szCs w:val="11"/>
                <w:color w:val="auto"/>
                <w:vertAlign w:val="superscript"/>
              </w:rPr>
              <w:t>(5)</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230,935</w:t>
            </w:r>
          </w:p>
        </w:tc>
        <w:tc>
          <w:tcPr>
            <w:tcW w:w="3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40,839</w:t>
            </w:r>
          </w:p>
        </w:tc>
        <w:tc>
          <w:tcPr>
            <w:tcW w:w="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40" w:type="dxa"/>
            <w:vAlign w:val="bottom"/>
            <w:gridSpan w:val="2"/>
          </w:tcPr>
          <w:p>
            <w:pPr>
              <w:jc w:val="right"/>
              <w:ind w:right="4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w w:val="90"/>
              </w:rPr>
              <w:t>137,327</w:t>
            </w:r>
          </w:p>
        </w:tc>
        <w:tc>
          <w:tcPr>
            <w:tcW w:w="3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spacing w:after="0"/>
              <w:rPr>
                <w:sz w:val="20"/>
                <w:szCs w:val="20"/>
                <w:color w:val="auto"/>
              </w:rPr>
            </w:pPr>
            <w:r>
              <w:rPr>
                <w:rFonts w:ascii="Arial" w:cs="Arial" w:eastAsia="Arial" w:hAnsi="Arial"/>
                <w:sz w:val="11"/>
                <w:szCs w:val="11"/>
                <w:color w:val="auto"/>
              </w:rPr>
              <w:t>131,369</w:t>
            </w:r>
          </w:p>
        </w:tc>
        <w:tc>
          <w:tcPr>
            <w:tcW w:w="2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118,012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02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Adjusted Diluted EPS</w:t>
            </w:r>
            <w:r>
              <w:rPr>
                <w:rFonts w:ascii="Arial" w:cs="Arial" w:eastAsia="Arial" w:hAnsi="Arial"/>
                <w:sz w:val="11"/>
                <w:szCs w:val="11"/>
                <w:color w:val="auto"/>
                <w:vertAlign w:val="superscript"/>
              </w:rPr>
              <w:t>(5)</w:t>
            </w:r>
          </w:p>
        </w:tc>
        <w:tc>
          <w:tcPr>
            <w:tcW w:w="14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1"/>
                <w:szCs w:val="11"/>
                <w:color w:val="auto"/>
              </w:rPr>
              <w:t>0.23</w:t>
            </w:r>
          </w:p>
        </w:tc>
        <w:tc>
          <w:tcPr>
            <w:tcW w:w="320" w:type="dxa"/>
            <w:vAlign w:val="bottom"/>
            <w:gridSpan w:val="3"/>
            <w:shd w:val="clear" w:color="auto" w:fill="CCEEFF"/>
          </w:tcPr>
          <w:p>
            <w:pPr>
              <w:jc w:val="right"/>
              <w:ind w:right="180"/>
              <w:spacing w:after="0" w:line="112" w:lineRule="exact"/>
              <w:rPr>
                <w:sz w:val="20"/>
                <w:szCs w:val="20"/>
                <w:color w:val="auto"/>
              </w:rPr>
            </w:pPr>
            <w:r>
              <w:rPr>
                <w:rFonts w:ascii="Arial" w:cs="Arial" w:eastAsia="Arial" w:hAnsi="Arial"/>
                <w:sz w:val="11"/>
                <w:szCs w:val="11"/>
                <w:color w:val="auto"/>
                <w:w w:val="88"/>
              </w:rPr>
              <w:t>(a)</w:t>
            </w: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0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0.77</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(b)  $</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0.18</w:t>
            </w:r>
          </w:p>
        </w:tc>
        <w:tc>
          <w:tcPr>
            <w:tcW w:w="2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(a)</w:t>
            </w:r>
          </w:p>
        </w:tc>
        <w:tc>
          <w:tcPr>
            <w:tcW w:w="640" w:type="dxa"/>
            <w:vAlign w:val="bottom"/>
            <w:gridSpan w:val="2"/>
            <w:shd w:val="clear" w:color="auto" w:fill="CCEEFF"/>
          </w:tcPr>
          <w:p>
            <w:pPr>
              <w:jc w:val="right"/>
              <w:ind w:right="42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(a) $</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0.62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(a) $</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0.56</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r>
        <w:trPr>
          <w:trHeight w:val="553"/>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w w:val="89"/>
              </w:rPr>
              <w:t>Year Ended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5"/>
          </w:tcPr>
          <w:p>
            <w:pPr>
              <w:jc w:val="center"/>
              <w:ind w:right="500"/>
              <w:spacing w:after="0"/>
              <w:rPr>
                <w:sz w:val="20"/>
                <w:szCs w:val="20"/>
                <w:color w:val="auto"/>
              </w:rPr>
            </w:pPr>
            <w:r>
              <w:rPr>
                <w:rFonts w:ascii="Arial" w:cs="Arial" w:eastAsia="Arial" w:hAnsi="Arial"/>
                <w:sz w:val="11"/>
                <w:szCs w:val="11"/>
                <w:b w:val="1"/>
                <w:bCs w:val="1"/>
                <w:color w:val="auto"/>
                <w:w w:val="89"/>
              </w:rPr>
              <w:t>Year Ended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6"/>
          </w:tcPr>
          <w:p>
            <w:pPr>
              <w:jc w:val="center"/>
              <w:ind w:right="460"/>
              <w:spacing w:after="0"/>
              <w:rPr>
                <w:sz w:val="20"/>
                <w:szCs w:val="20"/>
                <w:color w:val="auto"/>
              </w:rPr>
            </w:pPr>
            <w:r>
              <w:rPr>
                <w:rFonts w:ascii="Arial" w:cs="Arial" w:eastAsia="Arial" w:hAnsi="Arial"/>
                <w:sz w:val="11"/>
                <w:szCs w:val="11"/>
                <w:b w:val="1"/>
                <w:bCs w:val="1"/>
                <w:color w:val="auto"/>
                <w:w w:val="89"/>
              </w:rPr>
              <w:t>Year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center"/>
              <w:ind w:right="206"/>
              <w:spacing w:after="0"/>
              <w:rPr>
                <w:sz w:val="20"/>
                <w:szCs w:val="20"/>
                <w:color w:val="auto"/>
              </w:rPr>
            </w:pPr>
            <w:r>
              <w:rPr>
                <w:rFonts w:ascii="Arial" w:cs="Arial" w:eastAsia="Arial" w:hAnsi="Arial"/>
                <w:sz w:val="11"/>
                <w:szCs w:val="11"/>
                <w:b w:val="1"/>
                <w:bCs w:val="1"/>
                <w:color w:val="auto"/>
                <w:w w:val="89"/>
              </w:rPr>
              <w:t>Year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gridSpan w:val="6"/>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20" w:type="dxa"/>
            <w:vAlign w:val="bottom"/>
          </w:tcPr>
          <w:p>
            <w:pPr>
              <w:spacing w:after="0"/>
              <w:rPr>
                <w:sz w:val="10"/>
                <w:szCs w:val="10"/>
                <w:color w:val="auto"/>
              </w:rPr>
            </w:pPr>
          </w:p>
        </w:tc>
        <w:tc>
          <w:tcPr>
            <w:tcW w:w="1360" w:type="dxa"/>
            <w:vAlign w:val="bottom"/>
            <w:gridSpan w:val="6"/>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6"/>
          </w:tcPr>
          <w:p>
            <w:pPr>
              <w:jc w:val="center"/>
              <w:ind w:right="46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14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vMerge w:val="restart"/>
          </w:tcPr>
          <w:p>
            <w:pPr>
              <w:spacing w:after="0"/>
              <w:rPr>
                <w:sz w:val="20"/>
                <w:szCs w:val="20"/>
                <w:color w:val="auto"/>
              </w:rPr>
            </w:pPr>
            <w:r>
              <w:rPr>
                <w:rFonts w:ascii="Arial" w:cs="Arial" w:eastAsia="Arial" w:hAnsi="Arial"/>
                <w:sz w:val="11"/>
                <w:szCs w:val="11"/>
                <w:b w:val="1"/>
                <w:bCs w:val="1"/>
                <w:color w:val="auto"/>
              </w:rPr>
              <w:t>Operating Data:</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gridSpan w:val="3"/>
          </w:tcPr>
          <w:p>
            <w:pPr>
              <w:jc w:val="center"/>
              <w:ind w:left="46"/>
              <w:spacing w:after="0"/>
              <w:rPr>
                <w:sz w:val="20"/>
                <w:szCs w:val="20"/>
                <w:color w:val="auto"/>
              </w:rPr>
            </w:pPr>
            <w:r>
              <w:rPr>
                <w:rFonts w:ascii="Arial" w:cs="Arial" w:eastAsia="Arial" w:hAnsi="Arial"/>
                <w:sz w:val="11"/>
                <w:szCs w:val="11"/>
                <w:b w:val="1"/>
                <w:bCs w:val="1"/>
                <w:color w:val="auto"/>
                <w:w w:val="89"/>
              </w:rPr>
              <w:t>2019</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4"/>
          </w:tcPr>
          <w:p>
            <w:pPr>
              <w:jc w:val="center"/>
              <w:ind w:right="286"/>
              <w:spacing w:after="0"/>
              <w:rPr>
                <w:sz w:val="20"/>
                <w:szCs w:val="20"/>
                <w:color w:val="auto"/>
              </w:rPr>
            </w:pPr>
            <w:r>
              <w:rPr>
                <w:rFonts w:ascii="Arial" w:cs="Arial" w:eastAsia="Arial" w:hAnsi="Arial"/>
                <w:sz w:val="11"/>
                <w:szCs w:val="11"/>
                <w:b w:val="1"/>
                <w:bCs w:val="1"/>
                <w:color w:val="auto"/>
                <w:w w:val="89"/>
              </w:rPr>
              <w:t>2018</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4"/>
          </w:tcPr>
          <w:p>
            <w:pPr>
              <w:jc w:val="center"/>
              <w:ind w:right="226"/>
              <w:spacing w:after="0"/>
              <w:rPr>
                <w:sz w:val="20"/>
                <w:szCs w:val="20"/>
                <w:color w:val="auto"/>
              </w:rPr>
            </w:pPr>
            <w:r>
              <w:rPr>
                <w:rFonts w:ascii="Arial" w:cs="Arial" w:eastAsia="Arial" w:hAnsi="Arial"/>
                <w:sz w:val="11"/>
                <w:szCs w:val="11"/>
                <w:b w:val="1"/>
                <w:bCs w:val="1"/>
                <w:color w:val="auto"/>
                <w:w w:val="89"/>
              </w:rPr>
              <w:t>2017</w:t>
            </w: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06"/>
              <w:spacing w:after="0"/>
              <w:rPr>
                <w:sz w:val="20"/>
                <w:szCs w:val="20"/>
                <w:color w:val="auto"/>
              </w:rPr>
            </w:pPr>
            <w:r>
              <w:rPr>
                <w:rFonts w:ascii="Arial" w:cs="Arial" w:eastAsia="Arial" w:hAnsi="Arial"/>
                <w:sz w:val="11"/>
                <w:szCs w:val="11"/>
                <w:b w:val="1"/>
                <w:bCs w:val="1"/>
                <w:color w:val="auto"/>
                <w:w w:val="89"/>
              </w:rPr>
              <w:t>2016</w:t>
            </w: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4"/>
          </w:tcPr>
          <w:p>
            <w:pPr>
              <w:jc w:val="right"/>
              <w:ind w:right="66"/>
              <w:spacing w:after="0" w:line="115" w:lineRule="exact"/>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rPr>
                <w:sz w:val="20"/>
                <w:szCs w:val="20"/>
                <w:color w:val="auto"/>
              </w:rPr>
            </w:pPr>
            <w:r>
              <w:rPr>
                <w:rFonts w:ascii="Arial" w:cs="Arial" w:eastAsia="Arial" w:hAnsi="Arial"/>
                <w:sz w:val="11"/>
                <w:szCs w:val="11"/>
                <w:color w:val="auto"/>
              </w:rPr>
              <w:t>Average Daily Volumes:</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20" w:type="dxa"/>
            <w:vAlign w:val="bottom"/>
          </w:tcPr>
          <w:p>
            <w:pPr>
              <w:ind w:left="120"/>
              <w:spacing w:after="0" w:line="122" w:lineRule="exact"/>
              <w:rPr>
                <w:sz w:val="20"/>
                <w:szCs w:val="20"/>
                <w:color w:val="auto"/>
              </w:rPr>
            </w:pPr>
            <w:r>
              <w:rPr>
                <w:rFonts w:ascii="Arial" w:cs="Arial" w:eastAsia="Arial" w:hAnsi="Arial"/>
                <w:sz w:val="11"/>
                <w:szCs w:val="11"/>
                <w:color w:val="auto"/>
              </w:rPr>
              <w:t>Rates</w:t>
            </w:r>
          </w:p>
        </w:tc>
        <w:tc>
          <w:tcPr>
            <w:tcW w:w="140" w:type="dxa"/>
            <w:vAlign w:val="bottom"/>
          </w:tcPr>
          <w:p>
            <w:pPr>
              <w:spacing w:after="0"/>
              <w:rPr>
                <w:sz w:val="10"/>
                <w:szCs w:val="10"/>
                <w:color w:val="auto"/>
              </w:rPr>
            </w:pPr>
          </w:p>
        </w:tc>
        <w:tc>
          <w:tcPr>
            <w:tcW w:w="820" w:type="dxa"/>
            <w:vAlign w:val="bottom"/>
            <w:gridSpan w:val="2"/>
          </w:tcPr>
          <w:p>
            <w:pPr>
              <w:jc w:val="right"/>
              <w:ind w:right="246"/>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489,645</w:t>
            </w:r>
          </w:p>
        </w:tc>
        <w:tc>
          <w:tcPr>
            <w:tcW w:w="80" w:type="dxa"/>
            <w:vAlign w:val="bottom"/>
          </w:tcPr>
          <w:p>
            <w:pPr>
              <w:spacing w:after="0"/>
              <w:rPr>
                <w:sz w:val="10"/>
                <w:szCs w:val="10"/>
                <w:color w:val="auto"/>
              </w:rPr>
            </w:pPr>
          </w:p>
        </w:tc>
        <w:tc>
          <w:tcPr>
            <w:tcW w:w="44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354,023</w:t>
            </w:r>
          </w:p>
        </w:tc>
        <w:tc>
          <w:tcPr>
            <w:tcW w:w="160" w:type="dxa"/>
            <w:vAlign w:val="bottom"/>
          </w:tcPr>
          <w:p>
            <w:pPr>
              <w:spacing w:after="0"/>
              <w:rPr>
                <w:sz w:val="10"/>
                <w:szCs w:val="10"/>
                <w:color w:val="auto"/>
              </w:rPr>
            </w:pPr>
          </w:p>
        </w:tc>
        <w:tc>
          <w:tcPr>
            <w:tcW w:w="38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253,432</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219,130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Credit</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14,777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12,658</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7,554</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5,954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Pr>
          <w:p>
            <w:pPr>
              <w:ind w:left="120"/>
              <w:spacing w:after="0" w:line="122" w:lineRule="exact"/>
              <w:rPr>
                <w:sz w:val="20"/>
                <w:szCs w:val="20"/>
                <w:color w:val="auto"/>
              </w:rPr>
            </w:pPr>
            <w:r>
              <w:rPr>
                <w:rFonts w:ascii="Arial" w:cs="Arial" w:eastAsia="Arial" w:hAnsi="Arial"/>
                <w:sz w:val="11"/>
                <w:szCs w:val="11"/>
                <w:color w:val="auto"/>
              </w:rPr>
              <w:t>Equities</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7,795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7,798</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4,817</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4,523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Money markets</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213,209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right w:val="single" w:sz="8" w:color="CCEEFF"/>
            </w:tcBorders>
            <w:shd w:val="clear" w:color="auto" w:fill="CCEEFF"/>
          </w:tcPr>
          <w:p>
            <w:pPr>
              <w:spacing w:after="0"/>
              <w:rPr>
                <w:sz w:val="10"/>
                <w:szCs w:val="10"/>
                <w:color w:val="auto"/>
              </w:rPr>
            </w:pPr>
          </w:p>
        </w:tc>
        <w:tc>
          <w:tcPr>
            <w:tcW w:w="64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173,743</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132,105</w:t>
            </w:r>
          </w:p>
        </w:tc>
        <w:tc>
          <w:tcPr>
            <w:tcW w:w="14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94,324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020" w:type="dxa"/>
            <w:vAlign w:val="bottom"/>
          </w:tcPr>
          <w:p>
            <w:pPr>
              <w:ind w:left="120"/>
              <w:spacing w:after="0"/>
              <w:rPr>
                <w:sz w:val="20"/>
                <w:szCs w:val="20"/>
                <w:color w:val="auto"/>
              </w:rPr>
            </w:pPr>
            <w:r>
              <w:rPr>
                <w:rFonts w:ascii="Arial" w:cs="Arial" w:eastAsia="Arial" w:hAnsi="Arial"/>
                <w:sz w:val="11"/>
                <w:szCs w:val="11"/>
                <w:color w:val="auto"/>
              </w:rPr>
              <w:t>Total</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725,426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548,222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397,908</w:t>
            </w: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323,931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-1783080</wp:posOffset>
            </wp:positionV>
            <wp:extent cx="5754370" cy="774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-1628775</wp:posOffset>
            </wp:positionV>
            <wp:extent cx="5754370" cy="77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-1474470</wp:posOffset>
            </wp:positionV>
            <wp:extent cx="5754370" cy="774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77470"/>
                    </a:xfrm>
                    <a:prstGeom prst="rect">
                      <a:avLst/>
                    </a:prstGeom>
                    <a:noFill/>
                  </pic:spPr>
                </pic:pic>
              </a:graphicData>
            </a:graphic>
          </wp:anchor>
        </w:drawing>
      </w:r>
    </w:p>
    <w:p>
      <w:pPr>
        <w:spacing w:after="0" w:line="398" w:lineRule="exact"/>
        <w:rPr>
          <w:sz w:val="20"/>
          <w:szCs w:val="20"/>
          <w:color w:val="auto"/>
        </w:rPr>
      </w:pPr>
    </w:p>
    <w:p>
      <w:pPr>
        <w:ind w:left="660" w:right="40" w:hanging="333"/>
        <w:spacing w:after="0" w:line="286"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Subscription fees for the year ended December 31, 2019, the 2018 Successor Period, the 2018 Predecessor Period and the years ended December 31, 2017 and 2016 include $55.6 million, $13.5 million, $36.9 million, $50.1 million and $50.6 million, respectively, of Refinitiv (formerly Thomson Reuters) market data fees.</w:t>
      </w:r>
    </w:p>
    <w:p>
      <w:pPr>
        <w:spacing w:after="0" w:line="165" w:lineRule="exact"/>
        <w:rPr>
          <w:rFonts w:ascii="Arial" w:cs="Arial" w:eastAsia="Arial" w:hAnsi="Arial"/>
          <w:sz w:val="17"/>
          <w:szCs w:val="17"/>
          <w:color w:val="auto"/>
        </w:rPr>
      </w:pPr>
    </w:p>
    <w:p>
      <w:pPr>
        <w:ind w:left="660" w:right="180" w:hanging="333"/>
        <w:spacing w:after="0" w:line="25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revenues for the periods presented.</w:t>
      </w:r>
    </w:p>
    <w:p>
      <w:pPr>
        <w:spacing w:after="0" w:line="188" w:lineRule="exact"/>
        <w:rPr>
          <w:rFonts w:ascii="Arial" w:cs="Arial" w:eastAsia="Arial" w:hAnsi="Arial"/>
          <w:sz w:val="18"/>
          <w:szCs w:val="18"/>
          <w:color w:val="auto"/>
        </w:rPr>
      </w:pPr>
    </w:p>
    <w:p>
      <w:pPr>
        <w:ind w:left="660" w:right="40" w:hanging="333"/>
        <w:spacing w:after="0" w:line="284"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April 2019, we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 See “Basis of Presentation,” and “Note 18 — Earnings Per Share” to our audited consolidated financial statements included elsewhere in this Annual Report on Form 10-K, for additional information.</w:t>
      </w:r>
    </w:p>
    <w:p>
      <w:pPr>
        <w:spacing w:after="0" w:line="4" w:lineRule="exact"/>
        <w:rPr>
          <w:rFonts w:ascii="Arial" w:cs="Arial" w:eastAsia="Arial" w:hAnsi="Arial"/>
          <w:sz w:val="16"/>
          <w:szCs w:val="16"/>
          <w:color w:val="auto"/>
        </w:rPr>
      </w:pPr>
    </w:p>
    <w:p>
      <w:pPr>
        <w:ind w:left="1620" w:hanging="321"/>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Presents information for Tradeweb Markets LLC (pre-IPO period).</w:t>
      </w:r>
    </w:p>
    <w:p>
      <w:pPr>
        <w:spacing w:after="0" w:line="22" w:lineRule="exact"/>
        <w:rPr>
          <w:rFonts w:ascii="Arial" w:cs="Arial" w:eastAsia="Arial" w:hAnsi="Arial"/>
          <w:sz w:val="18"/>
          <w:szCs w:val="18"/>
          <w:color w:val="auto"/>
        </w:rPr>
      </w:pPr>
    </w:p>
    <w:p>
      <w:pPr>
        <w:ind w:left="1620" w:hanging="321"/>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Presents information for Tradeweb Markets Inc. (post-IPO period).</w:t>
      </w:r>
    </w:p>
    <w:p>
      <w:pPr>
        <w:spacing w:after="0" w:line="143" w:lineRule="exact"/>
        <w:rPr>
          <w:rFonts w:ascii="Arial" w:cs="Arial" w:eastAsia="Arial" w:hAnsi="Arial"/>
          <w:sz w:val="18"/>
          <w:szCs w:val="18"/>
          <w:color w:val="auto"/>
        </w:rPr>
      </w:pPr>
    </w:p>
    <w:p>
      <w:pPr>
        <w:ind w:left="660" w:right="20" w:hanging="333"/>
        <w:spacing w:after="0" w:line="279"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addition to cash flow from operating activities presented in accordance with GAAP, we use Free Cash Flow to measure liquidity. See Part II, Item 7. – “Management’s Discussion and Analysis of Financial Condition and Results of Operations—Non-GAAP Financial Measures” for a definition and discussion of Free Cash Flow and “Use of Non-GAAP Financial Measures” for a discussion of the limitations of Free Cash Flow.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year ended December 31, 2019, the 2018 Successor Period, the 2018 Predecessor Period and the years ended December 31, 2017 and 2016:</w:t>
      </w:r>
    </w:p>
    <w:p>
      <w:pPr>
        <w:sectPr>
          <w:pgSz w:w="11900" w:h="16838" w:orient="portrait"/>
          <w:cols w:equalWidth="0" w:num="1">
            <w:col w:w="9080"/>
          </w:cols>
          <w:pgMar w:left="1420" w:top="125"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Cash flow from operating activities</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Less: Capitalization of software development costs</w:t>
      </w:r>
    </w:p>
    <w:p>
      <w:pPr>
        <w:spacing w:after="0" w:line="7" w:lineRule="exact"/>
        <w:rPr>
          <w:sz w:val="20"/>
          <w:szCs w:val="20"/>
          <w:color w:val="auto"/>
        </w:rPr>
      </w:pPr>
    </w:p>
    <w:p>
      <w:pPr>
        <w:spacing w:after="0"/>
        <w:rPr>
          <w:sz w:val="20"/>
          <w:szCs w:val="20"/>
          <w:color w:val="auto"/>
        </w:rPr>
      </w:pPr>
      <w:r>
        <w:rPr>
          <w:rFonts w:ascii="Arial" w:cs="Arial" w:eastAsia="Arial" w:hAnsi="Arial"/>
          <w:sz w:val="9"/>
          <w:szCs w:val="9"/>
          <w:color w:val="auto"/>
        </w:rPr>
        <w:t>Less: Purchases of furniture, equipment and leasehold</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improvements</w:t>
      </w:r>
    </w:p>
    <w:p>
      <w:pPr>
        <w:spacing w:after="0"/>
        <w:rPr>
          <w:sz w:val="20"/>
          <w:szCs w:val="20"/>
          <w:color w:val="auto"/>
        </w:rPr>
      </w:pPr>
      <w:r>
        <w:rPr>
          <w:rFonts w:ascii="Arial" w:cs="Arial" w:eastAsia="Arial" w:hAnsi="Arial"/>
          <w:sz w:val="11"/>
          <w:szCs w:val="11"/>
          <w:color w:val="auto"/>
        </w:rPr>
        <w:t>Free Cash Flow</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78"/>
              </w:rPr>
              <w:t>Successor</w:t>
            </w:r>
          </w:p>
        </w:tc>
        <w:tc>
          <w:tcPr>
            <w:tcW w:w="140" w:type="dxa"/>
            <w:vAlign w:val="bottom"/>
          </w:tcPr>
          <w:p>
            <w:pPr>
              <w:spacing w:after="0"/>
              <w:rPr>
                <w:sz w:val="11"/>
                <w:szCs w:val="11"/>
                <w:color w:val="auto"/>
              </w:rPr>
            </w:pPr>
          </w:p>
        </w:tc>
        <w:tc>
          <w:tcPr>
            <w:tcW w:w="12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82"/>
              </w:rPr>
              <w:t>Successor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4"/>
              </w:rPr>
              <w:t>Predecessor</w:t>
            </w:r>
          </w:p>
        </w:tc>
        <w:tc>
          <w:tcPr>
            <w:tcW w:w="10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4"/>
              </w:rPr>
              <w:t>Predecessor</w:t>
            </w:r>
          </w:p>
        </w:tc>
        <w:tc>
          <w:tcPr>
            <w:tcW w:w="10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1"/>
              </w:rPr>
              <w:t>Predecessor</w:t>
            </w:r>
          </w:p>
        </w:tc>
      </w:tr>
      <w:tr>
        <w:trPr>
          <w:trHeight w:val="101"/>
        </w:trPr>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86"/>
              <w:spacing w:after="0" w:line="102" w:lineRule="exact"/>
              <w:rPr>
                <w:sz w:val="20"/>
                <w:szCs w:val="20"/>
                <w:color w:val="auto"/>
              </w:rPr>
            </w:pPr>
            <w:r>
              <w:rPr>
                <w:rFonts w:ascii="Arial" w:cs="Arial" w:eastAsia="Arial" w:hAnsi="Arial"/>
                <w:sz w:val="11"/>
                <w:szCs w:val="11"/>
                <w:b w:val="1"/>
                <w:bCs w:val="1"/>
                <w:color w:val="auto"/>
                <w:w w:val="92"/>
              </w:rPr>
              <w:t>Year Ended</w:t>
            </w: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jc w:val="center"/>
              <w:ind w:right="86"/>
              <w:spacing w:after="0" w:line="102" w:lineRule="exact"/>
              <w:rPr>
                <w:sz w:val="20"/>
                <w:szCs w:val="20"/>
                <w:color w:val="auto"/>
              </w:rPr>
            </w:pPr>
            <w:r>
              <w:rPr>
                <w:rFonts w:ascii="Arial" w:cs="Arial" w:eastAsia="Arial" w:hAnsi="Arial"/>
                <w:sz w:val="11"/>
                <w:szCs w:val="11"/>
                <w:b w:val="1"/>
                <w:bCs w:val="1"/>
                <w:color w:val="auto"/>
                <w:w w:val="90"/>
              </w:rPr>
              <w:t>October 1, 2018 to</w:t>
            </w:r>
          </w:p>
        </w:tc>
        <w:tc>
          <w:tcPr>
            <w:tcW w:w="1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jc w:val="center"/>
              <w:ind w:right="46"/>
              <w:spacing w:after="0" w:line="102" w:lineRule="exact"/>
              <w:rPr>
                <w:sz w:val="20"/>
                <w:szCs w:val="20"/>
                <w:color w:val="auto"/>
              </w:rPr>
            </w:pPr>
            <w:r>
              <w:rPr>
                <w:rFonts w:ascii="Arial" w:cs="Arial" w:eastAsia="Arial" w:hAnsi="Arial"/>
                <w:sz w:val="11"/>
                <w:szCs w:val="11"/>
                <w:b w:val="1"/>
                <w:bCs w:val="1"/>
                <w:color w:val="auto"/>
                <w:w w:val="88"/>
              </w:rPr>
              <w:t>January 1, 2018 to</w:t>
            </w: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66"/>
              <w:spacing w:after="0" w:line="102" w:lineRule="exact"/>
              <w:rPr>
                <w:sz w:val="20"/>
                <w:szCs w:val="20"/>
                <w:color w:val="auto"/>
              </w:rPr>
            </w:pPr>
            <w:r>
              <w:rPr>
                <w:rFonts w:ascii="Arial" w:cs="Arial" w:eastAsia="Arial" w:hAnsi="Arial"/>
                <w:sz w:val="11"/>
                <w:szCs w:val="11"/>
                <w:b w:val="1"/>
                <w:bCs w:val="1"/>
                <w:color w:val="auto"/>
                <w:w w:val="89"/>
              </w:rPr>
              <w:t>Year Ended</w:t>
            </w: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46"/>
              <w:spacing w:after="0" w:line="102" w:lineRule="exact"/>
              <w:rPr>
                <w:sz w:val="20"/>
                <w:szCs w:val="20"/>
                <w:color w:val="auto"/>
              </w:rPr>
            </w:pPr>
            <w:r>
              <w:rPr>
                <w:rFonts w:ascii="Arial" w:cs="Arial" w:eastAsia="Arial" w:hAnsi="Arial"/>
                <w:sz w:val="11"/>
                <w:szCs w:val="11"/>
                <w:b w:val="1"/>
                <w:bCs w:val="1"/>
                <w:color w:val="auto"/>
                <w:w w:val="89"/>
              </w:rPr>
              <w:t>Year Ended</w:t>
            </w:r>
          </w:p>
        </w:tc>
        <w:tc>
          <w:tcPr>
            <w:tcW w:w="160" w:type="dxa"/>
            <w:vAlign w:val="bottom"/>
          </w:tcPr>
          <w:p>
            <w:pPr>
              <w:spacing w:after="0"/>
              <w:rPr>
                <w:sz w:val="8"/>
                <w:szCs w:val="8"/>
                <w:color w:val="auto"/>
              </w:rPr>
            </w:pPr>
          </w:p>
        </w:tc>
      </w:tr>
      <w:tr>
        <w:trPr>
          <w:trHeight w:val="122"/>
        </w:trPr>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40" w:type="dxa"/>
            <w:vAlign w:val="bottom"/>
          </w:tcPr>
          <w:p>
            <w:pPr>
              <w:spacing w:after="0"/>
              <w:rPr>
                <w:sz w:val="10"/>
                <w:szCs w:val="10"/>
                <w:color w:val="auto"/>
              </w:rPr>
            </w:pPr>
          </w:p>
        </w:tc>
        <w:tc>
          <w:tcPr>
            <w:tcW w:w="1220" w:type="dxa"/>
            <w:vAlign w:val="bottom"/>
            <w:tcBorders>
              <w:right w:val="single" w:sz="8" w:color="auto"/>
            </w:tcBorders>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December 31,</w:t>
            </w:r>
          </w:p>
        </w:tc>
      </w:tr>
      <w:tr>
        <w:trPr>
          <w:trHeight w:val="135"/>
        </w:trPr>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81"/>
              </w:rPr>
              <w:t>2019</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89"/>
              </w:rPr>
              <w:t>2018</w:t>
            </w:r>
          </w:p>
        </w:tc>
        <w:tc>
          <w:tcPr>
            <w:tcW w:w="1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1"/>
              </w:rPr>
              <w:t>2018</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89"/>
              </w:rPr>
              <w:t>2017</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2016</w:t>
            </w:r>
          </w:p>
        </w:tc>
        <w:tc>
          <w:tcPr>
            <w:tcW w:w="160" w:type="dxa"/>
            <w:vAlign w:val="bottom"/>
            <w:tcBorders>
              <w:bottom w:val="single" w:sz="8" w:color="auto"/>
            </w:tcBorders>
          </w:tcPr>
          <w:p>
            <w:pPr>
              <w:spacing w:after="0"/>
              <w:rPr>
                <w:sz w:val="11"/>
                <w:szCs w:val="11"/>
                <w:color w:val="auto"/>
              </w:rPr>
            </w:pPr>
          </w:p>
        </w:tc>
      </w:tr>
      <w:tr>
        <w:trPr>
          <w:trHeight w:val="173"/>
        </w:trPr>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31"/>
        </w:trPr>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311,003</w:t>
            </w:r>
          </w:p>
        </w:tc>
        <w:tc>
          <w:tcPr>
            <w:tcW w:w="16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112,556</w:t>
            </w: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164,828</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224,580</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171,845</w:t>
            </w:r>
          </w:p>
        </w:tc>
        <w:tc>
          <w:tcPr>
            <w:tcW w:w="160" w:type="dxa"/>
            <w:vAlign w:val="bottom"/>
          </w:tcPr>
          <w:p>
            <w:pPr>
              <w:spacing w:after="0"/>
              <w:rPr>
                <w:sz w:val="11"/>
                <w:szCs w:val="11"/>
                <w:color w:val="auto"/>
              </w:rPr>
            </w:pPr>
          </w:p>
        </w:tc>
      </w:tr>
      <w:tr>
        <w:trPr>
          <w:trHeight w:val="122"/>
        </w:trPr>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(28,681)</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(7,156)</w:t>
            </w:r>
          </w:p>
        </w:tc>
        <w:tc>
          <w:tcPr>
            <w:tcW w:w="1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(19,523)</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(27,157)</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(25,351)</w:t>
            </w:r>
          </w:p>
        </w:tc>
        <w:tc>
          <w:tcPr>
            <w:tcW w:w="160" w:type="dxa"/>
            <w:vAlign w:val="bottom"/>
            <w:shd w:val="clear" w:color="auto" w:fill="CCEEFF"/>
          </w:tcPr>
          <w:p>
            <w:pPr>
              <w:spacing w:after="0"/>
              <w:rPr>
                <w:sz w:val="10"/>
                <w:szCs w:val="10"/>
                <w:color w:val="auto"/>
              </w:rPr>
            </w:pPr>
          </w:p>
        </w:tc>
      </w:tr>
      <w:tr>
        <w:trPr>
          <w:trHeight w:val="243"/>
        </w:trPr>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(15,781)</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(9,090)</w:t>
            </w:r>
          </w:p>
        </w:tc>
        <w:tc>
          <w:tcPr>
            <w:tcW w:w="1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(6,327)</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(13,461)</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(9,998)</w:t>
            </w:r>
          </w:p>
        </w:tc>
        <w:tc>
          <w:tcPr>
            <w:tcW w:w="160" w:type="dxa"/>
            <w:vAlign w:val="bottom"/>
          </w:tcPr>
          <w:p>
            <w:pPr>
              <w:spacing w:after="0"/>
              <w:rPr>
                <w:sz w:val="21"/>
                <w:szCs w:val="21"/>
                <w:color w:val="auto"/>
              </w:rPr>
            </w:pPr>
          </w:p>
        </w:tc>
      </w:tr>
      <w:tr>
        <w:trPr>
          <w:trHeight w:val="176"/>
        </w:trPr>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266,541</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96,310</w:t>
            </w:r>
          </w:p>
        </w:tc>
        <w:tc>
          <w:tcPr>
            <w:tcW w:w="1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138,978</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183,962</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136,496</w:t>
            </w:r>
          </w:p>
        </w:tc>
        <w:tc>
          <w:tcPr>
            <w:tcW w:w="1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-445135</wp:posOffset>
            </wp:positionV>
            <wp:extent cx="576326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63260" cy="15430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-136525</wp:posOffset>
            </wp:positionV>
            <wp:extent cx="576326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63260" cy="1289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340" w:space="520"/>
            <w:col w:w="6220"/>
          </w:cols>
          <w:pgMar w:left="1420" w:top="125" w:right="1399" w:bottom="1440" w:gutter="0" w:footer="0" w:header="0"/>
          <w:type w:val="continuous"/>
        </w:sectPr>
      </w:pPr>
    </w:p>
    <w:p>
      <w:pPr>
        <w:ind w:left="660" w:right="40" w:hanging="333"/>
        <w:spacing w:after="0" w:line="288"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addition to net income and net income attributable to Tradeweb Markets Inc., each presented in accordance with GAAP, we use Adjusted EBITDA, Adjusted EBITDA margin, Adjusted EBIT and Adjusted EBIT margin as measures of our operating performance and Adjusted Net Income and Adjusted Diluted EPS as measures of our profitability. See Part II, Item 7. – “Management’s Discussion and Analysis of Financial Condition and Results of Operations—Non-GAAP Financial Measures” for definitions and discussions of Adjusted EBITDA, Adjusted EBITDA margin, Adjusted EBIT, Adjusted EBIT margin, Adjusted Net Income and Adjusted Diluted EPS and “Use of Non-GAAP Financial Measures” for a discussion of the limitations of these non-GAAP financial measures.</w:t>
      </w:r>
    </w:p>
    <w:p>
      <w:pPr>
        <w:spacing w:after="0" w:line="168" w:lineRule="exact"/>
        <w:rPr>
          <w:rFonts w:ascii="Arial" w:cs="Arial" w:eastAsia="Arial" w:hAnsi="Arial"/>
          <w:sz w:val="16"/>
          <w:szCs w:val="16"/>
          <w:color w:val="auto"/>
        </w:rPr>
      </w:pPr>
    </w:p>
    <w:p>
      <w:pPr>
        <w:jc w:val="both"/>
        <w:ind w:left="660" w:right="180"/>
        <w:spacing w:after="0" w:line="291" w:lineRule="auto"/>
        <w:rPr>
          <w:rFonts w:ascii="Arial" w:cs="Arial" w:eastAsia="Arial" w:hAnsi="Arial"/>
          <w:sz w:val="16"/>
          <w:szCs w:val="16"/>
          <w:color w:val="auto"/>
        </w:rPr>
      </w:pPr>
      <w:r>
        <w:rPr>
          <w:rFonts w:ascii="Arial" w:cs="Arial" w:eastAsia="Arial" w:hAnsi="Arial"/>
          <w:sz w:val="16"/>
          <w:szCs w:val="16"/>
          <w:color w:val="auto"/>
        </w:rPr>
        <w:t>The table set forth below presents a reconciliation of net income to Adjusted EBITDA, Adjusted EBITDA margin, Adjusted EBIT and Adjusted EBIT margin for the year ended December 31, 2019, the 2018 Successor Period, the</w:t>
      </w:r>
    </w:p>
    <w:p>
      <w:pPr>
        <w:ind w:left="660"/>
        <w:spacing w:after="0"/>
        <w:rPr>
          <w:rFonts w:ascii="Arial" w:cs="Arial" w:eastAsia="Arial" w:hAnsi="Arial"/>
          <w:sz w:val="16"/>
          <w:szCs w:val="16"/>
          <w:color w:val="auto"/>
        </w:rPr>
      </w:pPr>
      <w:r>
        <w:rPr>
          <w:rFonts w:ascii="Arial" w:cs="Arial" w:eastAsia="Arial" w:hAnsi="Arial"/>
          <w:sz w:val="18"/>
          <w:szCs w:val="18"/>
          <w:color w:val="auto"/>
        </w:rPr>
        <w:t>2018 Predecessor Period and the years ended December 31, 2017 and 2016:</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57"/>
              <w:spacing w:after="0"/>
              <w:rPr>
                <w:sz w:val="20"/>
                <w:szCs w:val="20"/>
                <w:color w:val="auto"/>
              </w:rPr>
            </w:pPr>
            <w:r>
              <w:rPr>
                <w:rFonts w:ascii="Arial" w:cs="Arial" w:eastAsia="Arial" w:hAnsi="Arial"/>
                <w:sz w:val="13"/>
                <w:szCs w:val="13"/>
                <w:b w:val="1"/>
                <w:bCs w:val="1"/>
                <w:color w:val="auto"/>
                <w:w w:val="79"/>
              </w:rPr>
              <w:t>Successor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13"/>
                <w:szCs w:val="13"/>
                <w:b w:val="1"/>
                <w:bCs w:val="1"/>
                <w:color w:val="auto"/>
                <w:w w:val="79"/>
              </w:rPr>
              <w:t>Successor</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center"/>
              <w:ind w:right="97"/>
              <w:spacing w:after="0"/>
              <w:rPr>
                <w:sz w:val="20"/>
                <w:szCs w:val="20"/>
                <w:color w:val="auto"/>
              </w:rPr>
            </w:pPr>
            <w:r>
              <w:rPr>
                <w:rFonts w:ascii="Arial" w:cs="Arial" w:eastAsia="Arial" w:hAnsi="Arial"/>
                <w:sz w:val="13"/>
                <w:szCs w:val="13"/>
                <w:b w:val="1"/>
                <w:bCs w:val="1"/>
                <w:color w:val="auto"/>
                <w:w w:val="81"/>
              </w:rPr>
              <w:t>Predecessor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22"/>
              <w:spacing w:after="0"/>
              <w:rPr>
                <w:sz w:val="20"/>
                <w:szCs w:val="20"/>
                <w:color w:val="auto"/>
              </w:rPr>
            </w:pPr>
            <w:r>
              <w:rPr>
                <w:rFonts w:ascii="Arial" w:cs="Arial" w:eastAsia="Arial" w:hAnsi="Arial"/>
                <w:sz w:val="13"/>
                <w:szCs w:val="13"/>
                <w:b w:val="1"/>
                <w:bCs w:val="1"/>
                <w:color w:val="auto"/>
                <w:w w:val="81"/>
              </w:rPr>
              <w:t>Predecessor</w:t>
            </w:r>
          </w:p>
        </w:tc>
        <w:tc>
          <w:tcPr>
            <w:tcW w:w="80" w:type="dxa"/>
            <w:vAlign w:val="bottom"/>
          </w:tcPr>
          <w:p>
            <w:pPr>
              <w:spacing w:after="0"/>
              <w:rPr>
                <w:sz w:val="13"/>
                <w:szCs w:val="13"/>
                <w:color w:val="auto"/>
              </w:rPr>
            </w:pPr>
          </w:p>
        </w:tc>
        <w:tc>
          <w:tcPr>
            <w:tcW w:w="1000" w:type="dxa"/>
            <w:vAlign w:val="bottom"/>
            <w:gridSpan w:val="2"/>
          </w:tcPr>
          <w:p>
            <w:pPr>
              <w:jc w:val="center"/>
              <w:ind w:right="142"/>
              <w:spacing w:after="0"/>
              <w:rPr>
                <w:sz w:val="20"/>
                <w:szCs w:val="20"/>
                <w:color w:val="auto"/>
              </w:rPr>
            </w:pPr>
            <w:r>
              <w:rPr>
                <w:rFonts w:ascii="Arial" w:cs="Arial" w:eastAsia="Arial" w:hAnsi="Arial"/>
                <w:sz w:val="13"/>
                <w:szCs w:val="13"/>
                <w:b w:val="1"/>
                <w:bCs w:val="1"/>
                <w:color w:val="auto"/>
                <w:w w:val="81"/>
              </w:rPr>
              <w:t>Predecessor</w:t>
            </w:r>
          </w:p>
        </w:tc>
      </w:tr>
      <w:tr>
        <w:trPr>
          <w:trHeight w:val="110"/>
        </w:trPr>
        <w:tc>
          <w:tcPr>
            <w:tcW w:w="3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Year</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6"/>
              </w:rPr>
              <w:t>October 1, 2018</w:t>
            </w: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January 1, 2018</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2"/>
              </w:rPr>
              <w:t>Year</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ind w:right="17"/>
              <w:spacing w:after="0" w:line="110" w:lineRule="exact"/>
              <w:rPr>
                <w:sz w:val="20"/>
                <w:szCs w:val="20"/>
                <w:color w:val="auto"/>
              </w:rPr>
            </w:pPr>
            <w:r>
              <w:rPr>
                <w:rFonts w:ascii="Arial" w:cs="Arial" w:eastAsia="Arial" w:hAnsi="Arial"/>
                <w:sz w:val="12"/>
                <w:szCs w:val="12"/>
                <w:b w:val="1"/>
                <w:bCs w:val="1"/>
                <w:color w:val="auto"/>
                <w:w w:val="92"/>
              </w:rPr>
              <w:t>Year</w:t>
            </w:r>
          </w:p>
        </w:tc>
        <w:tc>
          <w:tcPr>
            <w:tcW w:w="120" w:type="dxa"/>
            <w:vAlign w:val="bottom"/>
          </w:tcPr>
          <w:p>
            <w:pPr>
              <w:spacing w:after="0"/>
              <w:rPr>
                <w:sz w:val="9"/>
                <w:szCs w:val="9"/>
                <w:color w:val="auto"/>
              </w:rPr>
            </w:pPr>
          </w:p>
        </w:tc>
      </w:tr>
      <w:tr>
        <w:trPr>
          <w:trHeight w:val="135"/>
        </w:trPr>
        <w:tc>
          <w:tcPr>
            <w:tcW w:w="3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37"/>
              <w:spacing w:after="0" w:line="135" w:lineRule="exact"/>
              <w:rPr>
                <w:sz w:val="20"/>
                <w:szCs w:val="20"/>
                <w:color w:val="auto"/>
              </w:rPr>
            </w:pPr>
            <w:r>
              <w:rPr>
                <w:rFonts w:ascii="Arial" w:cs="Arial" w:eastAsia="Arial" w:hAnsi="Arial"/>
                <w:sz w:val="13"/>
                <w:szCs w:val="13"/>
                <w:b w:val="1"/>
                <w:bCs w:val="1"/>
                <w:color w:val="auto"/>
                <w:w w:val="85"/>
              </w:rPr>
              <w:t>Ended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right w:val="single" w:sz="8" w:color="auto"/>
            </w:tcBorders>
            <w:gridSpan w:val="2"/>
          </w:tcPr>
          <w:p>
            <w:pPr>
              <w:jc w:val="center"/>
              <w:ind w:right="182"/>
              <w:spacing w:after="0" w:line="135" w:lineRule="exact"/>
              <w:rPr>
                <w:sz w:val="20"/>
                <w:szCs w:val="20"/>
                <w:color w:val="auto"/>
              </w:rPr>
            </w:pPr>
            <w:r>
              <w:rPr>
                <w:rFonts w:ascii="Arial" w:cs="Arial" w:eastAsia="Arial" w:hAnsi="Arial"/>
                <w:sz w:val="13"/>
                <w:szCs w:val="13"/>
                <w:b w:val="1"/>
                <w:bCs w:val="1"/>
                <w:color w:val="auto"/>
                <w:w w:val="81"/>
              </w:rPr>
              <w:t>to</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center"/>
              <w:ind w:right="117"/>
              <w:spacing w:after="0" w:line="135" w:lineRule="exact"/>
              <w:rPr>
                <w:sz w:val="20"/>
                <w:szCs w:val="20"/>
                <w:color w:val="auto"/>
              </w:rPr>
            </w:pPr>
            <w:r>
              <w:rPr>
                <w:rFonts w:ascii="Arial" w:cs="Arial" w:eastAsia="Arial" w:hAnsi="Arial"/>
                <w:sz w:val="13"/>
                <w:szCs w:val="13"/>
                <w:b w:val="1"/>
                <w:bCs w:val="1"/>
                <w:color w:val="auto"/>
                <w:w w:val="81"/>
              </w:rPr>
              <w:t>to</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22"/>
              <w:spacing w:after="0" w:line="135" w:lineRule="exact"/>
              <w:rPr>
                <w:sz w:val="20"/>
                <w:szCs w:val="20"/>
                <w:color w:val="auto"/>
              </w:rPr>
            </w:pPr>
            <w:r>
              <w:rPr>
                <w:rFonts w:ascii="Arial" w:cs="Arial" w:eastAsia="Arial" w:hAnsi="Arial"/>
                <w:sz w:val="13"/>
                <w:szCs w:val="13"/>
                <w:b w:val="1"/>
                <w:bCs w:val="1"/>
                <w:color w:val="auto"/>
                <w:w w:val="90"/>
              </w:rPr>
              <w:t>Ended</w:t>
            </w:r>
          </w:p>
        </w:tc>
        <w:tc>
          <w:tcPr>
            <w:tcW w:w="80" w:type="dxa"/>
            <w:vAlign w:val="bottom"/>
          </w:tcPr>
          <w:p>
            <w:pPr>
              <w:spacing w:after="0"/>
              <w:rPr>
                <w:sz w:val="11"/>
                <w:szCs w:val="11"/>
                <w:color w:val="auto"/>
              </w:rPr>
            </w:pPr>
          </w:p>
        </w:tc>
        <w:tc>
          <w:tcPr>
            <w:tcW w:w="1000" w:type="dxa"/>
            <w:vAlign w:val="bottom"/>
            <w:gridSpan w:val="2"/>
          </w:tcPr>
          <w:p>
            <w:pPr>
              <w:jc w:val="center"/>
              <w:ind w:right="142"/>
              <w:spacing w:after="0" w:line="135" w:lineRule="exact"/>
              <w:rPr>
                <w:sz w:val="20"/>
                <w:szCs w:val="20"/>
                <w:color w:val="auto"/>
              </w:rPr>
            </w:pPr>
            <w:r>
              <w:rPr>
                <w:rFonts w:ascii="Arial" w:cs="Arial" w:eastAsia="Arial" w:hAnsi="Arial"/>
                <w:sz w:val="13"/>
                <w:szCs w:val="13"/>
                <w:b w:val="1"/>
                <w:bCs w:val="1"/>
                <w:color w:val="auto"/>
                <w:w w:val="90"/>
              </w:rPr>
              <w:t>Ended</w:t>
            </w:r>
          </w:p>
        </w:tc>
      </w:tr>
      <w:tr>
        <w:trPr>
          <w:trHeight w:val="135"/>
        </w:trPr>
        <w:tc>
          <w:tcPr>
            <w:tcW w:w="3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77"/>
              <w:spacing w:after="0" w:line="135" w:lineRule="exact"/>
              <w:rPr>
                <w:sz w:val="20"/>
                <w:szCs w:val="20"/>
                <w:color w:val="auto"/>
              </w:rPr>
            </w:pPr>
            <w:r>
              <w:rPr>
                <w:rFonts w:ascii="Arial" w:cs="Arial" w:eastAsia="Arial" w:hAnsi="Arial"/>
                <w:sz w:val="13"/>
                <w:szCs w:val="13"/>
                <w:b w:val="1"/>
                <w:bCs w:val="1"/>
                <w:color w:val="auto"/>
                <w:w w:val="87"/>
              </w:rPr>
              <w:t>December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right w:val="single" w:sz="8" w:color="auto"/>
            </w:tcBorders>
            <w:gridSpan w:val="2"/>
          </w:tcPr>
          <w:p>
            <w:pPr>
              <w:jc w:val="center"/>
              <w:ind w:right="182"/>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62"/>
              <w:spacing w:after="0" w:line="135" w:lineRule="exact"/>
              <w:rPr>
                <w:sz w:val="20"/>
                <w:szCs w:val="20"/>
                <w:color w:val="auto"/>
              </w:rPr>
            </w:pPr>
            <w:r>
              <w:rPr>
                <w:rFonts w:ascii="Arial" w:cs="Arial" w:eastAsia="Arial" w:hAnsi="Arial"/>
                <w:sz w:val="13"/>
                <w:szCs w:val="13"/>
                <w:b w:val="1"/>
                <w:bCs w:val="1"/>
                <w:color w:val="auto"/>
                <w:w w:val="85"/>
              </w:rPr>
              <w:t>December 31,</w:t>
            </w:r>
          </w:p>
        </w:tc>
        <w:tc>
          <w:tcPr>
            <w:tcW w:w="80" w:type="dxa"/>
            <w:vAlign w:val="bottom"/>
          </w:tcPr>
          <w:p>
            <w:pPr>
              <w:spacing w:after="0"/>
              <w:rPr>
                <w:sz w:val="11"/>
                <w:szCs w:val="11"/>
                <w:color w:val="auto"/>
              </w:rPr>
            </w:pPr>
          </w:p>
        </w:tc>
        <w:tc>
          <w:tcPr>
            <w:tcW w:w="1000" w:type="dxa"/>
            <w:vAlign w:val="bottom"/>
            <w:gridSpan w:val="2"/>
          </w:tcPr>
          <w:p>
            <w:pPr>
              <w:jc w:val="center"/>
              <w:ind w:right="162"/>
              <w:spacing w:after="0" w:line="135" w:lineRule="exact"/>
              <w:rPr>
                <w:sz w:val="20"/>
                <w:szCs w:val="20"/>
                <w:color w:val="auto"/>
              </w:rPr>
            </w:pPr>
            <w:r>
              <w:rPr>
                <w:rFonts w:ascii="Arial" w:cs="Arial" w:eastAsia="Arial" w:hAnsi="Arial"/>
                <w:sz w:val="13"/>
                <w:szCs w:val="13"/>
                <w:b w:val="1"/>
                <w:bCs w:val="1"/>
                <w:color w:val="auto"/>
                <w:w w:val="87"/>
              </w:rPr>
              <w:t>December 31,</w:t>
            </w:r>
          </w:p>
        </w:tc>
      </w:tr>
      <w:tr>
        <w:trPr>
          <w:trHeight w:val="153"/>
        </w:trPr>
        <w:tc>
          <w:tcPr>
            <w:tcW w:w="3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2018</w:t>
            </w:r>
          </w:p>
        </w:tc>
        <w:tc>
          <w:tcPr>
            <w:tcW w:w="14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2018</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2"/>
              </w:rPr>
              <w:t>2016</w:t>
            </w:r>
          </w:p>
        </w:tc>
        <w:tc>
          <w:tcPr>
            <w:tcW w:w="120" w:type="dxa"/>
            <w:vAlign w:val="bottom"/>
          </w:tcPr>
          <w:p>
            <w:pPr>
              <w:spacing w:after="0"/>
              <w:rPr>
                <w:sz w:val="13"/>
                <w:szCs w:val="13"/>
                <w:color w:val="auto"/>
              </w:rPr>
            </w:pPr>
          </w:p>
        </w:tc>
      </w:tr>
      <w:tr>
        <w:trPr>
          <w:trHeight w:val="129"/>
        </w:trPr>
        <w:tc>
          <w:tcPr>
            <w:tcW w:w="3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(in thousands)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173,024</w:t>
            </w:r>
          </w:p>
        </w:tc>
        <w:tc>
          <w:tcPr>
            <w:tcW w:w="14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29,307</w:t>
            </w:r>
          </w:p>
        </w:tc>
        <w:tc>
          <w:tcPr>
            <w:tcW w:w="140" w:type="dxa"/>
            <w:vAlign w:val="bottom"/>
            <w:tcBorders>
              <w:right w:val="single" w:sz="8" w:color="auto"/>
            </w:tcBorders>
            <w:shd w:val="clear" w:color="auto" w:fill="CCEEFF"/>
          </w:tcPr>
          <w:p>
            <w:pPr>
              <w:spacing w:after="0"/>
              <w:rPr>
                <w:sz w:val="11"/>
                <w:szCs w:val="11"/>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130,160</w:t>
            </w:r>
          </w:p>
        </w:tc>
        <w:tc>
          <w:tcPr>
            <w:tcW w:w="12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83,648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93,161</w:t>
            </w:r>
          </w:p>
        </w:tc>
        <w:tc>
          <w:tcPr>
            <w:tcW w:w="120" w:type="dxa"/>
            <w:vAlign w:val="bottom"/>
            <w:shd w:val="clear" w:color="auto" w:fill="CCEEFF"/>
          </w:tcPr>
          <w:p>
            <w:pPr>
              <w:spacing w:after="0"/>
              <w:rPr>
                <w:sz w:val="11"/>
                <w:szCs w:val="1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Contingent consideration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right w:val="single" w:sz="8" w:color="auto"/>
            </w:tcBorders>
            <w:gridSpan w:val="2"/>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26,830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58,520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26,224</w:t>
            </w:r>
          </w:p>
        </w:tc>
        <w:tc>
          <w:tcPr>
            <w:tcW w:w="120" w:type="dxa"/>
            <w:vAlign w:val="bottom"/>
          </w:tcPr>
          <w:p>
            <w:pPr>
              <w:spacing w:after="0"/>
              <w:rPr>
                <w:sz w:val="11"/>
                <w:szCs w:val="11"/>
                <w:color w:val="auto"/>
              </w:rPr>
            </w:pP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income, net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(787)</w:t>
            </w:r>
          </w:p>
        </w:tc>
        <w:tc>
          <w:tcPr>
            <w:tcW w:w="1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695</w:t>
            </w:r>
          </w:p>
        </w:tc>
        <w:tc>
          <w:tcPr>
            <w:tcW w:w="120" w:type="dxa"/>
            <w:vAlign w:val="bottom"/>
            <w:shd w:val="clear" w:color="auto" w:fill="CCEEFF"/>
          </w:tcPr>
          <w:p>
            <w:pPr>
              <w:spacing w:after="0"/>
              <w:rPr>
                <w:sz w:val="11"/>
                <w:szCs w:val="1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139,330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33,020</w:t>
            </w: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48,808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68,615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80,859</w:t>
            </w:r>
          </w:p>
        </w:tc>
        <w:tc>
          <w:tcPr>
            <w:tcW w:w="120" w:type="dxa"/>
            <w:vAlign w:val="bottom"/>
          </w:tcPr>
          <w:p>
            <w:pPr>
              <w:spacing w:after="0"/>
              <w:rPr>
                <w:sz w:val="11"/>
                <w:szCs w:val="11"/>
                <w:color w:val="auto"/>
              </w:rPr>
            </w:pP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25,098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tcBorders>
              <w:right w:val="single" w:sz="8" w:color="auto"/>
            </w:tcBorders>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Provision for income taxes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52,302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3,415</w:t>
            </w: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11,900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6,129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(725)</w:t>
            </w:r>
          </w:p>
        </w:tc>
        <w:tc>
          <w:tcPr>
            <w:tcW w:w="120" w:type="dxa"/>
            <w:vAlign w:val="bottom"/>
          </w:tcPr>
          <w:p>
            <w:pPr>
              <w:spacing w:after="0"/>
              <w:rPr>
                <w:sz w:val="11"/>
                <w:szCs w:val="11"/>
                <w:color w:val="auto"/>
              </w:rPr>
            </w:pP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foreign exchange (gains) / losses</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263</w:t>
            </w:r>
          </w:p>
        </w:tc>
        <w:tc>
          <w:tcPr>
            <w:tcW w:w="1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1,872</w:t>
            </w:r>
          </w:p>
        </w:tc>
        <w:tc>
          <w:tcPr>
            <w:tcW w:w="120" w:type="dxa"/>
            <w:vAlign w:val="bottom"/>
            <w:shd w:val="clear" w:color="auto" w:fill="CCEEFF"/>
          </w:tcPr>
          <w:p>
            <w:pPr>
              <w:spacing w:after="0"/>
              <w:rPr>
                <w:sz w:val="11"/>
                <w:szCs w:val="11"/>
                <w:color w:val="auto"/>
              </w:rPr>
            </w:pP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w w:val="95"/>
              </w:rPr>
              <w:t>(Gain) / loss from revaluation of foreign denominated cash</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1,225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90</w:t>
            </w: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(921)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(678)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(1,315)</w:t>
            </w:r>
          </w:p>
        </w:tc>
        <w:tc>
          <w:tcPr>
            <w:tcW w:w="120" w:type="dxa"/>
            <w:vAlign w:val="bottom"/>
          </w:tcPr>
          <w:p>
            <w:pPr>
              <w:spacing w:after="0"/>
              <w:rPr>
                <w:sz w:val="11"/>
                <w:szCs w:val="11"/>
                <w:color w:val="auto"/>
              </w:rPr>
            </w:pP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Tax receivable agreement liability adjustment</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(33,134)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tcBorders>
              <w:right w:val="single" w:sz="8" w:color="auto"/>
            </w:tcBorders>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w:t>
            </w:r>
          </w:p>
        </w:tc>
      </w:tr>
      <w:tr>
        <w:trPr>
          <w:trHeight w:val="136"/>
        </w:trPr>
        <w:tc>
          <w:tcPr>
            <w:tcW w:w="32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Adjusted EBITDA</w:t>
            </w:r>
          </w:p>
        </w:tc>
        <w:tc>
          <w:tcPr>
            <w:tcW w:w="2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353,162</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65,308</w:t>
            </w:r>
          </w:p>
        </w:tc>
        <w:tc>
          <w:tcPr>
            <w:tcW w:w="140" w:type="dxa"/>
            <w:vAlign w:val="bottom"/>
            <w:tcBorders>
              <w:bottom w:val="single" w:sz="8" w:color="CCEEFF"/>
              <w:right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214,091</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215,185</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200,771</w:t>
            </w:r>
          </w:p>
        </w:tc>
        <w:tc>
          <w:tcPr>
            <w:tcW w:w="120" w:type="dxa"/>
            <w:vAlign w:val="bottom"/>
            <w:tcBorders>
              <w:bottom w:val="single" w:sz="8" w:color="CCEEFF"/>
            </w:tcBorders>
          </w:tcPr>
          <w:p>
            <w:pPr>
              <w:spacing w:after="0"/>
              <w:rPr>
                <w:sz w:val="11"/>
                <w:szCs w:val="11"/>
                <w:color w:val="auto"/>
              </w:rPr>
            </w:pP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Less: Depreciation and amortization</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(139,330)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(33,020)</w:t>
            </w:r>
          </w:p>
        </w:tc>
        <w:tc>
          <w:tcPr>
            <w:tcW w:w="1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(48,808)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(68,615)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(80,859)</w:t>
            </w:r>
          </w:p>
        </w:tc>
        <w:tc>
          <w:tcPr>
            <w:tcW w:w="120" w:type="dxa"/>
            <w:vAlign w:val="bottom"/>
            <w:shd w:val="clear" w:color="auto" w:fill="CCEEFF"/>
          </w:tcPr>
          <w:p>
            <w:pPr>
              <w:spacing w:after="0"/>
              <w:rPr>
                <w:sz w:val="11"/>
                <w:szCs w:val="11"/>
                <w:color w:val="auto"/>
              </w:rPr>
            </w:pPr>
          </w:p>
        </w:tc>
      </w:tr>
      <w:tr>
        <w:trPr>
          <w:trHeight w:val="135"/>
        </w:trPr>
        <w:tc>
          <w:tcPr>
            <w:tcW w:w="32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Add: Acquisition and Refinitiv Transaction related D&amp;A</w:t>
            </w: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97,565</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22,413</w:t>
            </w:r>
          </w:p>
        </w:tc>
        <w:tc>
          <w:tcPr>
            <w:tcW w:w="140" w:type="dxa"/>
            <w:vAlign w:val="bottom"/>
            <w:tcBorders>
              <w:bottom w:val="single" w:sz="8" w:color="CCEEFF"/>
              <w:right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19,576</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31,236</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41,125</w:t>
            </w:r>
          </w:p>
        </w:tc>
        <w:tc>
          <w:tcPr>
            <w:tcW w:w="120" w:type="dxa"/>
            <w:vAlign w:val="bottom"/>
            <w:tcBorders>
              <w:bottom w:val="single" w:sz="8" w:color="CCEEFF"/>
            </w:tcBorders>
          </w:tcPr>
          <w:p>
            <w:pPr>
              <w:spacing w:after="0"/>
              <w:rPr>
                <w:sz w:val="11"/>
                <w:szCs w:val="11"/>
                <w:color w:val="auto"/>
              </w:rPr>
            </w:pPr>
          </w:p>
        </w:tc>
      </w:tr>
      <w:tr>
        <w:trPr>
          <w:trHeight w:val="149"/>
        </w:trPr>
        <w:tc>
          <w:tcPr>
            <w:tcW w:w="32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Adjusted EBIT</w:t>
            </w: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311,397</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54,701</w:t>
            </w: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184,859</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177,806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161,037</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22"/>
        </w:trPr>
        <w:tc>
          <w:tcPr>
            <w:tcW w:w="3220" w:type="dxa"/>
            <w:vAlign w:val="bottom"/>
          </w:tcPr>
          <w:p>
            <w:pPr>
              <w:spacing w:after="0" w:line="122" w:lineRule="exact"/>
              <w:rPr>
                <w:sz w:val="20"/>
                <w:szCs w:val="20"/>
                <w:color w:val="auto"/>
              </w:rPr>
            </w:pPr>
            <w:r>
              <w:rPr>
                <w:rFonts w:ascii="Arial" w:cs="Arial" w:eastAsia="Arial" w:hAnsi="Arial"/>
                <w:sz w:val="13"/>
                <w:szCs w:val="13"/>
                <w:color w:val="auto"/>
              </w:rPr>
              <w:t>Adjusted EBITDA margin</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3"/>
                <w:szCs w:val="13"/>
                <w:color w:val="auto"/>
              </w:rPr>
              <w:t>45.5</w:t>
            </w:r>
          </w:p>
        </w:tc>
        <w:tc>
          <w:tcPr>
            <w:tcW w:w="140" w:type="dxa"/>
            <w:vAlign w:val="bottom"/>
          </w:tcPr>
          <w:p>
            <w:pPr>
              <w:jc w:val="right"/>
              <w:spacing w:after="0" w:line="122" w:lineRule="exact"/>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3"/>
                <w:szCs w:val="13"/>
                <w:color w:val="auto"/>
              </w:rPr>
              <w:t>36.6</w:t>
            </w:r>
          </w:p>
        </w:tc>
        <w:tc>
          <w:tcPr>
            <w:tcW w:w="1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2"/>
                <w:szCs w:val="12"/>
                <w:color w:val="auto"/>
                <w:w w:val="74"/>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3"/>
                <w:szCs w:val="13"/>
                <w:color w:val="auto"/>
              </w:rPr>
              <w:t>42.3</w:t>
            </w:r>
          </w:p>
        </w:tc>
        <w:tc>
          <w:tcPr>
            <w:tcW w:w="120" w:type="dxa"/>
            <w:vAlign w:val="bottom"/>
          </w:tcPr>
          <w:p>
            <w:pPr>
              <w:jc w:val="right"/>
              <w:spacing w:after="0" w:line="122" w:lineRule="exact"/>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3"/>
                <w:szCs w:val="13"/>
                <w:color w:val="auto"/>
              </w:rPr>
              <w:t>38.2</w:t>
            </w: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3"/>
                <w:szCs w:val="13"/>
                <w:color w:val="auto"/>
              </w:rPr>
              <w:t>38.7</w:t>
            </w: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auto"/>
                <w:w w:val="74"/>
              </w:rPr>
              <w:t>%</w:t>
            </w: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Adjusted EBIT margin</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40.2 %</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tcBorders>
              <w:right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30.6 %</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36.5 %</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31.6 %</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31.1 %</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type w:val="continuous"/>
        </w:sectPr>
      </w:pPr>
    </w:p>
    <w:bookmarkStart w:id="76" w:name="page77"/>
    <w:bookmarkEnd w:id="7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40"/>
        <w:spacing w:after="0" w:line="312" w:lineRule="auto"/>
        <w:rPr>
          <w:sz w:val="20"/>
          <w:szCs w:val="20"/>
          <w:color w:val="auto"/>
        </w:rPr>
      </w:pPr>
      <w:r>
        <w:rPr>
          <w:rFonts w:ascii="Arial" w:cs="Arial" w:eastAsia="Arial" w:hAnsi="Arial"/>
          <w:sz w:val="16"/>
          <w:szCs w:val="16"/>
          <w:color w:val="auto"/>
        </w:rPr>
        <w:t>The table set forth below presents a reconciliation of net income attributable to Tradeweb Markets Inc. and net income, as applicable, to Adjusted Net Income and Adjusted Diluted EPS for the year ended December 31, 2019, the 2018 Successor Period, the 2018 Predecessor Period and the years ended December 31, 2017 and 2016: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Successor</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Successor</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1"/>
              </w:rPr>
              <w:t>Predecessor</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9"/>
              </w:rPr>
              <w:t>Year</w:t>
            </w: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6"/>
              </w:rPr>
              <w:t>October 1, 2018</w:t>
            </w:r>
          </w:p>
        </w:tc>
        <w:tc>
          <w:tcPr>
            <w:tcW w:w="2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6"/>
              </w:rPr>
              <w:t>January 1, 2018</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9"/>
              </w:rPr>
              <w:t>Year</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Year</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Ended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to</w:t>
            </w: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1"/>
              </w:rPr>
              <w:t>to</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Ended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December 31,</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85"/>
              </w:rPr>
              <w:t>December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20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2018</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3280" w:type="dxa"/>
            <w:vAlign w:val="bottom"/>
            <w:gridSpan w:val="2"/>
          </w:tcPr>
          <w:p>
            <w:pPr>
              <w:spacing w:after="0"/>
              <w:rPr>
                <w:sz w:val="20"/>
                <w:szCs w:val="20"/>
                <w:color w:val="auto"/>
              </w:rPr>
            </w:pPr>
            <w:r>
              <w:rPr>
                <w:rFonts w:ascii="Arial" w:cs="Arial" w:eastAsia="Arial" w:hAnsi="Arial"/>
                <w:sz w:val="13"/>
                <w:szCs w:val="13"/>
                <w:color w:val="auto"/>
              </w:rPr>
              <w:t>Earnings per diluted share</w:t>
            </w:r>
            <w:r>
              <w:rPr>
                <w:rFonts w:ascii="Arial" w:cs="Arial" w:eastAsia="Arial" w:hAnsi="Arial"/>
                <w:sz w:val="14"/>
                <w:szCs w:val="14"/>
                <w:color w:val="auto"/>
                <w:vertAlign w:val="superscript"/>
              </w:rPr>
              <w:t>(1)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0.19</w:t>
            </w:r>
          </w:p>
        </w:tc>
        <w:tc>
          <w:tcPr>
            <w:tcW w:w="280" w:type="dxa"/>
            <w:vAlign w:val="bottom"/>
          </w:tcPr>
          <w:p>
            <w:pPr>
              <w:spacing w:after="0"/>
              <w:rPr>
                <w:sz w:val="20"/>
                <w:szCs w:val="20"/>
                <w:color w:val="auto"/>
              </w:rPr>
            </w:pPr>
            <w:r>
              <w:rPr>
                <w:rFonts w:ascii="Arial" w:cs="Arial" w:eastAsia="Arial" w:hAnsi="Arial"/>
                <w:sz w:val="11"/>
                <w:szCs w:val="11"/>
                <w:color w:val="auto"/>
              </w:rPr>
              <w:t>(a)</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280" w:type="dxa"/>
            <w:vAlign w:val="bottom"/>
            <w:gridSpan w:val="2"/>
            <w:vMerge w:val="restart"/>
          </w:tcPr>
          <w:p>
            <w:pPr>
              <w:spacing w:after="0"/>
              <w:rPr>
                <w:sz w:val="20"/>
                <w:szCs w:val="20"/>
                <w:color w:val="auto"/>
              </w:rPr>
            </w:pPr>
            <w:r>
              <w:rPr>
                <w:rFonts w:ascii="Arial" w:cs="Arial" w:eastAsia="Arial" w:hAnsi="Arial"/>
                <w:sz w:val="13"/>
                <w:szCs w:val="13"/>
                <w:color w:val="auto"/>
                <w:w w:val="93"/>
              </w:rPr>
              <w:t xml:space="preserve">Pre-IPO net income attributable to Tradeweb Markets LLC </w:t>
            </w:r>
            <w:r>
              <w:rPr>
                <w:rFonts w:ascii="Arial" w:cs="Arial" w:eastAsia="Arial" w:hAnsi="Arial"/>
                <w:sz w:val="14"/>
                <w:szCs w:val="14"/>
                <w:color w:val="auto"/>
                <w:w w:val="93"/>
                <w:vertAlign w:val="superscript"/>
              </w:rPr>
              <w:t>(1)</w:t>
            </w:r>
          </w:p>
        </w:tc>
        <w:tc>
          <w:tcPr>
            <w:tcW w:w="1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0.54</w:t>
            </w:r>
          </w:p>
        </w:tc>
        <w:tc>
          <w:tcPr>
            <w:tcW w:w="280" w:type="dxa"/>
            <w:vAlign w:val="bottom"/>
          </w:tcPr>
          <w:p>
            <w:pPr>
              <w:spacing w:after="0"/>
              <w:rPr>
                <w:sz w:val="20"/>
                <w:szCs w:val="20"/>
                <w:color w:val="auto"/>
              </w:rPr>
            </w:pPr>
            <w:r>
              <w:rPr>
                <w:rFonts w:ascii="Arial" w:cs="Arial" w:eastAsia="Arial" w:hAnsi="Arial"/>
                <w:sz w:val="11"/>
                <w:szCs w:val="11"/>
                <w:color w:val="auto"/>
              </w:rPr>
              <w:t>(b)</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0.13</w:t>
            </w:r>
          </w:p>
        </w:tc>
        <w:tc>
          <w:tcPr>
            <w:tcW w:w="2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0.60</w:t>
            </w:r>
          </w:p>
        </w:tc>
        <w:tc>
          <w:tcPr>
            <w:tcW w:w="140" w:type="dxa"/>
            <w:vAlign w:val="bottom"/>
          </w:tcPr>
          <w:p>
            <w:pPr>
              <w:spacing w:after="0"/>
              <w:rPr>
                <w:sz w:val="20"/>
                <w:szCs w:val="20"/>
                <w:color w:val="auto"/>
              </w:rPr>
            </w:pPr>
            <w:r>
              <w:rPr>
                <w:rFonts w:ascii="Arial" w:cs="Arial" w:eastAsia="Arial" w:hAnsi="Arial"/>
                <w:sz w:val="11"/>
                <w:szCs w:val="11"/>
                <w:color w:val="auto"/>
                <w:w w:val="88"/>
              </w:rPr>
              <w:t>(a)</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0.39</w:t>
            </w:r>
          </w:p>
        </w:tc>
        <w:tc>
          <w:tcPr>
            <w:tcW w:w="180" w:type="dxa"/>
            <w:vAlign w:val="bottom"/>
            <w:gridSpan w:val="3"/>
          </w:tcPr>
          <w:p>
            <w:pPr>
              <w:spacing w:after="0"/>
              <w:rPr>
                <w:sz w:val="20"/>
                <w:szCs w:val="20"/>
                <w:color w:val="auto"/>
              </w:rPr>
            </w:pPr>
            <w:r>
              <w:rPr>
                <w:rFonts w:ascii="Arial" w:cs="Arial" w:eastAsia="Arial" w:hAnsi="Arial"/>
                <w:sz w:val="11"/>
                <w:szCs w:val="11"/>
                <w:color w:val="auto"/>
                <w:w w:val="79"/>
              </w:rPr>
              <w:t>(a)</w:t>
            </w:r>
            <w:r>
              <w:rPr>
                <w:rFonts w:ascii="Arial" w:cs="Arial" w:eastAsia="Arial" w:hAnsi="Arial"/>
                <w:sz w:val="12"/>
                <w:szCs w:val="12"/>
                <w:color w:val="auto"/>
                <w:w w:val="79"/>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0.44</w:t>
            </w:r>
          </w:p>
        </w:tc>
        <w:tc>
          <w:tcPr>
            <w:tcW w:w="120" w:type="dxa"/>
            <w:vAlign w:val="bottom"/>
          </w:tcPr>
          <w:p>
            <w:pPr>
              <w:spacing w:after="0"/>
              <w:rPr>
                <w:sz w:val="20"/>
                <w:szCs w:val="20"/>
                <w:color w:val="auto"/>
              </w:rPr>
            </w:pPr>
            <w:r>
              <w:rPr>
                <w:rFonts w:ascii="Arial" w:cs="Arial" w:eastAsia="Arial" w:hAnsi="Arial"/>
                <w:sz w:val="11"/>
                <w:szCs w:val="11"/>
                <w:color w:val="auto"/>
                <w:w w:val="74"/>
              </w:rPr>
              <w:t>(a)</w:t>
            </w:r>
          </w:p>
        </w:tc>
        <w:tc>
          <w:tcPr>
            <w:tcW w:w="0" w:type="dxa"/>
            <w:vAlign w:val="bottom"/>
          </w:tcPr>
          <w:p>
            <w:pPr>
              <w:spacing w:after="0"/>
              <w:rPr>
                <w:sz w:val="1"/>
                <w:szCs w:val="1"/>
                <w:color w:val="auto"/>
              </w:rPr>
            </w:pPr>
          </w:p>
        </w:tc>
      </w:tr>
      <w:tr>
        <w:trPr>
          <w:trHeight w:val="108"/>
        </w:trPr>
        <w:tc>
          <w:tcPr>
            <w:tcW w:w="32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42,352</w:t>
            </w:r>
          </w:p>
        </w:tc>
        <w:tc>
          <w:tcPr>
            <w:tcW w:w="280" w:type="dxa"/>
            <w:vAlign w:val="bottom"/>
          </w:tcPr>
          <w:p>
            <w:pPr>
              <w:spacing w:after="0" w:line="109" w:lineRule="exact"/>
              <w:rPr>
                <w:sz w:val="20"/>
                <w:szCs w:val="20"/>
                <w:color w:val="auto"/>
              </w:rPr>
            </w:pPr>
            <w:r>
              <w:rPr>
                <w:rFonts w:ascii="Arial" w:cs="Arial" w:eastAsia="Arial" w:hAnsi="Arial"/>
                <w:sz w:val="11"/>
                <w:szCs w:val="11"/>
                <w:color w:val="auto"/>
              </w:rPr>
              <w:t>(a)</w:t>
            </w: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29,307</w:t>
            </w:r>
          </w:p>
        </w:tc>
        <w:tc>
          <w:tcPr>
            <w:tcW w:w="200" w:type="dxa"/>
            <w:vAlign w:val="bottom"/>
            <w:tcBorders>
              <w:right w:val="single" w:sz="8" w:color="auto"/>
            </w:tcBorders>
          </w:tcPr>
          <w:p>
            <w:pPr>
              <w:spacing w:after="0" w:line="109" w:lineRule="exact"/>
              <w:rPr>
                <w:sz w:val="20"/>
                <w:szCs w:val="20"/>
                <w:color w:val="auto"/>
              </w:rPr>
            </w:pPr>
            <w:r>
              <w:rPr>
                <w:rFonts w:ascii="Arial" w:cs="Arial" w:eastAsia="Arial" w:hAnsi="Arial"/>
                <w:sz w:val="11"/>
                <w:szCs w:val="11"/>
                <w:color w:val="auto"/>
              </w:rPr>
              <w:t>(a)</w:t>
            </w: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130,160</w:t>
            </w:r>
          </w:p>
        </w:tc>
        <w:tc>
          <w:tcPr>
            <w:tcW w:w="140" w:type="dxa"/>
            <w:vAlign w:val="bottom"/>
          </w:tcPr>
          <w:p>
            <w:pPr>
              <w:spacing w:after="0" w:line="109" w:lineRule="exact"/>
              <w:rPr>
                <w:sz w:val="20"/>
                <w:szCs w:val="20"/>
                <w:color w:val="auto"/>
              </w:rPr>
            </w:pPr>
            <w:r>
              <w:rPr>
                <w:rFonts w:ascii="Arial" w:cs="Arial" w:eastAsia="Arial" w:hAnsi="Arial"/>
                <w:sz w:val="11"/>
                <w:szCs w:val="11"/>
                <w:color w:val="auto"/>
                <w:w w:val="88"/>
              </w:rPr>
              <w:t>(a)</w:t>
            </w: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83,648</w:t>
            </w:r>
          </w:p>
        </w:tc>
        <w:tc>
          <w:tcPr>
            <w:tcW w:w="140" w:type="dxa"/>
            <w:vAlign w:val="bottom"/>
            <w:gridSpan w:val="2"/>
          </w:tcPr>
          <w:p>
            <w:pPr>
              <w:spacing w:after="0" w:line="109" w:lineRule="exact"/>
              <w:rPr>
                <w:sz w:val="20"/>
                <w:szCs w:val="20"/>
                <w:color w:val="auto"/>
              </w:rPr>
            </w:pPr>
            <w:r>
              <w:rPr>
                <w:rFonts w:ascii="Arial" w:cs="Arial" w:eastAsia="Arial" w:hAnsi="Arial"/>
                <w:sz w:val="11"/>
                <w:szCs w:val="11"/>
                <w:color w:val="auto"/>
                <w:w w:val="88"/>
              </w:rPr>
              <w:t>(a)</w:t>
            </w:r>
          </w:p>
        </w:tc>
        <w:tc>
          <w:tcPr>
            <w:tcW w:w="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93,161</w:t>
            </w:r>
          </w:p>
        </w:tc>
        <w:tc>
          <w:tcPr>
            <w:tcW w:w="120" w:type="dxa"/>
            <w:vAlign w:val="bottom"/>
          </w:tcPr>
          <w:p>
            <w:pPr>
              <w:spacing w:after="0" w:line="109" w:lineRule="exact"/>
              <w:rPr>
                <w:sz w:val="20"/>
                <w:szCs w:val="20"/>
                <w:color w:val="auto"/>
              </w:rPr>
            </w:pPr>
            <w:r>
              <w:rPr>
                <w:rFonts w:ascii="Arial" w:cs="Arial" w:eastAsia="Arial" w:hAnsi="Arial"/>
                <w:sz w:val="11"/>
                <w:szCs w:val="11"/>
                <w:color w:val="auto"/>
                <w:w w:val="74"/>
              </w:rPr>
              <w:t>(a)</w:t>
            </w:r>
          </w:p>
        </w:tc>
        <w:tc>
          <w:tcPr>
            <w:tcW w:w="0" w:type="dxa"/>
            <w:vAlign w:val="bottom"/>
          </w:tcPr>
          <w:p>
            <w:pPr>
              <w:spacing w:after="0"/>
              <w:rPr>
                <w:sz w:val="1"/>
                <w:szCs w:val="1"/>
                <w:color w:val="auto"/>
              </w:rPr>
            </w:pPr>
          </w:p>
        </w:tc>
      </w:tr>
      <w:tr>
        <w:trPr>
          <w:trHeight w:val="135"/>
        </w:trPr>
        <w:tc>
          <w:tcPr>
            <w:tcW w:w="3280" w:type="dxa"/>
            <w:vAlign w:val="bottom"/>
            <w:gridSpan w:val="2"/>
          </w:tcPr>
          <w:p>
            <w:pPr>
              <w:spacing w:after="0" w:line="135" w:lineRule="exact"/>
              <w:rPr>
                <w:sz w:val="20"/>
                <w:szCs w:val="20"/>
                <w:color w:val="auto"/>
              </w:rPr>
            </w:pPr>
            <w:r>
              <w:rPr>
                <w:rFonts w:ascii="Arial" w:cs="Arial" w:eastAsia="Arial" w:hAnsi="Arial"/>
                <w:sz w:val="13"/>
                <w:szCs w:val="13"/>
                <w:color w:val="auto"/>
                <w:w w:val="98"/>
              </w:rPr>
              <w:t xml:space="preserve">Add: Net income attributable to Tradeweb Markets Inc. </w:t>
            </w:r>
            <w:r>
              <w:rPr>
                <w:rFonts w:ascii="Arial" w:cs="Arial" w:eastAsia="Arial" w:hAnsi="Arial"/>
                <w:sz w:val="14"/>
                <w:szCs w:val="14"/>
                <w:color w:val="auto"/>
                <w:w w:val="98"/>
                <w:vertAlign w:val="superscript"/>
              </w:rPr>
              <w:t>(1)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83,769</w:t>
            </w:r>
          </w:p>
        </w:tc>
        <w:tc>
          <w:tcPr>
            <w:tcW w:w="280" w:type="dxa"/>
            <w:vAlign w:val="bottom"/>
          </w:tcPr>
          <w:p>
            <w:pPr>
              <w:spacing w:after="0"/>
              <w:rPr>
                <w:sz w:val="20"/>
                <w:szCs w:val="20"/>
                <w:color w:val="auto"/>
              </w:rPr>
            </w:pPr>
            <w:r>
              <w:rPr>
                <w:rFonts w:ascii="Arial" w:cs="Arial" w:eastAsia="Arial" w:hAnsi="Arial"/>
                <w:sz w:val="11"/>
                <w:szCs w:val="11"/>
                <w:color w:val="auto"/>
              </w:rPr>
              <w:t>(b)</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80" w:type="dxa"/>
            <w:vAlign w:val="bottom"/>
            <w:gridSpan w:val="2"/>
          </w:tcPr>
          <w:p>
            <w:pPr>
              <w:spacing w:after="0" w:line="148" w:lineRule="exact"/>
              <w:rPr>
                <w:sz w:val="20"/>
                <w:szCs w:val="20"/>
                <w:color w:val="auto"/>
              </w:rPr>
            </w:pPr>
            <w:r>
              <w:rPr>
                <w:rFonts w:ascii="Arial" w:cs="Arial" w:eastAsia="Arial" w:hAnsi="Arial"/>
                <w:sz w:val="13"/>
                <w:szCs w:val="13"/>
                <w:color w:val="auto"/>
                <w:w w:val="94"/>
              </w:rPr>
              <w:t xml:space="preserve">Add: Net income attributable to non-controlling interests </w:t>
            </w:r>
            <w:r>
              <w:rPr>
                <w:rFonts w:ascii="Arial" w:cs="Arial" w:eastAsia="Arial" w:hAnsi="Arial"/>
                <w:sz w:val="14"/>
                <w:szCs w:val="14"/>
                <w:color w:val="auto"/>
                <w:w w:val="94"/>
                <w:vertAlign w:val="superscript"/>
              </w:rPr>
              <w:t>(1)(2)</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46,903</w:t>
            </w:r>
          </w:p>
        </w:tc>
        <w:tc>
          <w:tcPr>
            <w:tcW w:w="280" w:type="dxa"/>
            <w:vAlign w:val="bottom"/>
          </w:tcPr>
          <w:p>
            <w:pPr>
              <w:spacing w:after="0"/>
              <w:rPr>
                <w:sz w:val="20"/>
                <w:szCs w:val="20"/>
                <w:color w:val="auto"/>
              </w:rPr>
            </w:pPr>
            <w:r>
              <w:rPr>
                <w:rFonts w:ascii="Arial" w:cs="Arial" w:eastAsia="Arial" w:hAnsi="Arial"/>
                <w:sz w:val="11"/>
                <w:szCs w:val="11"/>
                <w:color w:val="auto"/>
              </w:rPr>
              <w:t>(b)</w:t>
            </w: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gridSpan w:val="2"/>
          </w:tcPr>
          <w:p>
            <w:pPr>
              <w:spacing w:after="0" w:line="133" w:lineRule="exact"/>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173,024</w:t>
            </w:r>
          </w:p>
        </w:tc>
        <w:tc>
          <w:tcPr>
            <w:tcW w:w="280" w:type="dxa"/>
            <w:vAlign w:val="bottom"/>
          </w:tcPr>
          <w:p>
            <w:pPr>
              <w:spacing w:after="0"/>
              <w:rPr>
                <w:sz w:val="20"/>
                <w:szCs w:val="20"/>
                <w:color w:val="auto"/>
              </w:rPr>
            </w:pPr>
            <w:r>
              <w:rPr>
                <w:rFonts w:ascii="Arial" w:cs="Arial" w:eastAsia="Arial" w:hAnsi="Arial"/>
                <w:sz w:val="11"/>
                <w:szCs w:val="11"/>
                <w:color w:val="auto"/>
                <w:w w:val="96"/>
              </w:rPr>
              <w:t>(a)(b)</w:t>
            </w:r>
          </w:p>
        </w:tc>
        <w:tc>
          <w:tcPr>
            <w:tcW w:w="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29,307</w:t>
            </w:r>
          </w:p>
        </w:tc>
        <w:tc>
          <w:tcPr>
            <w:tcW w:w="2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130,160</w:t>
            </w:r>
          </w:p>
        </w:tc>
        <w:tc>
          <w:tcPr>
            <w:tcW w:w="140" w:type="dxa"/>
            <w:vAlign w:val="bottom"/>
          </w:tcPr>
          <w:p>
            <w:pPr>
              <w:spacing w:after="0"/>
              <w:rPr>
                <w:sz w:val="20"/>
                <w:szCs w:val="20"/>
                <w:color w:val="auto"/>
              </w:rPr>
            </w:pPr>
            <w:r>
              <w:rPr>
                <w:rFonts w:ascii="Arial" w:cs="Arial" w:eastAsia="Arial" w:hAnsi="Arial"/>
                <w:sz w:val="11"/>
                <w:szCs w:val="11"/>
                <w:color w:val="auto"/>
                <w:w w:val="88"/>
              </w:rPr>
              <w:t>(a)</w:t>
            </w:r>
          </w:p>
        </w:tc>
        <w:tc>
          <w:tcPr>
            <w:tcW w:w="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83,648</w:t>
            </w:r>
          </w:p>
        </w:tc>
        <w:tc>
          <w:tcPr>
            <w:tcW w:w="140" w:type="dxa"/>
            <w:vAlign w:val="bottom"/>
            <w:gridSpan w:val="2"/>
          </w:tcPr>
          <w:p>
            <w:pPr>
              <w:spacing w:after="0"/>
              <w:rPr>
                <w:sz w:val="20"/>
                <w:szCs w:val="20"/>
                <w:color w:val="auto"/>
              </w:rPr>
            </w:pPr>
            <w:r>
              <w:rPr>
                <w:rFonts w:ascii="Arial" w:cs="Arial" w:eastAsia="Arial" w:hAnsi="Arial"/>
                <w:sz w:val="11"/>
                <w:szCs w:val="11"/>
                <w:color w:val="auto"/>
                <w:w w:val="88"/>
              </w:rPr>
              <w:t>(a)</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93,161</w:t>
            </w:r>
          </w:p>
        </w:tc>
        <w:tc>
          <w:tcPr>
            <w:tcW w:w="120" w:type="dxa"/>
            <w:vAlign w:val="bottom"/>
          </w:tcPr>
          <w:p>
            <w:pPr>
              <w:spacing w:after="0"/>
              <w:rPr>
                <w:sz w:val="20"/>
                <w:szCs w:val="20"/>
                <w:color w:val="auto"/>
              </w:rPr>
            </w:pPr>
            <w:r>
              <w:rPr>
                <w:rFonts w:ascii="Arial" w:cs="Arial" w:eastAsia="Arial" w:hAnsi="Arial"/>
                <w:sz w:val="11"/>
                <w:szCs w:val="11"/>
                <w:color w:val="auto"/>
                <w:w w:val="74"/>
              </w:rPr>
              <w:t>(a)</w:t>
            </w: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Provision for income taxes</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52,302</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3,415</w:t>
            </w:r>
          </w:p>
        </w:tc>
        <w:tc>
          <w:tcPr>
            <w:tcW w:w="2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11,900</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6,129</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tcPr>
          <w:p>
            <w:pPr>
              <w:spacing w:after="0" w:line="135" w:lineRule="exact"/>
              <w:rPr>
                <w:sz w:val="20"/>
                <w:szCs w:val="20"/>
                <w:color w:val="auto"/>
              </w:rPr>
            </w:pPr>
            <w:r>
              <w:rPr>
                <w:rFonts w:ascii="Arial" w:cs="Arial" w:eastAsia="Arial" w:hAnsi="Arial"/>
                <w:sz w:val="13"/>
                <w:szCs w:val="13"/>
                <w:color w:val="auto"/>
              </w:rPr>
              <w:t>Contingent consideration</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26,830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58,520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26,224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Acquisition and Refinitiv Transaction related D&amp;A</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97,565</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22,413</w:t>
            </w:r>
          </w:p>
        </w:tc>
        <w:tc>
          <w:tcPr>
            <w:tcW w:w="2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19,576</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31,236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41,125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25,098</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Unrealized foreign exchange (gains) / losses</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(2,310)</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263</w:t>
            </w:r>
          </w:p>
        </w:tc>
        <w:tc>
          <w:tcPr>
            <w:tcW w:w="2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(960)</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tcPr>
          <w:p>
            <w:pPr>
              <w:spacing w:after="0" w:line="135" w:lineRule="exact"/>
              <w:rPr>
                <w:sz w:val="20"/>
                <w:szCs w:val="20"/>
                <w:color w:val="auto"/>
              </w:rPr>
            </w:pPr>
            <w:r>
              <w:rPr>
                <w:rFonts w:ascii="Arial" w:cs="Arial" w:eastAsia="Arial" w:hAnsi="Arial"/>
                <w:sz w:val="13"/>
                <w:szCs w:val="13"/>
                <w:color w:val="auto"/>
                <w:w w:val="97"/>
              </w:rPr>
              <w:t>(Gain) / loss from revaluation of foreign denominated cash</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1,225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90</w:t>
            </w: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(921)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(678)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(1,315)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Tax receivable agreement liability adjustment</w:t>
            </w:r>
          </w:p>
        </w:tc>
        <w:tc>
          <w:tcPr>
            <w:tcW w:w="1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(33,134)</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80" w:type="dxa"/>
            <w:vAlign w:val="bottom"/>
            <w:gridSpan w:val="2"/>
          </w:tcPr>
          <w:p>
            <w:pPr>
              <w:spacing w:after="0" w:line="129" w:lineRule="exact"/>
              <w:rPr>
                <w:sz w:val="20"/>
                <w:szCs w:val="20"/>
                <w:color w:val="auto"/>
              </w:rPr>
            </w:pPr>
            <w:r>
              <w:rPr>
                <w:rFonts w:ascii="Arial" w:cs="Arial" w:eastAsia="Arial" w:hAnsi="Arial"/>
                <w:sz w:val="13"/>
                <w:szCs w:val="13"/>
                <w:color w:val="auto"/>
              </w:rPr>
              <w:t>Adjusted Net Income before income taxes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313,770</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55,488</w:t>
            </w: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186,585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178,491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160,342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Adjusted income taxes</w:t>
            </w:r>
          </w:p>
        </w:tc>
        <w:tc>
          <w:tcPr>
            <w:tcW w:w="1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(82,835)</w:t>
            </w: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(14,649)</w:t>
            </w:r>
          </w:p>
        </w:tc>
        <w:tc>
          <w:tcPr>
            <w:tcW w:w="2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(49,258)</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(47,122)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(42,330)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Adjusted Net Income</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230,935</w:t>
            </w:r>
          </w:p>
        </w:tc>
        <w:tc>
          <w:tcPr>
            <w:tcW w:w="2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40,839</w:t>
            </w:r>
          </w:p>
        </w:tc>
        <w:tc>
          <w:tcPr>
            <w:tcW w:w="200" w:type="dxa"/>
            <w:vAlign w:val="bottom"/>
            <w:tcBorders>
              <w:bottom w:val="single" w:sz="8" w:color="CCEEFF"/>
              <w:right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137,327</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131,369</w:t>
            </w:r>
          </w:p>
        </w:tc>
        <w:tc>
          <w:tcPr>
            <w:tcW w:w="140" w:type="dxa"/>
            <w:vAlign w:val="bottom"/>
            <w:tcBorders>
              <w:bottom w:val="single" w:sz="8" w:color="CCEEFF"/>
            </w:tcBorders>
            <w:gridSpan w:val="2"/>
          </w:tcPr>
          <w:p>
            <w:pPr>
              <w:spacing w:after="0"/>
              <w:rPr>
                <w:sz w:val="11"/>
                <w:szCs w:val="11"/>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118,012</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Adjusted Diluted EPS </w:t>
            </w:r>
            <w:r>
              <w:rPr>
                <w:rFonts w:ascii="Arial" w:cs="Arial" w:eastAsia="Arial" w:hAnsi="Arial"/>
                <w:sz w:val="14"/>
                <w:szCs w:val="14"/>
                <w:color w:val="auto"/>
                <w:vertAlign w:val="superscript"/>
              </w:rPr>
              <w:t>(1)(3)</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0.23</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0.77</w:t>
            </w:r>
          </w:p>
        </w:tc>
        <w:tc>
          <w:tcPr>
            <w:tcW w:w="280" w:type="dxa"/>
            <w:vAlign w:val="bottom"/>
          </w:tcPr>
          <w:p>
            <w:pPr>
              <w:spacing w:after="0"/>
              <w:rPr>
                <w:sz w:val="20"/>
                <w:szCs w:val="20"/>
                <w:color w:val="auto"/>
              </w:rPr>
            </w:pPr>
            <w:r>
              <w:rPr>
                <w:rFonts w:ascii="Arial" w:cs="Arial" w:eastAsia="Arial" w:hAnsi="Arial"/>
                <w:sz w:val="11"/>
                <w:szCs w:val="11"/>
                <w:color w:val="auto"/>
              </w:rPr>
              <w:t>(b)</w:t>
            </w:r>
          </w:p>
        </w:tc>
        <w:tc>
          <w:tcPr>
            <w:tcW w:w="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0.18</w:t>
            </w:r>
          </w:p>
        </w:tc>
        <w:tc>
          <w:tcPr>
            <w:tcW w:w="2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0.64</w:t>
            </w:r>
          </w:p>
        </w:tc>
        <w:tc>
          <w:tcPr>
            <w:tcW w:w="140" w:type="dxa"/>
            <w:vAlign w:val="bottom"/>
          </w:tcPr>
          <w:p>
            <w:pPr>
              <w:spacing w:after="0"/>
              <w:rPr>
                <w:sz w:val="20"/>
                <w:szCs w:val="20"/>
                <w:color w:val="auto"/>
              </w:rPr>
            </w:pPr>
            <w:r>
              <w:rPr>
                <w:rFonts w:ascii="Arial" w:cs="Arial" w:eastAsia="Arial" w:hAnsi="Arial"/>
                <w:sz w:val="11"/>
                <w:szCs w:val="11"/>
                <w:color w:val="auto"/>
                <w:w w:val="88"/>
              </w:rPr>
              <w:t>(a)</w:t>
            </w:r>
          </w:p>
        </w:tc>
        <w:tc>
          <w:tcPr>
            <w:tcW w:w="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0.62</w:t>
            </w:r>
          </w:p>
        </w:tc>
        <w:tc>
          <w:tcPr>
            <w:tcW w:w="180" w:type="dxa"/>
            <w:vAlign w:val="bottom"/>
            <w:gridSpan w:val="3"/>
          </w:tcPr>
          <w:p>
            <w:pPr>
              <w:spacing w:after="0" w:line="135" w:lineRule="exact"/>
              <w:rPr>
                <w:sz w:val="20"/>
                <w:szCs w:val="20"/>
                <w:color w:val="auto"/>
              </w:rPr>
            </w:pPr>
            <w:r>
              <w:rPr>
                <w:rFonts w:ascii="Arial" w:cs="Arial" w:eastAsia="Arial" w:hAnsi="Arial"/>
                <w:sz w:val="11"/>
                <w:szCs w:val="11"/>
                <w:color w:val="auto"/>
                <w:w w:val="79"/>
              </w:rPr>
              <w:t>(a)</w:t>
            </w:r>
            <w:r>
              <w:rPr>
                <w:rFonts w:ascii="Arial" w:cs="Arial" w:eastAsia="Arial" w:hAnsi="Arial"/>
                <w:sz w:val="12"/>
                <w:szCs w:val="12"/>
                <w:color w:val="auto"/>
                <w:w w:val="79"/>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0.56</w:t>
            </w:r>
          </w:p>
        </w:tc>
        <w:tc>
          <w:tcPr>
            <w:tcW w:w="120" w:type="dxa"/>
            <w:vAlign w:val="bottom"/>
          </w:tcPr>
          <w:p>
            <w:pPr>
              <w:spacing w:after="0"/>
              <w:rPr>
                <w:sz w:val="20"/>
                <w:szCs w:val="20"/>
                <w:color w:val="auto"/>
              </w:rPr>
            </w:pPr>
            <w:r>
              <w:rPr>
                <w:rFonts w:ascii="Arial" w:cs="Arial" w:eastAsia="Arial" w:hAnsi="Arial"/>
                <w:sz w:val="11"/>
                <w:szCs w:val="11"/>
                <w:color w:val="auto"/>
                <w:w w:val="74"/>
              </w:rPr>
              <w:t>(a)</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-1697355</wp:posOffset>
            </wp:positionV>
            <wp:extent cx="5754370"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-1517015</wp:posOffset>
            </wp:positionV>
            <wp:extent cx="575437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94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-1337310</wp:posOffset>
            </wp:positionV>
            <wp:extent cx="575437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85725"/>
                    </a:xfrm>
                    <a:prstGeom prst="rect">
                      <a:avLst/>
                    </a:prstGeom>
                    <a:noFill/>
                  </pic:spPr>
                </pic:pic>
              </a:graphicData>
            </a:graphic>
          </wp:anchor>
        </w:drawing>
      </w:r>
    </w:p>
    <w:p>
      <w:pPr>
        <w:spacing w:after="0" w:line="285" w:lineRule="exact"/>
        <w:rPr>
          <w:sz w:val="20"/>
          <w:szCs w:val="20"/>
          <w:color w:val="auto"/>
        </w:rPr>
      </w:pPr>
    </w:p>
    <w:p>
      <w:pPr>
        <w:ind w:left="1060" w:right="280" w:hanging="328"/>
        <w:spacing w:after="0" w:line="230" w:lineRule="auto"/>
        <w:tabs>
          <w:tab w:leader="none" w:pos="10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April 2019, we completed the Reorganization Transactions and the IPO. Therefore, certain earnings information is being presented separately for Tradeweb Markets LLC and Tradeweb Markets Inc.</w:t>
      </w:r>
    </w:p>
    <w:p>
      <w:pPr>
        <w:ind w:left="1700" w:hanging="320"/>
        <w:spacing w:after="0" w:line="221" w:lineRule="auto"/>
        <w:tabs>
          <w:tab w:leader="none" w:pos="1700" w:val="left"/>
        </w:tabs>
        <w:numPr>
          <w:ilvl w:val="1"/>
          <w:numId w:val="45"/>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ind w:left="1700" w:hanging="320"/>
        <w:spacing w:after="0" w:line="221" w:lineRule="auto"/>
        <w:tabs>
          <w:tab w:leader="none" w:pos="1700" w:val="left"/>
        </w:tabs>
        <w:numPr>
          <w:ilvl w:val="1"/>
          <w:numId w:val="45"/>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ind w:left="1060" w:right="120"/>
        <w:spacing w:after="0" w:line="237" w:lineRule="auto"/>
        <w:rPr>
          <w:sz w:val="20"/>
          <w:szCs w:val="20"/>
          <w:color w:val="auto"/>
        </w:rPr>
      </w:pPr>
      <w:r>
        <w:rPr>
          <w:rFonts w:ascii="Arial" w:cs="Arial" w:eastAsia="Arial" w:hAnsi="Arial"/>
          <w:sz w:val="14"/>
          <w:szCs w:val="14"/>
          <w:color w:val="auto"/>
        </w:rPr>
        <w:t>See “Basis of Presentation” and Note 18 – Earnings Per Share to our audited consolidated financial statements included elsewhere in this Annual Report on Form 10-K.</w:t>
      </w:r>
    </w:p>
    <w:p>
      <w:pPr>
        <w:spacing w:after="0" w:line="183" w:lineRule="exact"/>
        <w:rPr>
          <w:sz w:val="20"/>
          <w:szCs w:val="20"/>
          <w:color w:val="auto"/>
        </w:rPr>
      </w:pPr>
    </w:p>
    <w:p>
      <w:pPr>
        <w:ind w:left="1060" w:right="120" w:hanging="328"/>
        <w:spacing w:after="0" w:line="253" w:lineRule="auto"/>
        <w:tabs>
          <w:tab w:leader="none" w:pos="10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173" w:lineRule="exact"/>
        <w:rPr>
          <w:rFonts w:ascii="Arial" w:cs="Arial" w:eastAsia="Arial" w:hAnsi="Arial"/>
          <w:sz w:val="14"/>
          <w:szCs w:val="14"/>
          <w:color w:val="auto"/>
        </w:rPr>
      </w:pPr>
    </w:p>
    <w:p>
      <w:pPr>
        <w:ind w:left="1060" w:right="120" w:hanging="328"/>
        <w:spacing w:after="0" w:line="238" w:lineRule="auto"/>
        <w:tabs>
          <w:tab w:leader="none" w:pos="10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Due to the Reorganization Transactions and the IPO completed in April 2019, shares outstanding during the year ended December 31, 2019 represent shares of TWM LLC (pre-IPO period) and shares of Class A and Class B common stock of Tradeweb Markets Inc. (post-IPO period).</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table set forth below presents the calculation of Adjusted Diluted EPS for the periods presented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78"/>
              </w:rPr>
              <w:t>Successor</w:t>
            </w: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Predecessor</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6"/>
              <w:spacing w:after="0" w:line="115" w:lineRule="exact"/>
              <w:rPr>
                <w:sz w:val="20"/>
                <w:szCs w:val="20"/>
                <w:color w:val="auto"/>
              </w:rPr>
            </w:pPr>
            <w:r>
              <w:rPr>
                <w:rFonts w:ascii="Arial" w:cs="Arial" w:eastAsia="Arial" w:hAnsi="Arial"/>
                <w:sz w:val="11"/>
                <w:szCs w:val="11"/>
                <w:b w:val="1"/>
                <w:bCs w:val="1"/>
                <w:color w:val="auto"/>
                <w:w w:val="92"/>
              </w:rPr>
              <w:t>Pre-IPO Period</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auto"/>
                <w:w w:val="90"/>
              </w:rPr>
              <w:t>Post-IPO Period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87"/>
              </w:rPr>
              <w:t>October 1, 2018</w:t>
            </w: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90"/>
              </w:rPr>
              <w:t>January 1, 2018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2"/>
              </w:rPr>
              <w:t>Year</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Year</w:t>
            </w:r>
          </w:p>
        </w:tc>
        <w:tc>
          <w:tcPr>
            <w:tcW w:w="0" w:type="dxa"/>
            <w:vAlign w:val="bottom"/>
          </w:tcPr>
          <w:p>
            <w:pPr>
              <w:spacing w:after="0"/>
              <w:rPr>
                <w:sz w:val="1"/>
                <w:szCs w:val="1"/>
                <w:color w:val="auto"/>
              </w:rPr>
            </w:pPr>
          </w:p>
        </w:tc>
      </w:tr>
      <w:tr>
        <w:trPr>
          <w:trHeight w:val="101"/>
        </w:trPr>
        <w:tc>
          <w:tcPr>
            <w:tcW w:w="2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92"/>
              </w:rPr>
              <w:t>Year</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jc w:val="center"/>
              <w:ind w:right="26"/>
              <w:spacing w:after="0" w:line="102" w:lineRule="exact"/>
              <w:rPr>
                <w:sz w:val="20"/>
                <w:szCs w:val="20"/>
                <w:color w:val="auto"/>
              </w:rPr>
            </w:pPr>
            <w:r>
              <w:rPr>
                <w:rFonts w:ascii="Arial" w:cs="Arial" w:eastAsia="Arial" w:hAnsi="Arial"/>
                <w:sz w:val="11"/>
                <w:szCs w:val="11"/>
                <w:b w:val="1"/>
                <w:bCs w:val="1"/>
                <w:color w:val="auto"/>
                <w:w w:val="92"/>
              </w:rPr>
              <w:t>Year</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1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Reconciliation of Diluted Weighted Average Shares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76"/>
              </w:rPr>
              <w:t>to</w:t>
            </w: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76"/>
              </w:rPr>
              <w:t>to</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Ended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2"/>
        </w:trPr>
        <w:tc>
          <w:tcPr>
            <w:tcW w:w="31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Outstanding to Adjusted Diluted Weighted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w w:val="94"/>
              </w:rPr>
              <w:t>December 31,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35"/>
        </w:trPr>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Average Shares Outstanding</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Borders>
              <w:bottom w:val="single" w:sz="8" w:color="CCEEFF"/>
              <w:right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2018</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9"/>
              </w:rPr>
              <w:t>2017</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2016</w:t>
            </w:r>
          </w:p>
        </w:tc>
        <w:tc>
          <w:tcPr>
            <w:tcW w:w="0" w:type="dxa"/>
            <w:vAlign w:val="bottom"/>
          </w:tcPr>
          <w:p>
            <w:pPr>
              <w:spacing w:after="0"/>
              <w:rPr>
                <w:sz w:val="1"/>
                <w:szCs w:val="1"/>
                <w:color w:val="auto"/>
              </w:rPr>
            </w:pPr>
          </w:p>
        </w:tc>
      </w:tr>
      <w:tr>
        <w:trPr>
          <w:trHeight w:val="115"/>
        </w:trPr>
        <w:tc>
          <w:tcPr>
            <w:tcW w:w="314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Diluted weighted average TWM LLC shares outstanding</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223,320,457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222,243,851</w:t>
            </w:r>
          </w:p>
        </w:tc>
        <w:tc>
          <w:tcPr>
            <w:tcW w:w="1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215,365,920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212,568,635</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210,979,704</w:t>
            </w:r>
          </w:p>
        </w:tc>
        <w:tc>
          <w:tcPr>
            <w:tcW w:w="0" w:type="dxa"/>
            <w:vAlign w:val="bottom"/>
          </w:tcPr>
          <w:p>
            <w:pPr>
              <w:spacing w:after="0"/>
              <w:rPr>
                <w:sz w:val="1"/>
                <w:szCs w:val="1"/>
                <w:color w:val="auto"/>
              </w:rPr>
            </w:pPr>
          </w:p>
        </w:tc>
      </w:tr>
      <w:tr>
        <w:trPr>
          <w:trHeight w:val="112"/>
        </w:trPr>
        <w:tc>
          <w:tcPr>
            <w:tcW w:w="3140" w:type="dxa"/>
            <w:vAlign w:val="bottom"/>
            <w:gridSpan w:val="2"/>
          </w:tcPr>
          <w:p>
            <w:pPr>
              <w:spacing w:after="0" w:line="112" w:lineRule="exact"/>
              <w:rPr>
                <w:sz w:val="20"/>
                <w:szCs w:val="20"/>
                <w:color w:val="auto"/>
              </w:rPr>
            </w:pPr>
            <w:r>
              <w:rPr>
                <w:rFonts w:ascii="Arial" w:cs="Arial" w:eastAsia="Arial" w:hAnsi="Arial"/>
                <w:sz w:val="11"/>
                <w:szCs w:val="11"/>
                <w:color w:val="auto"/>
                <w:w w:val="89"/>
              </w:rPr>
              <w:t>Diluted weighted average shares of Class A and Class B common stock</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140" w:type="dxa"/>
            <w:vAlign w:val="bottom"/>
            <w:gridSpan w:val="2"/>
          </w:tcPr>
          <w:p>
            <w:pPr>
              <w:spacing w:after="0"/>
              <w:rPr>
                <w:sz w:val="20"/>
                <w:szCs w:val="20"/>
                <w:color w:val="auto"/>
              </w:rPr>
            </w:pPr>
            <w:r>
              <w:rPr>
                <w:rFonts w:ascii="Arial" w:cs="Arial" w:eastAsia="Arial" w:hAnsi="Arial"/>
                <w:sz w:val="11"/>
                <w:szCs w:val="11"/>
                <w:color w:val="auto"/>
              </w:rPr>
              <w:t>outstanding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156,540,246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6"/>
        </w:trPr>
        <w:tc>
          <w:tcPr>
            <w:tcW w:w="3140" w:type="dxa"/>
            <w:vAlign w:val="bottom"/>
            <w:gridSpan w:val="2"/>
            <w:shd w:val="clear" w:color="auto" w:fill="CCEEFF"/>
          </w:tcPr>
          <w:p>
            <w:pPr>
              <w:spacing w:after="0" w:line="96" w:lineRule="exact"/>
              <w:rPr>
                <w:sz w:val="20"/>
                <w:szCs w:val="20"/>
                <w:color w:val="auto"/>
              </w:rPr>
            </w:pPr>
            <w:r>
              <w:rPr>
                <w:rFonts w:ascii="Arial" w:cs="Arial" w:eastAsia="Arial" w:hAnsi="Arial"/>
                <w:sz w:val="11"/>
                <w:szCs w:val="11"/>
                <w:color w:val="auto"/>
                <w:w w:val="92"/>
              </w:rPr>
              <w:t>Assumed exchange of LLC interests for shares of Class A or Class B</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3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xml:space="preserve">common stock </w:t>
            </w:r>
            <w:r>
              <w:rPr>
                <w:rFonts w:ascii="Arial" w:cs="Arial" w:eastAsia="Arial" w:hAnsi="Arial"/>
                <w:sz w:val="11"/>
                <w:szCs w:val="11"/>
                <w:color w:val="auto"/>
                <w:vertAlign w:val="superscript"/>
              </w:rPr>
              <w:t>(1)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74,279,741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140" w:type="dxa"/>
            <w:vAlign w:val="bottom"/>
            <w:tcBorders>
              <w:bottom w:val="single" w:sz="8" w:color="CCEEFF"/>
            </w:tcBorders>
            <w:gridSpan w:val="2"/>
          </w:tcPr>
          <w:p>
            <w:pPr>
              <w:spacing w:after="0" w:line="115" w:lineRule="exact"/>
              <w:rPr>
                <w:sz w:val="20"/>
                <w:szCs w:val="20"/>
                <w:color w:val="auto"/>
              </w:rPr>
            </w:pPr>
            <w:r>
              <w:rPr>
                <w:rFonts w:ascii="Arial" w:cs="Arial" w:eastAsia="Arial" w:hAnsi="Arial"/>
                <w:sz w:val="11"/>
                <w:szCs w:val="11"/>
                <w:color w:val="auto"/>
              </w:rPr>
              <w:t>Adjusted diluted weighted average shares outstanding</w:t>
            </w:r>
          </w:p>
        </w:tc>
        <w:tc>
          <w:tcPr>
            <w:tcW w:w="14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223,320,457</w:t>
            </w:r>
          </w:p>
        </w:tc>
        <w:tc>
          <w:tcPr>
            <w:tcW w:w="1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230,819,987</w:t>
            </w:r>
          </w:p>
        </w:tc>
        <w:tc>
          <w:tcPr>
            <w:tcW w:w="1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222,243,851</w:t>
            </w:r>
          </w:p>
        </w:tc>
        <w:tc>
          <w:tcPr>
            <w:tcW w:w="140" w:type="dxa"/>
            <w:vAlign w:val="bottom"/>
            <w:tcBorders>
              <w:bottom w:val="single" w:sz="8" w:color="CCEEFF"/>
              <w:right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215,365,920</w:t>
            </w:r>
          </w:p>
        </w:tc>
        <w:tc>
          <w:tcPr>
            <w:tcW w:w="1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212,568,635</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210,979,704</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gridSpan w:val="2"/>
            <w:shd w:val="clear" w:color="auto" w:fill="CCEEFF"/>
          </w:tcPr>
          <w:p>
            <w:pPr>
              <w:spacing w:after="0" w:line="122" w:lineRule="exact"/>
              <w:rPr>
                <w:sz w:val="20"/>
                <w:szCs w:val="20"/>
                <w:color w:val="auto"/>
              </w:rPr>
            </w:pPr>
            <w:r>
              <w:rPr>
                <w:rFonts w:ascii="Arial" w:cs="Arial" w:eastAsia="Arial" w:hAnsi="Arial"/>
                <w:sz w:val="11"/>
                <w:szCs w:val="11"/>
                <w:color w:val="auto"/>
              </w:rPr>
              <w:t>Adjusted Net Income (in thousands)</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52,190</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178,745</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40,839</w:t>
            </w: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137,327</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131,369</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118,012</w:t>
            </w:r>
          </w:p>
        </w:tc>
        <w:tc>
          <w:tcPr>
            <w:tcW w:w="0" w:type="dxa"/>
            <w:vAlign w:val="bottom"/>
          </w:tcPr>
          <w:p>
            <w:pPr>
              <w:spacing w:after="0"/>
              <w:rPr>
                <w:sz w:val="1"/>
                <w:szCs w:val="1"/>
                <w:color w:val="auto"/>
              </w:rPr>
            </w:pPr>
          </w:p>
        </w:tc>
      </w:tr>
      <w:tr>
        <w:trPr>
          <w:trHeight w:val="116"/>
        </w:trPr>
        <w:tc>
          <w:tcPr>
            <w:tcW w:w="3140" w:type="dxa"/>
            <w:vAlign w:val="bottom"/>
            <w:gridSpan w:val="2"/>
          </w:tcPr>
          <w:p>
            <w:pPr>
              <w:spacing w:after="0" w:line="109" w:lineRule="exact"/>
              <w:rPr>
                <w:sz w:val="20"/>
                <w:szCs w:val="20"/>
                <w:color w:val="auto"/>
              </w:rPr>
            </w:pPr>
            <w:r>
              <w:rPr>
                <w:rFonts w:ascii="Arial" w:cs="Arial" w:eastAsia="Arial" w:hAnsi="Arial"/>
                <w:sz w:val="11"/>
                <w:szCs w:val="11"/>
                <w:color w:val="auto"/>
              </w:rPr>
              <w:t>Adjusted Diluted EPS</w:t>
            </w:r>
          </w:p>
        </w:tc>
        <w:tc>
          <w:tcPr>
            <w:tcW w:w="14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0.23</w:t>
            </w:r>
          </w:p>
        </w:tc>
        <w:tc>
          <w:tcPr>
            <w:tcW w:w="1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0.77</w:t>
            </w:r>
          </w:p>
        </w:tc>
        <w:tc>
          <w:tcPr>
            <w:tcW w:w="1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0.18</w:t>
            </w: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0.64</w:t>
            </w:r>
          </w:p>
        </w:tc>
        <w:tc>
          <w:tcPr>
            <w:tcW w:w="1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0.62</w:t>
            </w: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0.56</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980" w:right="280" w:hanging="329"/>
        <w:spacing w:after="0" w:line="249" w:lineRule="auto"/>
        <w:tabs>
          <w:tab w:leader="none" w:pos="980" w:val="left"/>
        </w:tabs>
        <w:numPr>
          <w:ilvl w:val="0"/>
          <w:numId w:val="47"/>
        </w:numPr>
        <w:rPr>
          <w:rFonts w:ascii="Arial" w:cs="Arial" w:eastAsia="Arial" w:hAnsi="Arial"/>
          <w:sz w:val="11"/>
          <w:szCs w:val="11"/>
          <w:color w:val="auto"/>
        </w:rPr>
      </w:pPr>
      <w:r>
        <w:rPr>
          <w:rFonts w:ascii="Arial" w:cs="Arial" w:eastAsia="Arial" w:hAnsi="Arial"/>
          <w:sz w:val="11"/>
          <w:szCs w:val="11"/>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16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sections titled “Basis of Presentation” and “Selected Historical Consolidated Financial and Other Data” and our audited consolidated financial statements and related notes and other information included elsewhere in this Annual Report on Form 10-K.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82"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Our institutional client sector serves institutional investors in over 40 markets across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188"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business is impacted by the overall market activity and, in particular, trading volumes and market volatility. Lower volatility is correlated to lower liquidity, which may result in lower trading volume for our clients and may negatively impact our operating performance. Factors that may impact market activity in 2020 include, among other things, economic, political and social conditions, legislative, regulatory or government policy changes and health concerns associated with the coronavirus. As a result, our business is sensitive to slow trading environments and the continuity of conservative monetary policies of central banks internationally, which tend to lessen volatility.</w:t>
      </w:r>
    </w:p>
    <w:p>
      <w:pPr>
        <w:spacing w:after="0" w:line="17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business is subject to extensive regulations in the United States and internationally, which may expose us to significant regulatory risk and cause additional legal costs to ensure compliance. See “Business — Regulation.”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administration and could be further impacted, depending on the results of the upcoming U.S. 2020 elections. The impact of any reform efforts on us and our operations remains uncertain. In addition, as a result of the referendum in favor of the United Kingdom’s withdrawal from the European Union (“Brexit”) in June 2016, which occurred on January 31, 2020, we have incurred additional costs to address the potential effects of Brexit, including costs associated with establishing a new regulated subsidiary in the Netherlands.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higher trading volumes as a result of, and the introduction of our new APA service in connection with, the implementation of MiFID II in January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“Business — Competition” for more detail on our competitors.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II, Item 7A – “Quantitative and Qualitative Disclosures About Market Risk — Foreign Currency and Derivative Risk” elsewhere in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Pushdown Accounting on our Financial Statements</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As a result of the Refinitiv Transaction, and the application of pushdown accounting, our assets and liabilities were adjusted to their estimated fair values as of October 1, 2018, the closing date of the Refinitiv Transaction. These adjusted valuations resulted in an increase in depreciation and amortization expense, due to the increased carrying value of our assets and the related increase in depreciation of tangible assets and amortization of our intangible assets, and a decrease in occupancy expense as a result of the recognition of a leasehold interest liability. Additionally, the excess of the portion of the total purchase price of the Refinitiv Transaction attributable to the purchase of our assets and liabilities over their estimated fair value as of the closing date of the Refinitiv Transaction was allocated to goodwill. Goodwill is subject to annual impairment testing. Amounts allocated to intangible assets with definite lives are subject to amortization over the estimated useful life of the asset. See “Note 3 — Pushdown Accounting” to our audited consolidated financial statements included elsewhere in this Annual Report on Form 10-K and “— Critical Accounting Policies and Estimates — Pushdown Accounting.”</w:t>
      </w:r>
    </w:p>
    <w:p>
      <w:pPr>
        <w:spacing w:after="0" w:line="18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Due to the change in the basis of accounting resulting from the application of pushdown accounting, the financial information for the period beginning on October 1, 2018, and through and including December 31, 2019, which we refer to as the “Successor period,” and the financial information for the periods prior to, and including, September 30, 2018, which we refer to as the “Predecessor period,” are not necessarily comparable. As discussed above, the new basis of accounting primarily impacted the values of our long-lived and indefinite-lived intangible assets and resulted in increased depreciation and amortization expense and decreased occupancy expense. However, the change in basis resulting from the Refinitiv Transaction and the application of pushdown accounting did not impact revenues or certain expenses, including employee compensation and benefits expense, general and administrative expense, technology and communications expense, professional fees and net interest income (expense), and, for these metrics, we believe combining the results for the 2018 Successor and 2018 Predecessor periods provides meaningful information. Accordingly, certain discussions below for revenues and certain expenses represent the combined results of the 2018 Successor and 2018 Predecessor periods for the full year ended December 31, 2018. Such combination was performed by mathematical addition and is not a presentation made in accordance with GAAP, although we believe it provides 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meaningful method of comparison for these metrics. The combined data is being presented for informational purposes only. The combined results for these metrics for the full year ended December 31, 2018 (i) have not been prepared on a pro forma basis, as if the Refinitiv Transaction occurred on the first day of the period, (ii) may not reflect the actual results we would have achieved absent the Refinitiv Transaction, (iii) may not be predictive of our future results of operations and (iv) should not be viewed as a substitute for the financial results of the Successor and Predecessor periods presented in accordance with GAAP. For all other metrics, to the extent that the change in basis had a material impact on our results, we have disclosed such impact under “—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Public Company Expenses</w:t>
      </w:r>
    </w:p>
    <w:p>
      <w:pPr>
        <w:spacing w:after="0" w:line="22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as the Continuing LLC Owners redeem or exchange their LLC Interests for shares of Class A common stock or Class B common stock, as applicable, or as we purchase LLC Interests from the Continuing LLC Owners. In addition to tax expenses, we also incur expenses related to our operations. Furthermore, in connection with the IPO, we entered into the Tax Receivable Agreement pursuant to which we will be required to make payments that we expect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6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addition, as a public company, we have started to implement additional procedures and processes for the purpose of addressing the standards and requirements applicable to public companies. In particular, we expect our accounting, legal and personnel-related expenses and directors’ and officers’ insurance costs to continue to increase as we establish more comprehensive compliance and governance functions, establish, maintain and review internal control over financial reporting in accordance with the Sarbanes-Oxley Act and prepare and distribute periodic reports in accordance with SEC rules.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Our gross revenue is derived primarily from transaction fees, subscription fees, commissions and market data fees. For the 2018 Predecessor Period and the year ended December 31, 2017, our gross revenue is offset by contingent consideration recognized as a contra-revenue adjustment related to the achievement of specific revenue earnout milestones, as further described below. This contingent consideration vested on, and has no additional impacts on our results of operations after, July 31, 2018. We believe that gross revenue is the key driver of our operating performance and therefore is the revenue measure we utilize to assess our business on a period by period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w:t>
      </w:r>
    </w:p>
    <w:p>
      <w:pPr>
        <w:spacing w:after="0" w:line="16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month depending on the mix of products and volume traded. Furthermore, because transaction fees vary by geographic region, product type and trade size, our revenues may not correlate with volume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22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18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vested on July 31, 2018 upon the achievement of specific revenue earnout milestones related to the growth of specified credit products (the “Credit Initiative Earnout”). Prior to the July 31, 2018 vesting, we recognized contingent consideration with respect to the Credit Initiative Earnout as a contra-revenue adjustment, which partially offset gross revenue for the 2018 Predecessor Period and the year ended December 31, 2017. See “— Critical Accounting Policies and Estimates — Contingent Consideration” for a discussion of the calculation of contingent consideration. The value of the contingent consideration of $156.2 million was finalized and contributed to members’ capital or employee equity compensation payable on July 31, 2018 and we therefore no longer recognize any contra-revenue adjustments from the Credit Initiative Earnout subsequent to that date. In connection with the Reorganization Transactions, the Class A Shares, Class P1-(A) Shares, Class C Shares and Class P1-(C) Shares were exchanged for LLC Interests.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and as our revenues and earnings grow. As a result, employee compensation and benefits can vary from period to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Depreciation and amortization expense consists of costs relating to the depreciation and amortization of other intangible assets, acquired and internally developed software, leasehold improvements, furniture and equipment. As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discussed in “— Effect of Pushdown Accounting on our Financial Statements,” we applied pushdown accounting as a result of the Refinitiv Transaction and therefore depreciation and amortization expense in Successor reporting periods will differ from amounts reported in Predecessor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Technology and communications expense consists of costs relating to software and hardware maintenance, our internal network connections, data center costs, clearance costs and data feeds provided by third-party service providers, including Refinitiv pursuant to a shared services agreement. Factors that influence technology and communications expense include the growth of our client base and product offerings.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Accounting, tax and legal fees are expected to increase as a result of expanding public company and compliance requirements. Factors that influence technology and software consulting expense include the growth of our client base and product offerings.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Occupancy expense consists of operating lease rent and related costs for office space and data centers leased in North America, Europe and Asia. Fees incurred by us under a shared services agreement with Refinitiv for office space are also included in occupancy expense. We expect occupancy expense to increase as we expand the number of our employees and grow our operations. In addition, we currently anticipate that in 2020 we will likely enter into a new lease to increase the size of our corporate headquarters in or near New York, New York, which may result in increased operating expenses. As discussed in “— Effect of Pushdown Accounting on our Financial Statements,” we applied pushdown accounting as a result of the Refinitiv Transaction and therefore occupancy expense in Successor reporting periods will differ from amounts reported in Predecessor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income consists of interest earned from our cash deposited with large commercial banks and money market funds. Beginning with the second quarter of 2019, interest expense consists of commitment fees payable on, and, if applicable, interest payable on any borrowings outstanding under, the Revolving Credit Facility. Historically, interest expense consisted of interest payable to Thomson Reuters under a convertible term note. Thomson Reuters converted all outstanding borrowings under this note to equity of the Company in May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Beginning with the second quarter of 2019, we became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the sole manager of TWM LLC. As a result of this control, and because we have a substantial financial interest in TWM LLC, we began consolidating the financial results of TWM LLC and reporting a non-controlling interest on our consolidated financial statements, representing the economic interests of TWM LLC held by the Continuing LLC Owners. Income or loss is attributed to the non-controlling interests based on the relative ownership percentages of LLC Interests held during the period by us and the Continuing LLC Owners.</w:t>
      </w:r>
    </w:p>
    <w:p>
      <w:pPr>
        <w:spacing w:after="0" w:line="18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the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the Continuing LLC Owners owned the remaining 35.7% of TWM LLC. As of December 31, 2019, we owned 73.4% of TWM LLC and the Continuing LLC Owners owned the remaining 26.6% of TWM LLC.</w:t>
      </w:r>
    </w:p>
    <w:p>
      <w:pPr>
        <w:spacing w:after="0" w:line="18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result of the foregoing is that, during the second quarter of 2019, we began reporting net income attributable to non-controlling interests. For the year ended December 31, 2019, net income attributable to non-controlling interests totaled $46.9 million, which represents the Continuing LLC Owners’ pro rata share of the net income of TWM LLC subsequent to the Reorganization Transactions and the IPO. For pre-IPO periods, there were no non-controlling interests.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For the Year Ended December 31, 2019 (Successor), October 1, 2018 to December 31, 2018 (Successor) and January 1, 2018 to September 30, 2018 (Predecessor)</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a summary of our statements of income for the year ended December 31, 2019, the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Successor Period and the 2018 Predecessor Period: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9"/>
              </w:rPr>
              <w:t>Successor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79"/>
              </w:rPr>
              <w:t>Successor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52"/>
              <w:spacing w:after="0"/>
              <w:rPr>
                <w:sz w:val="20"/>
                <w:szCs w:val="20"/>
                <w:color w:val="auto"/>
              </w:rPr>
            </w:pPr>
            <w:r>
              <w:rPr>
                <w:rFonts w:ascii="Arial" w:cs="Arial" w:eastAsia="Arial" w:hAnsi="Arial"/>
                <w:sz w:val="13"/>
                <w:szCs w:val="13"/>
                <w:b w:val="1"/>
                <w:bCs w:val="1"/>
                <w:color w:val="auto"/>
                <w:w w:val="81"/>
              </w:rPr>
              <w:t>Predecessor</w:t>
            </w:r>
          </w:p>
        </w:tc>
      </w:tr>
      <w:tr>
        <w:trPr>
          <w:trHeight w:val="110"/>
        </w:trPr>
        <w:tc>
          <w:tcPr>
            <w:tcW w:w="4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74"/>
              <w:spacing w:after="0" w:line="110" w:lineRule="exact"/>
              <w:rPr>
                <w:sz w:val="20"/>
                <w:szCs w:val="20"/>
                <w:color w:val="auto"/>
              </w:rPr>
            </w:pPr>
            <w:r>
              <w:rPr>
                <w:rFonts w:ascii="Arial" w:cs="Arial" w:eastAsia="Arial" w:hAnsi="Arial"/>
                <w:sz w:val="12"/>
                <w:szCs w:val="12"/>
                <w:b w:val="1"/>
                <w:bCs w:val="1"/>
                <w:color w:val="auto"/>
                <w:w w:val="96"/>
              </w:rPr>
              <w:t>Year 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5"/>
              <w:spacing w:after="0" w:line="110" w:lineRule="exact"/>
              <w:rPr>
                <w:sz w:val="20"/>
                <w:szCs w:val="20"/>
                <w:color w:val="auto"/>
              </w:rPr>
            </w:pPr>
            <w:r>
              <w:rPr>
                <w:rFonts w:ascii="Arial" w:cs="Arial" w:eastAsia="Arial" w:hAnsi="Arial"/>
                <w:sz w:val="12"/>
                <w:szCs w:val="12"/>
                <w:b w:val="1"/>
                <w:bCs w:val="1"/>
                <w:color w:val="auto"/>
                <w:w w:val="94"/>
              </w:rPr>
              <w:t>October 1, 2018 to</w:t>
            </w: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January 1, 2018 to</w:t>
            </w:r>
          </w:p>
        </w:tc>
      </w:tr>
      <w:tr>
        <w:trPr>
          <w:trHeight w:val="153"/>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87"/>
              </w:rPr>
              <w:t>December 31, 2019</w:t>
            </w: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87"/>
              </w:rPr>
              <w:t>December 31, 2018</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September 30, 2018</w:t>
            </w:r>
          </w:p>
        </w:tc>
      </w:tr>
      <w:tr>
        <w:trPr>
          <w:trHeight w:val="129"/>
        </w:trPr>
        <w:tc>
          <w:tcPr>
            <w:tcW w:w="4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3"/>
                <w:szCs w:val="13"/>
                <w:b w:val="1"/>
                <w:bCs w:val="1"/>
                <w:color w:val="auto"/>
                <w:w w:val="91"/>
              </w:rPr>
              <w:t>(dollars in thousands)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775,566</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178,637</w:t>
            </w:r>
          </w:p>
        </w:tc>
        <w:tc>
          <w:tcPr>
            <w:tcW w:w="14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505,771</w:t>
            </w: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(26,830)</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775,566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178,637</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478,941</w:t>
            </w: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585,747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146,702</w:t>
            </w:r>
          </w:p>
        </w:tc>
        <w:tc>
          <w:tcPr>
            <w:tcW w:w="14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338,607</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140,334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Tax receivable agreement liability adjustment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Income before taxes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225,326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32,722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142,060</w:t>
            </w: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r>
      <w:tr>
        <w:trPr>
          <w:trHeight w:val="217"/>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173,024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29,307</w:t>
            </w:r>
          </w:p>
        </w:tc>
        <w:tc>
          <w:tcPr>
            <w:tcW w:w="14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130,160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Pre-IPO net income attributable to Tradeweb Markets LLC</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2"/>
        </w:trPr>
        <w:tc>
          <w:tcPr>
            <w:tcW w:w="4940" w:type="dxa"/>
            <w:vAlign w:val="bottom"/>
          </w:tcPr>
          <w:p>
            <w:pPr>
              <w:spacing w:after="0" w:line="182" w:lineRule="exact"/>
              <w:rPr>
                <w:sz w:val="20"/>
                <w:szCs w:val="20"/>
                <w:color w:val="auto"/>
              </w:rPr>
            </w:pPr>
            <w:r>
              <w:rPr>
                <w:rFonts w:ascii="Arial" w:cs="Arial" w:eastAsia="Arial" w:hAnsi="Arial"/>
                <w:sz w:val="18"/>
                <w:szCs w:val="18"/>
                <w:color w:val="auto"/>
              </w:rPr>
              <w:t>Net income attributable to Tradeweb Markets Inc. and non-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controlling interests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130,672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Net income attributable to Tradeweb Markets Inc.</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864"/>
        </w:trPr>
        <w:tc>
          <w:tcPr>
            <w:tcW w:w="4940" w:type="dxa"/>
            <w:vAlign w:val="bottom"/>
          </w:tcPr>
          <w:p>
            <w:pPr>
              <w:ind w:left="444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1"/>
        </w:trPr>
        <w:tc>
          <w:tcPr>
            <w:tcW w:w="4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year ended December 31, 2019, our revenue grew due to a number of factors. Higher client trading activity drove revenue increases in our rates, credit, equities and money markets asset classes. Our market data business also grew due to the expansion of our market data license agreement with Refinitiv in November 2018. Our expenses were impacted by higher depreciation and amortization expense as a result of the application of pushdown accounting and non-cash stock-based compensation expense related to the Special Option Award as a result of the completion of the IPO during the second quarter of 2019.</w:t>
      </w:r>
    </w:p>
    <w:p>
      <w:pPr>
        <w:spacing w:after="0" w:line="19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Gross revenue increased by $91.2 million or 13.3% to $775.6 million for the year ended December 31, 2019 from $684.4 million for the combined year ended December 31, 2018. This increase in gross revenue was mainly due to higher trading volumes, resulting in a $52.7 million increase in transaction fees and a $36.7 million increase in commission revenue. Net revenue increased by $118.0 million or 17.9% to $775.6 million for the year ended December 31, 2019 from $657.6 million for the combined year ended December 31, 2018. Non-cash contingent consideration decreased by $26.8 million for the year ended December 31, 2019 as a result of the vesting of the Credit Initiative Earnout at July 31, 2018.</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Total expenses for the year ended December 31, 2019 were $585.7 million. Total expenses for the 2018 Successor Period and the 2018 Predecessor Period were $146.7 million and $338.6 million, respectively. Total expenses for the year ended December 31, 2019 were impacted by higher depreciation and amortization expense as a result of the application of pushdown accounting and higher employee compensation and benefits expense, including the impact of non-cash stock-based compensation expense related to the Special Option Award, which, as a result of the completion of the IPO, we began to expense during the second quarter of 2019 (with $18.9 million recognized as compensation expense related to these options immediately upon the completion of the IPO).</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tax receivable agreement liability adjustment of $33.1 million during the year ended December 31, 2019 was primarily due to changes in the tax receivable agreement liability recorded in our consolidated statement of financial condition as a result of changes in the mix of earnings, tax legislation and tax rates in various jurisdictions, which impacted our tax savings.</w:t>
      </w:r>
    </w:p>
    <w:p>
      <w:pPr>
        <w:spacing w:after="0" w:line="18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Income before taxes for the year ended December 31, 2019 was $225.3 million. Income before taxes for the 2018 Successor Period and the 2018 Predecessor Period was $32.7 million and $142.1 million, respectively. Net income for the year ended December 31, 2019 was $173.0 million. Net income for the 2018 Successor Period and the 2018 Predecessor Period was $29.3 million and $130.2 million, respectively. Net income attributable to Tradeweb Markets Inc. for the year ended December 31, 2019 was $83.8 million. Income before taxes, net income and net income attributable to Tradeweb Markets Inc. for the year ended December 31, 2019 were negatively impacted by higher depreciation and amortization expense as a result of the application of pushdown accounting, resulting in acquisition and Refinitiv related depreciation and amortization expense of $97.6 million, and by $24.4 million of stock-based compensation expense related to the Special Option Award and post-IPO options awarded in the second half of 2019, partially offset by higher revenue.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Our revenues for the year ended December 31, 2019, the combined year ended December 31, 2018, the 2018 Successor Period and the 2018 Predecessor Period, and the resulting dollar and percentage changes, were as follows:</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Revenues</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Transaction fees</w:t>
      </w:r>
    </w:p>
    <w:p>
      <w:pPr>
        <w:spacing w:after="0" w:line="230" w:lineRule="auto"/>
        <w:rPr>
          <w:sz w:val="20"/>
          <w:szCs w:val="20"/>
          <w:color w:val="auto"/>
        </w:rPr>
      </w:pPr>
      <w:r>
        <w:rPr>
          <w:rFonts w:ascii="Arial" w:cs="Arial" w:eastAsia="Arial" w:hAnsi="Arial"/>
          <w:sz w:val="11"/>
          <w:szCs w:val="11"/>
          <w:color w:val="auto"/>
        </w:rPr>
        <w:t>Subscription fees</w:t>
      </w:r>
      <w:r>
        <w:rPr>
          <w:rFonts w:ascii="Arial" w:cs="Arial" w:eastAsia="Arial" w:hAnsi="Arial"/>
          <w:sz w:val="11"/>
          <w:szCs w:val="11"/>
          <w:color w:val="auto"/>
          <w:vertAlign w:val="superscript"/>
        </w:rPr>
        <w:t>(2)</w:t>
      </w:r>
    </w:p>
    <w:p>
      <w:pPr>
        <w:spacing w:after="0"/>
        <w:rPr>
          <w:sz w:val="20"/>
          <w:szCs w:val="20"/>
          <w:color w:val="auto"/>
        </w:rPr>
      </w:pPr>
      <w:r>
        <w:rPr>
          <w:rFonts w:ascii="Arial" w:cs="Arial" w:eastAsia="Arial" w:hAnsi="Arial"/>
          <w:sz w:val="11"/>
          <w:szCs w:val="11"/>
          <w:color w:val="auto"/>
        </w:rPr>
        <w:t>Commissions</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Gross revenue</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Contingent consideration</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Net revenue</w:t>
      </w:r>
    </w:p>
    <w:p>
      <w:pPr>
        <w:spacing w:after="0" w:line="21" w:lineRule="exact"/>
        <w:rPr>
          <w:sz w:val="20"/>
          <w:szCs w:val="20"/>
          <w:color w:val="auto"/>
        </w:rPr>
      </w:pPr>
    </w:p>
    <w:p>
      <w:pPr>
        <w:ind w:right="140"/>
        <w:spacing w:after="0" w:line="238" w:lineRule="auto"/>
        <w:rPr>
          <w:sz w:val="20"/>
          <w:szCs w:val="20"/>
          <w:color w:val="auto"/>
        </w:rPr>
      </w:pPr>
      <w:r>
        <w:rPr>
          <w:rFonts w:ascii="Arial" w:cs="Arial" w:eastAsia="Arial" w:hAnsi="Arial"/>
          <w:sz w:val="11"/>
          <w:szCs w:val="11"/>
          <w:color w:val="auto"/>
        </w:rPr>
        <w:t>Components of gross revenue growth:</w:t>
      </w:r>
    </w:p>
    <w:p>
      <w:pPr>
        <w:ind w:left="240"/>
        <w:spacing w:after="0"/>
        <w:rPr>
          <w:sz w:val="20"/>
          <w:szCs w:val="20"/>
          <w:color w:val="auto"/>
        </w:rPr>
      </w:pPr>
      <w:r>
        <w:rPr>
          <w:rFonts w:ascii="Arial" w:cs="Arial" w:eastAsia="Arial" w:hAnsi="Arial"/>
          <w:sz w:val="9"/>
          <w:szCs w:val="9"/>
          <w:color w:val="auto"/>
        </w:rPr>
        <w:t>Constant currency growth</w:t>
      </w:r>
      <w:r>
        <w:rPr>
          <w:rFonts w:ascii="Arial" w:cs="Arial" w:eastAsia="Arial" w:hAnsi="Arial"/>
          <w:sz w:val="9"/>
          <w:szCs w:val="9"/>
          <w:color w:val="auto"/>
          <w:vertAlign w:val="superscript"/>
        </w:rPr>
        <w:t>(3)</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Foreign 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14408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2"/>
              </w:rPr>
              <w:t>Successor</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5"/>
              </w:rPr>
              <w:t>Combined</w:t>
            </w:r>
            <w:r>
              <w:rPr>
                <w:rFonts w:ascii="Arial" w:cs="Arial" w:eastAsia="Arial" w:hAnsi="Arial"/>
                <w:sz w:val="11"/>
                <w:szCs w:val="11"/>
                <w:b w:val="1"/>
                <w:bCs w:val="1"/>
                <w:color w:val="auto"/>
                <w:w w:val="85"/>
                <w:vertAlign w:val="superscript"/>
              </w:rPr>
              <w:t>(1)</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2"/>
              </w:rPr>
              <w:t>Successor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4"/>
              </w:rPr>
              <w:t>Predecessor</w:t>
            </w: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0" w:type="dxa"/>
            <w:vAlign w:val="bottom"/>
            <w:gridSpan w:val="4"/>
            <w:vMerge w:val="restart"/>
          </w:tcPr>
          <w:p>
            <w:pPr>
              <w:jc w:val="right"/>
              <w:ind w:right="166"/>
              <w:spacing w:after="0"/>
              <w:rPr>
                <w:sz w:val="20"/>
                <w:szCs w:val="20"/>
                <w:color w:val="auto"/>
              </w:rPr>
            </w:pPr>
            <w:r>
              <w:rPr>
                <w:rFonts w:ascii="Arial" w:cs="Arial" w:eastAsia="Arial" w:hAnsi="Arial"/>
                <w:sz w:val="11"/>
                <w:szCs w:val="11"/>
                <w:b w:val="1"/>
                <w:bCs w:val="1"/>
                <w:color w:val="auto"/>
                <w:w w:val="98"/>
              </w:rPr>
              <w:t>Year Ended December 31, 2019 vs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1140" w:type="dxa"/>
            <w:vAlign w:val="bottom"/>
            <w:tcBorders>
              <w:bottom w:val="single" w:sz="8" w:color="auto"/>
            </w:tcBorders>
            <w:gridSpan w:val="3"/>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4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89"/>
              </w:rPr>
              <w:t>Year Ended</w:t>
            </w:r>
          </w:p>
        </w:tc>
        <w:tc>
          <w:tcPr>
            <w:tcW w:w="1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89"/>
              </w:rPr>
              <w:t>Year Ended</w:t>
            </w:r>
          </w:p>
        </w:tc>
        <w:tc>
          <w:tcPr>
            <w:tcW w:w="18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88"/>
              </w:rPr>
              <w:t>October 1, 2018 to</w:t>
            </w:r>
          </w:p>
        </w:tc>
        <w:tc>
          <w:tcPr>
            <w:tcW w:w="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88"/>
              </w:rPr>
              <w:t>January 1, 2018 to</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6"/>
              </w:rPr>
              <w:t>December 31, 2019</w:t>
            </w: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8"/>
              </w:rPr>
              <w:t>December 31, 2018</w:t>
            </w:r>
          </w:p>
        </w:tc>
        <w:tc>
          <w:tcPr>
            <w:tcW w:w="1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6"/>
              </w:rPr>
              <w:t>December 31, 2018</w:t>
            </w:r>
          </w:p>
        </w:tc>
        <w:tc>
          <w:tcPr>
            <w:tcW w:w="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September 30, 2018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w w:val="88"/>
              </w:rPr>
              <w:t>Combined Year Ended December 31, 2018</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86"/>
              </w:rPr>
              <w:t>% of Gross</w:t>
            </w:r>
          </w:p>
        </w:tc>
        <w:tc>
          <w:tcPr>
            <w:tcW w:w="1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86"/>
              </w:rPr>
              <w:t>% of Gross</w:t>
            </w:r>
          </w:p>
        </w:tc>
        <w:tc>
          <w:tcPr>
            <w:tcW w:w="18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89"/>
              </w:rPr>
              <w:t>% of Gross</w:t>
            </w:r>
          </w:p>
        </w:tc>
        <w:tc>
          <w:tcPr>
            <w:tcW w:w="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86"/>
              </w:rPr>
              <w:t>% of Gross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0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b w:val="1"/>
                <w:bCs w:val="1"/>
                <w:color w:val="auto"/>
                <w:w w:val="95"/>
              </w:rPr>
              <w:t>Revenue</w:t>
            </w:r>
          </w:p>
        </w:tc>
        <w:tc>
          <w:tcPr>
            <w:tcW w:w="160" w:type="dxa"/>
            <w:vAlign w:val="bottom"/>
            <w:tcBorders>
              <w:right w:val="single" w:sz="8" w:color="auto"/>
            </w:tcBorders>
          </w:tcPr>
          <w:p>
            <w:pPr>
              <w:spacing w:after="0"/>
              <w:rPr>
                <w:sz w:val="11"/>
                <w:szCs w:val="11"/>
                <w:color w:val="auto"/>
              </w:rPr>
            </w:pPr>
          </w:p>
        </w:tc>
        <w:tc>
          <w:tcPr>
            <w:tcW w:w="58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w w:val="95"/>
              </w:rPr>
              <w:t>Revenue</w:t>
            </w:r>
          </w:p>
        </w:tc>
        <w:tc>
          <w:tcPr>
            <w:tcW w:w="180" w:type="dxa"/>
            <w:vAlign w:val="bottom"/>
            <w:tcBorders>
              <w:right w:val="single" w:sz="8" w:color="auto"/>
            </w:tcBorders>
          </w:tcPr>
          <w:p>
            <w:pPr>
              <w:spacing w:after="0"/>
              <w:rPr>
                <w:sz w:val="11"/>
                <w:szCs w:val="11"/>
                <w:color w:val="auto"/>
              </w:rPr>
            </w:pPr>
          </w:p>
        </w:tc>
        <w:tc>
          <w:tcPr>
            <w:tcW w:w="50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b w:val="1"/>
                <w:bCs w:val="1"/>
                <w:color w:val="auto"/>
                <w:w w:val="95"/>
              </w:rPr>
              <w:t>Revenue</w:t>
            </w:r>
          </w:p>
        </w:tc>
        <w:tc>
          <w:tcPr>
            <w:tcW w:w="40" w:type="dxa"/>
            <w:vAlign w:val="bottom"/>
            <w:tcBorders>
              <w:right w:val="single" w:sz="8" w:color="auto"/>
            </w:tcBorders>
          </w:tcPr>
          <w:p>
            <w:pPr>
              <w:spacing w:after="0"/>
              <w:rPr>
                <w:sz w:val="11"/>
                <w:szCs w:val="11"/>
                <w:color w:val="auto"/>
              </w:rPr>
            </w:pPr>
          </w:p>
        </w:tc>
        <w:tc>
          <w:tcPr>
            <w:tcW w:w="50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w w:val="95"/>
              </w:rPr>
              <w:t>Revenue</w:t>
            </w:r>
          </w:p>
        </w:tc>
        <w:tc>
          <w:tcPr>
            <w:tcW w:w="120" w:type="dxa"/>
            <w:vAlign w:val="bottom"/>
          </w:tcPr>
          <w:p>
            <w:pPr>
              <w:spacing w:after="0"/>
              <w:rPr>
                <w:sz w:val="11"/>
                <w:szCs w:val="11"/>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206"/>
              <w:spacing w:after="0"/>
              <w:rPr>
                <w:sz w:val="20"/>
                <w:szCs w:val="20"/>
                <w:color w:val="auto"/>
              </w:rPr>
            </w:pPr>
            <w:r>
              <w:rPr>
                <w:rFonts w:ascii="Arial" w:cs="Arial" w:eastAsia="Arial" w:hAnsi="Arial"/>
                <w:sz w:val="11"/>
                <w:szCs w:val="11"/>
                <w:b w:val="1"/>
                <w:bCs w:val="1"/>
                <w:color w:val="auto"/>
                <w:w w:val="89"/>
              </w:rPr>
              <w:t>Change</w:t>
            </w:r>
          </w:p>
        </w:tc>
        <w:tc>
          <w:tcPr>
            <w:tcW w:w="160" w:type="dxa"/>
            <w:vAlign w:val="bottom"/>
          </w:tcPr>
          <w:p>
            <w:pPr>
              <w:spacing w:after="0"/>
              <w:rPr>
                <w:sz w:val="11"/>
                <w:szCs w:val="11"/>
                <w:color w:val="auto"/>
              </w:rPr>
            </w:pPr>
          </w:p>
        </w:tc>
        <w:tc>
          <w:tcPr>
            <w:tcW w:w="880" w:type="dxa"/>
            <w:vAlign w:val="bottom"/>
          </w:tcPr>
          <w:p>
            <w:pPr>
              <w:jc w:val="right"/>
              <w:ind w:right="146"/>
              <w:spacing w:after="0"/>
              <w:rPr>
                <w:sz w:val="20"/>
                <w:szCs w:val="20"/>
                <w:color w:val="auto"/>
              </w:rPr>
            </w:pPr>
            <w:r>
              <w:rPr>
                <w:rFonts w:ascii="Arial" w:cs="Arial" w:eastAsia="Arial" w:hAnsi="Arial"/>
                <w:sz w:val="11"/>
                <w:szCs w:val="11"/>
                <w:b w:val="1"/>
                <w:bCs w:val="1"/>
                <w:color w:val="auto"/>
              </w:rPr>
              <w:t>% Change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4"/>
          </w:tcPr>
          <w:p>
            <w:pPr>
              <w:jc w:val="center"/>
              <w:spacing w:after="0" w:line="115" w:lineRule="exact"/>
              <w:rPr>
                <w:sz w:val="20"/>
                <w:szCs w:val="20"/>
                <w:color w:val="auto"/>
              </w:rPr>
            </w:pPr>
            <w:r>
              <w:rPr>
                <w:rFonts w:ascii="Arial" w:cs="Arial" w:eastAsia="Arial" w:hAnsi="Arial"/>
                <w:sz w:val="11"/>
                <w:szCs w:val="11"/>
                <w:b w:val="1"/>
                <w:bCs w:val="1"/>
                <w:color w:val="auto"/>
                <w:w w:val="86"/>
              </w:rPr>
              <w:t>(dollars in thousands)</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500" w:type="dxa"/>
            <w:vAlign w:val="bottom"/>
            <w:gridSpan w:val="2"/>
          </w:tcPr>
          <w:p>
            <w:pPr>
              <w:jc w:val="right"/>
              <w:spacing w:after="0"/>
              <w:rPr>
                <w:sz w:val="20"/>
                <w:szCs w:val="20"/>
                <w:color w:val="auto"/>
              </w:rPr>
            </w:pPr>
            <w:r>
              <w:rPr>
                <w:rFonts w:ascii="Arial" w:cs="Arial" w:eastAsia="Arial" w:hAnsi="Arial"/>
                <w:sz w:val="11"/>
                <w:szCs w:val="11"/>
                <w:color w:val="auto"/>
                <w:w w:val="89"/>
              </w:rPr>
              <w:t>$ 423,583</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54.6</w:t>
            </w:r>
          </w:p>
        </w:tc>
        <w:tc>
          <w:tcPr>
            <w:tcW w:w="160" w:type="dxa"/>
            <w:vAlign w:val="bottom"/>
            <w:tcBorders>
              <w:right w:val="single" w:sz="8" w:color="auto"/>
            </w:tcBorders>
          </w:tcPr>
          <w:p>
            <w:pPr>
              <w:jc w:val="right"/>
              <w:ind w:right="37"/>
              <w:spacing w:after="0"/>
              <w:rPr>
                <w:sz w:val="20"/>
                <w:szCs w:val="20"/>
                <w:color w:val="auto"/>
              </w:rPr>
            </w:pPr>
            <w:r>
              <w:rPr>
                <w:rFonts w:ascii="Arial" w:cs="Arial" w:eastAsia="Arial" w:hAnsi="Arial"/>
                <w:sz w:val="9"/>
                <w:szCs w:val="9"/>
                <w:color w:val="auto"/>
                <w:w w:val="74"/>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$ 370,881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54.2</w:t>
            </w:r>
          </w:p>
        </w:tc>
        <w:tc>
          <w:tcPr>
            <w:tcW w:w="180" w:type="dxa"/>
            <w:vAlign w:val="bottom"/>
            <w:tcBorders>
              <w:right w:val="single" w:sz="8" w:color="auto"/>
            </w:tcBorders>
          </w:tcPr>
          <w:p>
            <w:pPr>
              <w:jc w:val="center"/>
              <w:ind w:right="26"/>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w w:val="95"/>
              </w:rPr>
              <w:t>$  97,130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54.4%</w:t>
            </w:r>
          </w:p>
        </w:tc>
        <w:tc>
          <w:tcPr>
            <w:tcW w:w="40" w:type="dxa"/>
            <w:vAlign w:val="bottom"/>
            <w:tcBorders>
              <w:right w:val="single" w:sz="8" w:color="auto"/>
            </w:tcBorders>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w w:val="89"/>
              </w:rPr>
              <w:t>$ 273,751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54.1</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360" w:type="dxa"/>
            <w:vAlign w:val="bottom"/>
            <w:gridSpan w:val="2"/>
          </w:tcPr>
          <w:p>
            <w:pPr>
              <w:jc w:val="right"/>
              <w:ind w:right="235"/>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52,702</w:t>
            </w:r>
          </w:p>
        </w:tc>
        <w:tc>
          <w:tcPr>
            <w:tcW w:w="1040" w:type="dxa"/>
            <w:vAlign w:val="bottom"/>
            <w:gridSpan w:val="2"/>
          </w:tcPr>
          <w:p>
            <w:pPr>
              <w:jc w:val="right"/>
              <w:ind w:right="6"/>
              <w:spacing w:after="0"/>
              <w:rPr>
                <w:sz w:val="20"/>
                <w:szCs w:val="20"/>
                <w:color w:val="auto"/>
              </w:rPr>
            </w:pPr>
            <w:r>
              <w:rPr>
                <w:rFonts w:ascii="Arial" w:cs="Arial" w:eastAsia="Arial" w:hAnsi="Arial"/>
                <w:sz w:val="11"/>
                <w:szCs w:val="11"/>
                <w:color w:val="auto"/>
              </w:rPr>
              <w:t>14.2</w:t>
            </w: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194,366</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25.1</w:t>
            </w:r>
          </w:p>
        </w:tc>
        <w:tc>
          <w:tcPr>
            <w:tcW w:w="160" w:type="dxa"/>
            <w:vAlign w:val="bottom"/>
            <w:tcBorders>
              <w:right w:val="single" w:sz="8" w:color="auto"/>
            </w:tcBorders>
          </w:tcPr>
          <w:p>
            <w:pPr>
              <w:jc w:val="right"/>
              <w:ind w:right="37"/>
              <w:spacing w:after="0"/>
              <w:rPr>
                <w:sz w:val="20"/>
                <w:szCs w:val="20"/>
                <w:color w:val="auto"/>
              </w:rPr>
            </w:pPr>
            <w:r>
              <w:rPr>
                <w:rFonts w:ascii="Arial" w:cs="Arial" w:eastAsia="Arial" w:hAnsi="Arial"/>
                <w:sz w:val="9"/>
                <w:szCs w:val="9"/>
                <w:color w:val="auto"/>
                <w:w w:val="74"/>
              </w:rPr>
              <w:t>%</w:t>
            </w: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190,500</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27.8</w:t>
            </w:r>
          </w:p>
        </w:tc>
        <w:tc>
          <w:tcPr>
            <w:tcW w:w="180" w:type="dxa"/>
            <w:vAlign w:val="bottom"/>
            <w:tcBorders>
              <w:right w:val="single" w:sz="8" w:color="auto"/>
            </w:tcBorders>
          </w:tcPr>
          <w:p>
            <w:pPr>
              <w:jc w:val="center"/>
              <w:ind w:right="26"/>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46,519</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26.0%</w:t>
            </w:r>
          </w:p>
        </w:tc>
        <w:tc>
          <w:tcPr>
            <w:tcW w:w="40" w:type="dxa"/>
            <w:vAlign w:val="bottom"/>
            <w:tcBorders>
              <w:right w:val="single" w:sz="8" w:color="auto"/>
            </w:tcBorders>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143,981</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28.5</w:t>
            </w: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3,866</w:t>
            </w:r>
          </w:p>
        </w:tc>
        <w:tc>
          <w:tcPr>
            <w:tcW w:w="104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2.0</w:t>
            </w: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149,365</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19.3</w:t>
            </w:r>
          </w:p>
        </w:tc>
        <w:tc>
          <w:tcPr>
            <w:tcW w:w="160" w:type="dxa"/>
            <w:vAlign w:val="bottom"/>
            <w:tcBorders>
              <w:right w:val="single" w:sz="8" w:color="auto"/>
            </w:tcBorders>
          </w:tcPr>
          <w:p>
            <w:pPr>
              <w:jc w:val="right"/>
              <w:ind w:right="37"/>
              <w:spacing w:after="0"/>
              <w:rPr>
                <w:sz w:val="20"/>
                <w:szCs w:val="20"/>
                <w:color w:val="auto"/>
              </w:rPr>
            </w:pPr>
            <w:r>
              <w:rPr>
                <w:rFonts w:ascii="Arial" w:cs="Arial" w:eastAsia="Arial" w:hAnsi="Arial"/>
                <w:sz w:val="9"/>
                <w:szCs w:val="9"/>
                <w:color w:val="auto"/>
                <w:w w:val="74"/>
              </w:rPr>
              <w:t>%</w:t>
            </w: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112,670</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16.5</w:t>
            </w:r>
          </w:p>
        </w:tc>
        <w:tc>
          <w:tcPr>
            <w:tcW w:w="180" w:type="dxa"/>
            <w:vAlign w:val="bottom"/>
            <w:tcBorders>
              <w:right w:val="single" w:sz="8" w:color="auto"/>
            </w:tcBorders>
          </w:tcPr>
          <w:p>
            <w:pPr>
              <w:jc w:val="center"/>
              <w:ind w:right="26"/>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32,840</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18.4%</w:t>
            </w:r>
          </w:p>
        </w:tc>
        <w:tc>
          <w:tcPr>
            <w:tcW w:w="40" w:type="dxa"/>
            <w:vAlign w:val="bottom"/>
            <w:tcBorders>
              <w:right w:val="single" w:sz="8" w:color="auto"/>
            </w:tcBorders>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79,830</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15.8</w:t>
            </w: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36,695</w:t>
            </w:r>
          </w:p>
        </w:tc>
        <w:tc>
          <w:tcPr>
            <w:tcW w:w="104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32.6</w:t>
            </w: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8,252</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w:t>
            </w:r>
          </w:p>
        </w:tc>
        <w:tc>
          <w:tcPr>
            <w:tcW w:w="160" w:type="dxa"/>
            <w:vAlign w:val="bottom"/>
            <w:tcBorders>
              <w:right w:val="single" w:sz="8" w:color="auto"/>
            </w:tcBorders>
          </w:tcPr>
          <w:p>
            <w:pPr>
              <w:jc w:val="right"/>
              <w:ind w:right="37"/>
              <w:spacing w:after="0"/>
              <w:rPr>
                <w:sz w:val="20"/>
                <w:szCs w:val="20"/>
                <w:color w:val="auto"/>
              </w:rPr>
            </w:pPr>
            <w:r>
              <w:rPr>
                <w:rFonts w:ascii="Arial" w:cs="Arial" w:eastAsia="Arial" w:hAnsi="Arial"/>
                <w:sz w:val="9"/>
                <w:szCs w:val="9"/>
                <w:color w:val="auto"/>
                <w:w w:val="74"/>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10,357</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1.5</w:t>
            </w:r>
          </w:p>
        </w:tc>
        <w:tc>
          <w:tcPr>
            <w:tcW w:w="180" w:type="dxa"/>
            <w:vAlign w:val="bottom"/>
            <w:tcBorders>
              <w:right w:val="single" w:sz="8" w:color="auto"/>
            </w:tcBorders>
          </w:tcPr>
          <w:p>
            <w:pPr>
              <w:jc w:val="center"/>
              <w:ind w:right="26"/>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2,148</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1.2%</w:t>
            </w:r>
          </w:p>
        </w:tc>
        <w:tc>
          <w:tcPr>
            <w:tcW w:w="40" w:type="dxa"/>
            <w:vAlign w:val="bottom"/>
            <w:tcBorders>
              <w:right w:val="single" w:sz="8" w:color="auto"/>
            </w:tcBorders>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8,209</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1.6</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(2,105)</w:t>
            </w:r>
          </w:p>
        </w:tc>
        <w:tc>
          <w:tcPr>
            <w:tcW w:w="1120" w:type="dxa"/>
            <w:vAlign w:val="bottom"/>
            <w:gridSpan w:val="4"/>
          </w:tcPr>
          <w:p>
            <w:pPr>
              <w:jc w:val="right"/>
              <w:spacing w:after="0"/>
              <w:rPr>
                <w:sz w:val="20"/>
                <w:szCs w:val="20"/>
                <w:color w:val="auto"/>
              </w:rPr>
            </w:pPr>
            <w:r>
              <w:rPr>
                <w:rFonts w:ascii="Arial" w:cs="Arial" w:eastAsia="Arial" w:hAnsi="Arial"/>
                <w:sz w:val="11"/>
                <w:szCs w:val="11"/>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775,566</w:t>
            </w:r>
          </w:p>
        </w:tc>
        <w:tc>
          <w:tcPr>
            <w:tcW w:w="120" w:type="dxa"/>
            <w:vAlign w:val="bottom"/>
            <w:vMerge w:val="continue"/>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100.0</w:t>
            </w:r>
          </w:p>
        </w:tc>
        <w:tc>
          <w:tcPr>
            <w:tcW w:w="160" w:type="dxa"/>
            <w:vAlign w:val="bottom"/>
            <w:tcBorders>
              <w:right w:val="single" w:sz="8" w:color="auto"/>
            </w:tcBorders>
          </w:tcPr>
          <w:p>
            <w:pPr>
              <w:jc w:val="right"/>
              <w:ind w:right="37"/>
              <w:spacing w:after="0"/>
              <w:rPr>
                <w:sz w:val="20"/>
                <w:szCs w:val="20"/>
                <w:color w:val="auto"/>
              </w:rPr>
            </w:pPr>
            <w:r>
              <w:rPr>
                <w:rFonts w:ascii="Arial" w:cs="Arial" w:eastAsia="Arial" w:hAnsi="Arial"/>
                <w:sz w:val="9"/>
                <w:szCs w:val="9"/>
                <w:color w:val="auto"/>
                <w:w w:val="74"/>
              </w:rPr>
              <w:t>%</w:t>
            </w:r>
          </w:p>
        </w:tc>
        <w:tc>
          <w:tcPr>
            <w:tcW w:w="5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684,408</w:t>
            </w:r>
          </w:p>
        </w:tc>
        <w:tc>
          <w:tcPr>
            <w:tcW w:w="120" w:type="dxa"/>
            <w:vAlign w:val="bottom"/>
            <w:vMerge w:val="continue"/>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100.0</w:t>
            </w:r>
          </w:p>
        </w:tc>
        <w:tc>
          <w:tcPr>
            <w:tcW w:w="180" w:type="dxa"/>
            <w:vAlign w:val="bottom"/>
            <w:tcBorders>
              <w:right w:val="single" w:sz="8" w:color="auto"/>
            </w:tcBorders>
          </w:tcPr>
          <w:p>
            <w:pPr>
              <w:jc w:val="center"/>
              <w:ind w:right="26"/>
              <w:spacing w:after="0" w:line="115"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178,637</w:t>
            </w:r>
          </w:p>
        </w:tc>
        <w:tc>
          <w:tcPr>
            <w:tcW w:w="100" w:type="dxa"/>
            <w:vAlign w:val="bottom"/>
            <w:vMerge w:val="continue"/>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100.0%</w:t>
            </w:r>
          </w:p>
        </w:tc>
        <w:tc>
          <w:tcPr>
            <w:tcW w:w="40" w:type="dxa"/>
            <w:vAlign w:val="bottom"/>
            <w:tcBorders>
              <w:right w:val="single" w:sz="8" w:color="auto"/>
            </w:tcBorders>
          </w:tcPr>
          <w:p>
            <w:pPr>
              <w:spacing w:after="0"/>
              <w:rPr>
                <w:sz w:val="10"/>
                <w:szCs w:val="10"/>
                <w:color w:val="auto"/>
              </w:rPr>
            </w:pPr>
          </w:p>
        </w:tc>
        <w:tc>
          <w:tcPr>
            <w:tcW w:w="5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505,771</w:t>
            </w:r>
          </w:p>
        </w:tc>
        <w:tc>
          <w:tcPr>
            <w:tcW w:w="120" w:type="dxa"/>
            <w:vAlign w:val="bottom"/>
            <w:vMerge w:val="continue"/>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100.0</w:t>
            </w:r>
          </w:p>
        </w:tc>
        <w:tc>
          <w:tcPr>
            <w:tcW w:w="120" w:type="dxa"/>
            <w:vAlign w:val="bottom"/>
          </w:tcPr>
          <w:p>
            <w:pPr>
              <w:jc w:val="right"/>
              <w:spacing w:after="0" w:line="115" w:lineRule="exact"/>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91,158</w:t>
            </w:r>
          </w:p>
        </w:tc>
        <w:tc>
          <w:tcPr>
            <w:tcW w:w="104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13.3</w:t>
            </w:r>
          </w:p>
        </w:tc>
        <w:tc>
          <w:tcPr>
            <w:tcW w:w="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(26,830)</w:t>
            </w: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(26,830)</w:t>
            </w: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26,830</w:t>
            </w:r>
          </w:p>
        </w:tc>
        <w:tc>
          <w:tcPr>
            <w:tcW w:w="160" w:type="dxa"/>
            <w:vAlign w:val="bottom"/>
          </w:tcPr>
          <w:p>
            <w:pPr>
              <w:spacing w:after="0"/>
              <w:rPr>
                <w:sz w:val="10"/>
                <w:szCs w:val="10"/>
                <w:color w:val="auto"/>
              </w:rPr>
            </w:pPr>
          </w:p>
        </w:tc>
        <w:tc>
          <w:tcPr>
            <w:tcW w:w="96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5"/>
              </w:rPr>
              <w:t>$ 775,566</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5"/>
              </w:rPr>
              <w:t>$ 657,578</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5"/>
              </w:rPr>
              <w:t>$ 178,637</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5"/>
              </w:rPr>
              <w:t>$ 478,941</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117,988</w:t>
            </w:r>
          </w:p>
        </w:tc>
        <w:tc>
          <w:tcPr>
            <w:tcW w:w="160" w:type="dxa"/>
            <w:vAlign w:val="bottom"/>
          </w:tcPr>
          <w:p>
            <w:pPr>
              <w:spacing w:after="0"/>
              <w:rPr>
                <w:sz w:val="10"/>
                <w:szCs w:val="10"/>
                <w:color w:val="auto"/>
              </w:rPr>
            </w:pPr>
          </w:p>
        </w:tc>
        <w:tc>
          <w:tcPr>
            <w:tcW w:w="880" w:type="dxa"/>
            <w:vAlign w:val="bottom"/>
            <w:tcBorders>
              <w:top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17.9</w:t>
            </w: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11"/>
                <w:szCs w:val="11"/>
                <w:color w:val="auto"/>
              </w:rPr>
              <w:t>15.1 %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4"/>
          </w:tcPr>
          <w:p>
            <w:pPr>
              <w:jc w:val="right"/>
              <w:spacing w:after="0"/>
              <w:rPr>
                <w:sz w:val="20"/>
                <w:szCs w:val="20"/>
                <w:color w:val="auto"/>
              </w:rPr>
            </w:pPr>
            <w:r>
              <w:rPr>
                <w:rFonts w:ascii="Arial" w:cs="Arial" w:eastAsia="Arial" w:hAnsi="Arial"/>
                <w:sz w:val="11"/>
                <w:szCs w:val="11"/>
                <w:color w:val="auto"/>
              </w:rPr>
              <w:t>13.3 %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-1045845</wp:posOffset>
            </wp:positionV>
            <wp:extent cx="5754370" cy="77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-891540</wp:posOffset>
            </wp:positionV>
            <wp:extent cx="5754370" cy="77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-736600</wp:posOffset>
            </wp:positionV>
            <wp:extent cx="5754370" cy="77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-565150</wp:posOffset>
            </wp:positionV>
            <wp:extent cx="575437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-385445</wp:posOffset>
            </wp:positionV>
            <wp:extent cx="575437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15430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-153670</wp:posOffset>
            </wp:positionV>
            <wp:extent cx="5754370" cy="77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340"/>
            <w:col w:w="7280"/>
          </w:cols>
          <w:pgMar w:left="1420" w:top="125" w:right="1419" w:bottom="1440" w:gutter="0" w:footer="0" w:header="0"/>
          <w:type w:val="continuous"/>
        </w:sectPr>
      </w:pPr>
    </w:p>
    <w:p>
      <w:pPr>
        <w:spacing w:after="0" w:line="11" w:lineRule="exact"/>
        <w:rPr>
          <w:sz w:val="20"/>
          <w:szCs w:val="20"/>
          <w:color w:val="auto"/>
        </w:rPr>
      </w:pPr>
    </w:p>
    <w:p>
      <w:pPr>
        <w:ind w:left="320" w:hanging="317"/>
        <w:spacing w:after="0" w:line="234" w:lineRule="auto"/>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year ended December 31, 2019 to the combined year ended December 31, 2018. Revenue accounts were not impacted by the Refinitiv Transaction or the application of pushdown accounting.</w:t>
      </w:r>
    </w:p>
    <w:p>
      <w:pPr>
        <w:spacing w:after="0" w:line="182" w:lineRule="exact"/>
        <w:rPr>
          <w:rFonts w:ascii="Arial" w:cs="Arial" w:eastAsia="Arial" w:hAnsi="Arial"/>
          <w:sz w:val="14"/>
          <w:szCs w:val="14"/>
          <w:color w:val="auto"/>
        </w:rPr>
      </w:pPr>
    </w:p>
    <w:p>
      <w:pPr>
        <w:ind w:left="320" w:right="380" w:hanging="317"/>
        <w:spacing w:after="0" w:line="238" w:lineRule="auto"/>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Subscription fees for the year ended December 31, 2019, the combined year ended December 31, 2018 the 2018 Successor Period and the 2018 Predecessor Period, include $55.6 million, $50.3 million, $13.4 million and $36.8 million, respectively, of Refinitiv (formerly Thomson Reuters) market data fees.</w:t>
      </w:r>
    </w:p>
    <w:p>
      <w:pPr>
        <w:spacing w:after="0" w:line="182" w:lineRule="exact"/>
        <w:rPr>
          <w:rFonts w:ascii="Arial" w:cs="Arial" w:eastAsia="Arial" w:hAnsi="Arial"/>
          <w:sz w:val="14"/>
          <w:szCs w:val="14"/>
          <w:color w:val="auto"/>
        </w:rPr>
      </w:pPr>
    </w:p>
    <w:p>
      <w:pPr>
        <w:ind w:left="320" w:right="20" w:hanging="317"/>
        <w:spacing w:after="0" w:line="231" w:lineRule="auto"/>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2018.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88"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$52.7 million or 14.2% to $423.6 million for the year ended December 31, 2019 from $370.9 million for the combined year ended December 31, 2018 primarily due to higher trading volumes for rates derivatives, rates cash, credit cash and money markets products and European ETFs.</w:t>
      </w:r>
    </w:p>
    <w:p>
      <w:pPr>
        <w:spacing w:after="0" w:line="166"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u w:val="single" w:color="auto"/>
          <w:color w:val="auto"/>
        </w:rPr>
        <w:t>Subscription fees</w:t>
      </w:r>
      <w:r>
        <w:rPr>
          <w:rFonts w:ascii="Arial" w:cs="Arial" w:eastAsia="Arial" w:hAnsi="Arial"/>
          <w:sz w:val="18"/>
          <w:szCs w:val="18"/>
          <w:i w:val="1"/>
          <w:iCs w:val="1"/>
          <w:color w:val="auto"/>
        </w:rPr>
        <w:t>.</w:t>
      </w:r>
      <w:r>
        <w:rPr>
          <w:rFonts w:ascii="Arial" w:cs="Arial" w:eastAsia="Arial" w:hAnsi="Arial"/>
          <w:sz w:val="18"/>
          <w:szCs w:val="18"/>
          <w:color w:val="auto"/>
        </w:rPr>
        <w:t xml:space="preserve"> Subscription fees increased by $3.9 million or 2.0% to $194.4 million for the year ended December 31, 2019 from $190.5 million for the combined year ended December 31, 2018 primarily due to higher market data and Institutional MBS fees, partially offset by lower Retail fees.</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i w:val="1"/>
          <w:iCs w:val="1"/>
          <w:color w:val="auto"/>
        </w:rPr>
        <w:t>.</w:t>
      </w:r>
      <w:r>
        <w:rPr>
          <w:rFonts w:ascii="Arial" w:cs="Arial" w:eastAsia="Arial" w:hAnsi="Arial"/>
          <w:sz w:val="18"/>
          <w:szCs w:val="18"/>
          <w:color w:val="auto"/>
        </w:rPr>
        <w:t xml:space="preserve"> Commissions increased by $36.7 million or 32.6% to $149.4 million for the year ended December 31, 2019 from $112.7 million for the combined year ended December 31, 2018 primarily due to higher trading volumes for U.S. corporate bonds and U.S. government bonds.</w:t>
      </w:r>
    </w:p>
    <w:p>
      <w:pPr>
        <w:spacing w:after="0" w:line="18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i w:val="1"/>
          <w:iCs w:val="1"/>
          <w:color w:val="auto"/>
        </w:rPr>
        <w:t>.</w:t>
      </w:r>
      <w:r>
        <w:rPr>
          <w:rFonts w:ascii="Arial" w:cs="Arial" w:eastAsia="Arial" w:hAnsi="Arial"/>
          <w:sz w:val="18"/>
          <w:szCs w:val="18"/>
          <w:color w:val="auto"/>
        </w:rPr>
        <w:t xml:space="preserve"> Other revenue decreased by $2.1 million or (20.3)% to $8.3 million for the year ended December 31, 2019 from $10.4 million for the combined year ended December 31, 2018 primarily as a result of decreased fees from a third party for certain licensing and development in Canada.</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There was no contingent consideration for the year ended December 31, 2019 due to the vesting of the Credit Initiative Earnout at July 31, 2018. Contingent consideration for the combined year ended December 31, 2018 was $26.8 million.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86" w:name="page87"/>
    <w:bookmarkEnd w:id="8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gross revenue by client sector for the year ended December 31, 2019, the combined year ended December 31, 2018, the 2018 Successor Period and the 2018 Predecessor Period, and the resulting dollar and percentage changes,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w w:val="96"/>
              </w:rPr>
              <w:t>Successor</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w w:val="91"/>
              </w:rPr>
              <w:t xml:space="preserve">Combined </w:t>
            </w:r>
            <w:r>
              <w:rPr>
                <w:rFonts w:ascii="Arial" w:cs="Arial" w:eastAsia="Arial" w:hAnsi="Arial"/>
                <w:sz w:val="11"/>
                <w:szCs w:val="11"/>
                <w:b w:val="1"/>
                <w:bCs w:val="1"/>
                <w:color w:val="auto"/>
                <w:w w:val="91"/>
                <w:vertAlign w:val="superscript"/>
              </w:rPr>
              <w:t>(1)</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w w:val="93"/>
              </w:rPr>
              <w:t>Successor</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w w:val="90"/>
              </w:rPr>
              <w:t>Predecessor</w:t>
            </w:r>
          </w:p>
        </w:tc>
        <w:tc>
          <w:tcPr>
            <w:tcW w:w="10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2020" w:type="dxa"/>
            <w:vAlign w:val="bottom"/>
            <w:gridSpan w:val="3"/>
            <w:vMerge w:val="restart"/>
          </w:tcPr>
          <w:p>
            <w:pPr>
              <w:jc w:val="right"/>
              <w:ind w:right="206"/>
              <w:spacing w:after="0"/>
              <w:rPr>
                <w:sz w:val="20"/>
                <w:szCs w:val="20"/>
                <w:color w:val="auto"/>
              </w:rPr>
            </w:pPr>
            <w:r>
              <w:rPr>
                <w:rFonts w:ascii="Arial" w:cs="Arial" w:eastAsia="Arial" w:hAnsi="Arial"/>
                <w:sz w:val="11"/>
                <w:szCs w:val="11"/>
                <w:b w:val="1"/>
                <w:bCs w:val="1"/>
                <w:color w:val="auto"/>
                <w:w w:val="97"/>
              </w:rPr>
              <w:t>Year Ended December 31, 2019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86"/>
              <w:spacing w:after="0"/>
              <w:rPr>
                <w:sz w:val="20"/>
                <w:szCs w:val="20"/>
                <w:color w:val="auto"/>
              </w:rPr>
            </w:pPr>
            <w:r>
              <w:rPr>
                <w:rFonts w:ascii="Arial" w:cs="Arial" w:eastAsia="Arial" w:hAnsi="Arial"/>
                <w:sz w:val="11"/>
                <w:szCs w:val="11"/>
                <w:b w:val="1"/>
                <w:bCs w:val="1"/>
                <w:color w:val="auto"/>
                <w:w w:val="95"/>
              </w:rPr>
              <w:t>Year Ended</w:t>
            </w:r>
          </w:p>
        </w:tc>
        <w:tc>
          <w:tcPr>
            <w:tcW w:w="6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66"/>
              <w:spacing w:after="0"/>
              <w:rPr>
                <w:sz w:val="20"/>
                <w:szCs w:val="20"/>
                <w:color w:val="auto"/>
              </w:rPr>
            </w:pPr>
            <w:r>
              <w:rPr>
                <w:rFonts w:ascii="Arial" w:cs="Arial" w:eastAsia="Arial" w:hAnsi="Arial"/>
                <w:sz w:val="11"/>
                <w:szCs w:val="11"/>
                <w:b w:val="1"/>
                <w:bCs w:val="1"/>
                <w:color w:val="auto"/>
                <w:w w:val="99"/>
              </w:rPr>
              <w:t>Year Ended</w:t>
            </w:r>
          </w:p>
        </w:tc>
        <w:tc>
          <w:tcPr>
            <w:tcW w:w="20" w:type="dxa"/>
            <w:vAlign w:val="bottom"/>
            <w:tcBorders>
              <w:bottom w:val="single" w:sz="8" w:color="auto"/>
            </w:tcBorders>
            <w:shd w:val="clear" w:color="auto" w:fill="000000"/>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w w:val="92"/>
              </w:rPr>
              <w:t>October 1, 2018 to</w:t>
            </w:r>
          </w:p>
        </w:tc>
        <w:tc>
          <w:tcPr>
            <w:tcW w:w="60" w:type="dxa"/>
            <w:vAlign w:val="bottom"/>
            <w:tcBorders>
              <w:left w:val="single" w:sz="8" w:color="auto"/>
            </w:tcBorders>
          </w:tcPr>
          <w:p>
            <w:pPr>
              <w:spacing w:after="0"/>
              <w:rPr>
                <w:sz w:val="19"/>
                <w:szCs w:val="19"/>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January 1, 2018 to</w:t>
            </w:r>
          </w:p>
        </w:tc>
        <w:tc>
          <w:tcPr>
            <w:tcW w:w="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1"/>
                <w:szCs w:val="11"/>
                <w:b w:val="1"/>
                <w:bCs w:val="1"/>
                <w:color w:val="auto"/>
                <w:w w:val="88"/>
              </w:rPr>
              <w:t>Combined Year Ended December 31, 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w w:val="90"/>
              </w:rPr>
              <w:t>December 31, 2019</w:t>
            </w:r>
          </w:p>
        </w:tc>
        <w:tc>
          <w:tcPr>
            <w:tcW w:w="60" w:type="dxa"/>
            <w:vAlign w:val="bottom"/>
            <w:tcBorders>
              <w:left w:val="single" w:sz="8" w:color="auto"/>
            </w:tcBorders>
          </w:tcPr>
          <w:p>
            <w:pPr>
              <w:spacing w:after="0"/>
              <w:rPr>
                <w:sz w:val="10"/>
                <w:szCs w:val="10"/>
                <w:color w:val="auto"/>
              </w:rPr>
            </w:pPr>
          </w:p>
        </w:tc>
        <w:tc>
          <w:tcPr>
            <w:tcW w:w="9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w w:val="90"/>
              </w:rPr>
              <w:t>December 31, 2018</w:t>
            </w:r>
          </w:p>
        </w:tc>
        <w:tc>
          <w:tcPr>
            <w:tcW w:w="20" w:type="dxa"/>
            <w:vAlign w:val="bottom"/>
            <w:shd w:val="clear" w:color="auto" w:fill="000000"/>
          </w:tcPr>
          <w:p>
            <w:pPr>
              <w:spacing w:after="0"/>
              <w:rPr>
                <w:sz w:val="10"/>
                <w:szCs w:val="10"/>
                <w:color w:val="auto"/>
              </w:rPr>
            </w:pPr>
          </w:p>
        </w:tc>
        <w:tc>
          <w:tcPr>
            <w:tcW w:w="100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w w:val="90"/>
              </w:rPr>
              <w:t>December 31, 2018</w:t>
            </w:r>
          </w:p>
        </w:tc>
        <w:tc>
          <w:tcPr>
            <w:tcW w:w="60" w:type="dxa"/>
            <w:vAlign w:val="bottom"/>
            <w:tcBorders>
              <w:left w:val="single" w:sz="8" w:color="auto"/>
            </w:tcBorders>
          </w:tcPr>
          <w:p>
            <w:pPr>
              <w:spacing w:after="0"/>
              <w:rPr>
                <w:sz w:val="10"/>
                <w:szCs w:val="10"/>
                <w:color w:val="auto"/>
              </w:rPr>
            </w:pPr>
          </w:p>
        </w:tc>
        <w:tc>
          <w:tcPr>
            <w:tcW w:w="104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w w:val="97"/>
              </w:rPr>
              <w:t>September 30, 2018</w:t>
            </w:r>
          </w:p>
        </w:tc>
        <w:tc>
          <w:tcPr>
            <w:tcW w:w="60" w:type="dxa"/>
            <w:vAlign w:val="bottom"/>
          </w:tcPr>
          <w:p>
            <w:pPr>
              <w:spacing w:after="0"/>
              <w:rPr>
                <w:sz w:val="10"/>
                <w:szCs w:val="10"/>
                <w:color w:val="auto"/>
              </w:rPr>
            </w:pPr>
          </w:p>
        </w:tc>
        <w:tc>
          <w:tcPr>
            <w:tcW w:w="1120" w:type="dxa"/>
            <w:vAlign w:val="bottom"/>
            <w:gridSpan w:val="2"/>
          </w:tcPr>
          <w:p>
            <w:pPr>
              <w:ind w:left="240"/>
              <w:spacing w:after="0" w:line="115" w:lineRule="exact"/>
              <w:rPr>
                <w:sz w:val="20"/>
                <w:szCs w:val="20"/>
                <w:color w:val="auto"/>
              </w:rPr>
            </w:pPr>
            <w:r>
              <w:rPr>
                <w:rFonts w:ascii="Arial" w:cs="Arial" w:eastAsia="Arial" w:hAnsi="Arial"/>
                <w:sz w:val="11"/>
                <w:szCs w:val="11"/>
                <w:b w:val="1"/>
                <w:bCs w:val="1"/>
                <w:color w:val="auto"/>
              </w:rPr>
              <w:t>$ Change</w:t>
            </w:r>
          </w:p>
        </w:tc>
        <w:tc>
          <w:tcPr>
            <w:tcW w:w="90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right"/>
              <w:ind w:right="426"/>
              <w:spacing w:after="0" w:line="115" w:lineRule="exact"/>
              <w:rPr>
                <w:sz w:val="20"/>
                <w:szCs w:val="20"/>
                <w:color w:val="auto"/>
              </w:rPr>
            </w:pPr>
            <w:r>
              <w:rPr>
                <w:rFonts w:ascii="Arial" w:cs="Arial" w:eastAsia="Arial" w:hAnsi="Arial"/>
                <w:sz w:val="11"/>
                <w:szCs w:val="11"/>
                <w:b w:val="1"/>
                <w:bCs w:val="1"/>
                <w:color w:val="auto"/>
              </w:rPr>
              <w:t>(dollars in thousands)</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Institutional</w:t>
            </w:r>
          </w:p>
        </w:tc>
        <w:tc>
          <w:tcPr>
            <w:tcW w:w="12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453,379</w:t>
            </w:r>
          </w:p>
        </w:tc>
        <w:tc>
          <w:tcPr>
            <w:tcW w:w="160" w:type="dxa"/>
            <w:vAlign w:val="bottom"/>
            <w:tcBorders>
              <w:left w:val="single" w:sz="8" w:color="auto"/>
            </w:tcBorders>
            <w:gridSpan w:val="2"/>
          </w:tcPr>
          <w:p>
            <w:pPr>
              <w:ind w:left="6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405,889</w:t>
            </w:r>
          </w:p>
        </w:tc>
        <w:tc>
          <w:tcPr>
            <w:tcW w:w="20" w:type="dxa"/>
            <w:vAlign w:val="bottom"/>
            <w:shd w:val="clear" w:color="auto" w:fill="000000"/>
          </w:tcPr>
          <w:p>
            <w:pPr>
              <w:spacing w:after="0"/>
              <w:rPr>
                <w:sz w:val="10"/>
                <w:szCs w:val="10"/>
                <w:color w:val="auto"/>
              </w:rPr>
            </w:pPr>
          </w:p>
        </w:tc>
        <w:tc>
          <w:tcPr>
            <w:tcW w:w="18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103,971</w:t>
            </w:r>
          </w:p>
        </w:tc>
        <w:tc>
          <w:tcPr>
            <w:tcW w:w="180" w:type="dxa"/>
            <w:vAlign w:val="bottom"/>
            <w:tcBorders>
              <w:left w:val="single" w:sz="8" w:color="auto"/>
            </w:tcBorders>
            <w:gridSpan w:val="2"/>
          </w:tcPr>
          <w:p>
            <w:pPr>
              <w:ind w:left="60"/>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301,918</w:t>
            </w:r>
          </w:p>
        </w:tc>
        <w:tc>
          <w:tcPr>
            <w:tcW w:w="1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47,490</w:t>
            </w:r>
          </w:p>
        </w:tc>
        <w:tc>
          <w:tcPr>
            <w:tcW w:w="14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11.7</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Wholesale</w:t>
            </w: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171,096</w:t>
            </w:r>
          </w:p>
        </w:tc>
        <w:tc>
          <w:tcPr>
            <w:tcW w:w="60" w:type="dxa"/>
            <w:vAlign w:val="bottom"/>
            <w:tcBorders>
              <w:lef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137,181</w:t>
            </w: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38,153</w:t>
            </w: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99,028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33,915</w:t>
            </w: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Retail</w:t>
            </w:r>
          </w:p>
        </w:tc>
        <w:tc>
          <w:tcPr>
            <w:tcW w:w="1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80,368</w:t>
            </w:r>
          </w:p>
        </w:tc>
        <w:tc>
          <w:tcPr>
            <w:tcW w:w="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77,546</w:t>
            </w: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19,780</w:t>
            </w:r>
          </w:p>
        </w:tc>
        <w:tc>
          <w:tcPr>
            <w:tcW w:w="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57,766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2,822</w:t>
            </w:r>
          </w:p>
        </w:tc>
        <w:tc>
          <w:tcPr>
            <w:tcW w:w="14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Market Data</w:t>
            </w:r>
          </w:p>
        </w:tc>
        <w:tc>
          <w:tcPr>
            <w:tcW w:w="1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70,723</w:t>
            </w:r>
          </w:p>
        </w:tc>
        <w:tc>
          <w:tcPr>
            <w:tcW w:w="60" w:type="dxa"/>
            <w:vAlign w:val="bottom"/>
            <w:tcBorders>
              <w:left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63,792</w:t>
            </w: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left w:val="single" w:sz="8" w:color="CCEEFF"/>
              <w:bottom w:val="single" w:sz="8" w:color="auto"/>
            </w:tcBorders>
            <w:shd w:val="clear" w:color="auto" w:fill="CCEEFF"/>
          </w:tcPr>
          <w:p>
            <w:pPr>
              <w:spacing w:after="0"/>
              <w:rPr>
                <w:sz w:val="10"/>
                <w:szCs w:val="10"/>
                <w:color w:val="auto"/>
              </w:rPr>
            </w:pPr>
          </w:p>
        </w:tc>
        <w:tc>
          <w:tcPr>
            <w:tcW w:w="820" w:type="dxa"/>
            <w:vAlign w:val="bottom"/>
            <w:tcBorders>
              <w:bottom w:val="single" w:sz="8" w:color="auto"/>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16,733</w:t>
            </w: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47,059</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6,931</w:t>
            </w:r>
          </w:p>
        </w:tc>
        <w:tc>
          <w:tcPr>
            <w:tcW w:w="140" w:type="dxa"/>
            <w:vAlign w:val="bottom"/>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10.9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ind w:left="120"/>
              <w:spacing w:after="0" w:line="115" w:lineRule="exact"/>
              <w:rPr>
                <w:sz w:val="20"/>
                <w:szCs w:val="20"/>
                <w:color w:val="auto"/>
              </w:rPr>
            </w:pPr>
            <w:r>
              <w:rPr>
                <w:rFonts w:ascii="Arial" w:cs="Arial" w:eastAsia="Arial" w:hAnsi="Arial"/>
                <w:sz w:val="11"/>
                <w:szCs w:val="11"/>
                <w:color w:val="auto"/>
              </w:rPr>
              <w:t>Gross revenue</w:t>
            </w: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775,566</w:t>
            </w:r>
          </w:p>
        </w:tc>
        <w:tc>
          <w:tcPr>
            <w:tcW w:w="60" w:type="dxa"/>
            <w:vAlign w:val="bottom"/>
            <w:tcBorders>
              <w:left w:val="single" w:sz="8" w:color="auto"/>
            </w:tcBorders>
          </w:tcPr>
          <w:p>
            <w:pPr>
              <w:spacing w:after="0"/>
              <w:rPr>
                <w:sz w:val="10"/>
                <w:szCs w:val="10"/>
                <w:color w:val="auto"/>
              </w:rPr>
            </w:pPr>
          </w:p>
        </w:tc>
        <w:tc>
          <w:tcPr>
            <w:tcW w:w="10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684,408</w:t>
            </w: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ind w:left="60"/>
              <w:spacing w:after="0" w:line="115"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178,637</w:t>
            </w:r>
          </w:p>
        </w:tc>
        <w:tc>
          <w:tcPr>
            <w:tcW w:w="60" w:type="dxa"/>
            <w:vAlign w:val="bottom"/>
            <w:tcBorders>
              <w:left w:val="single" w:sz="8" w:color="auto"/>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505,771</w:t>
            </w:r>
          </w:p>
        </w:tc>
        <w:tc>
          <w:tcPr>
            <w:tcW w:w="10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91,158</w:t>
            </w:r>
          </w:p>
        </w:tc>
        <w:tc>
          <w:tcPr>
            <w:tcW w:w="140" w:type="dxa"/>
            <w:vAlign w:val="bottom"/>
          </w:tcPr>
          <w:p>
            <w:pPr>
              <w:spacing w:after="0"/>
              <w:rPr>
                <w:sz w:val="10"/>
                <w:szCs w:val="10"/>
                <w:color w:val="auto"/>
              </w:rPr>
            </w:pPr>
          </w:p>
        </w:tc>
        <w:tc>
          <w:tcPr>
            <w:tcW w:w="9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13.3</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year ended December 31, 2019 to the combined year ended December 31, 2018. Revenue accounts were not impacted by the Refinitiv Transaction or the application of pushdown accounting.</w:t>
      </w:r>
    </w:p>
    <w:p>
      <w:pPr>
        <w:spacing w:after="0" w:line="17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Revenues from our Institutional client sector increased by $47.5 million or 11.7% to $453.4 million for the year ended December 31, 2019 from $405.9 million for the combined year ended December 31, 2018. The increase was derived primarily from higher trading volumes for rates derivatives products, mortgages, credit cash products, ETFs and repurchase agreements, partially offset by the impact of foreign exchange, mainly the weakening of the euro.</w:t>
      </w:r>
    </w:p>
    <w:p>
      <w:pPr>
        <w:spacing w:after="0" w:line="171"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u w:val="single" w:color="auto"/>
          <w:color w:val="auto"/>
        </w:rPr>
        <w:t>Wholesale</w:t>
      </w:r>
      <w:r>
        <w:rPr>
          <w:rFonts w:ascii="Arial" w:cs="Arial" w:eastAsia="Arial" w:hAnsi="Arial"/>
          <w:sz w:val="17"/>
          <w:szCs w:val="17"/>
          <w:color w:val="auto"/>
        </w:rPr>
        <w:t>. Revenues from our Wholesale client sector increased by $33.9 million or 24.7% to $171.1 million for the year ended December 31, 2019 from $137.2 million for the combined year ended December 31, 2018. The increase was derived primarily from higher trading volumes for U.S. corporates and U.S. government bonds.</w:t>
      </w:r>
    </w:p>
    <w:p>
      <w:pPr>
        <w:spacing w:after="0" w:line="16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u w:val="single" w:color="auto"/>
          <w:color w:val="auto"/>
        </w:rPr>
        <w:t>Retail</w:t>
      </w:r>
      <w:r>
        <w:rPr>
          <w:rFonts w:ascii="Arial" w:cs="Arial" w:eastAsia="Arial" w:hAnsi="Arial"/>
          <w:sz w:val="17"/>
          <w:szCs w:val="17"/>
          <w:color w:val="auto"/>
        </w:rPr>
        <w:t>. Revenues from our Retail client sector increased by $2.8 million or 3.6% to $80.4 million for the year ended December 31, 2019 from $77.6 million for the combined year ended December 31, 2018. The increase was derived primarily from higher trading volumes for certificates of deposit, credit cash products, and U.S. government bonds partially offset by lower revenues from software development and implementation on behalf of certain clients.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$6.9 million or 10.9% to $70.7 million for the year ended December 31, 2019 from $63.8 million for the combined year ended December 31, 2018 primarily as a result of an increase in the number of market data feeds provided to Refinitiv (formerly Thomson Reuters) and revenue from our APA reporting service.</w:t>
      </w:r>
    </w:p>
    <w:p>
      <w:pPr>
        <w:spacing w:after="0" w:line="18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gross revenue by asset class for the year ended December 31, 2019, the combined year ended December 31, 2018, the 2018 Successor Period and the 2018 Predecessor Period, and the resulting dollar and percentage changes,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restart"/>
          </w:tcPr>
          <w:p>
            <w:pPr>
              <w:jc w:val="center"/>
              <w:ind w:right="126"/>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85"/>
              </w:rPr>
              <w:t xml:space="preserve">Combined </w:t>
            </w:r>
            <w:r>
              <w:rPr>
                <w:rFonts w:ascii="Arial" w:cs="Arial" w:eastAsia="Arial" w:hAnsi="Arial"/>
                <w:sz w:val="11"/>
                <w:szCs w:val="11"/>
                <w:b w:val="1"/>
                <w:bCs w:val="1"/>
                <w:color w:val="auto"/>
                <w:w w:val="85"/>
                <w:vertAlign w:val="superscript"/>
              </w:rPr>
              <w:t>(1)</w:t>
            </w: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2"/>
              </w:rPr>
              <w:t>Successor</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1"/>
              </w:rPr>
              <w:t>Predecessor</w:t>
            </w:r>
          </w:p>
        </w:tc>
        <w:tc>
          <w:tcPr>
            <w:tcW w:w="1740" w:type="dxa"/>
            <w:vAlign w:val="bottom"/>
            <w:gridSpan w:val="4"/>
            <w:vMerge w:val="restart"/>
          </w:tcPr>
          <w:p>
            <w:pPr>
              <w:ind w:left="140"/>
              <w:spacing w:after="0"/>
              <w:rPr>
                <w:sz w:val="20"/>
                <w:szCs w:val="20"/>
                <w:color w:val="auto"/>
              </w:rPr>
            </w:pPr>
            <w:r>
              <w:rPr>
                <w:rFonts w:ascii="Arial" w:cs="Arial" w:eastAsia="Arial" w:hAnsi="Arial"/>
                <w:sz w:val="11"/>
                <w:szCs w:val="11"/>
                <w:b w:val="1"/>
                <w:bCs w:val="1"/>
                <w:color w:val="auto"/>
                <w:w w:val="88"/>
              </w:rPr>
              <w:t>Year Ended December 31, 2019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0" w:type="dxa"/>
            <w:vAlign w:val="bottom"/>
            <w:tcBorders>
              <w:left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gridSpan w:val="4"/>
          </w:tcPr>
          <w:p>
            <w:pPr>
              <w:ind w:left="20"/>
              <w:spacing w:after="0" w:line="94" w:lineRule="exact"/>
              <w:rPr>
                <w:sz w:val="20"/>
                <w:szCs w:val="20"/>
                <w:color w:val="auto"/>
              </w:rPr>
            </w:pPr>
            <w:r>
              <w:rPr>
                <w:rFonts w:ascii="Arial" w:cs="Arial" w:eastAsia="Arial" w:hAnsi="Arial"/>
                <w:sz w:val="10"/>
                <w:szCs w:val="10"/>
                <w:b w:val="1"/>
                <w:bCs w:val="1"/>
                <w:color w:val="auto"/>
                <w:w w:val="97"/>
              </w:rPr>
              <w:t>Combined Year Ended December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126"/>
              <w:spacing w:after="0"/>
              <w:rPr>
                <w:sz w:val="20"/>
                <w:szCs w:val="20"/>
                <w:color w:val="auto"/>
              </w:rPr>
            </w:pPr>
            <w:r>
              <w:rPr>
                <w:rFonts w:ascii="Arial" w:cs="Arial" w:eastAsia="Arial" w:hAnsi="Arial"/>
                <w:sz w:val="11"/>
                <w:szCs w:val="11"/>
                <w:b w:val="1"/>
                <w:bCs w:val="1"/>
                <w:color w:val="auto"/>
                <w:w w:val="92"/>
              </w:rPr>
              <w:t>Year Ended</w:t>
            </w:r>
          </w:p>
        </w:tc>
        <w:tc>
          <w:tcPr>
            <w:tcW w:w="8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6"/>
              <w:spacing w:after="0"/>
              <w:rPr>
                <w:sz w:val="20"/>
                <w:szCs w:val="20"/>
                <w:color w:val="auto"/>
              </w:rPr>
            </w:pPr>
            <w:r>
              <w:rPr>
                <w:rFonts w:ascii="Arial" w:cs="Arial" w:eastAsia="Arial" w:hAnsi="Arial"/>
                <w:sz w:val="11"/>
                <w:szCs w:val="11"/>
                <w:b w:val="1"/>
                <w:bCs w:val="1"/>
                <w:color w:val="auto"/>
                <w:w w:val="92"/>
              </w:rPr>
              <w:t>Year Ended</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October 1, 2018 to</w:t>
            </w:r>
          </w:p>
        </w:tc>
        <w:tc>
          <w:tcPr>
            <w:tcW w:w="20" w:type="dxa"/>
            <w:vAlign w:val="bottom"/>
            <w:tcBorders>
              <w:bottom w:val="single" w:sz="8" w:color="auto"/>
            </w:tcBorders>
            <w:shd w:val="clear" w:color="auto" w:fill="000000"/>
          </w:tcPr>
          <w:p>
            <w:pPr>
              <w:spacing w:after="0"/>
              <w:rPr>
                <w:sz w:val="11"/>
                <w:szCs w:val="11"/>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0"/>
              </w:rPr>
              <w:t>January 1, 2018 to</w:t>
            </w: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706"/>
              <w:spacing w:after="0"/>
              <w:rPr>
                <w:sz w:val="20"/>
                <w:szCs w:val="20"/>
                <w:color w:val="auto"/>
              </w:rPr>
            </w:pPr>
            <w:r>
              <w:rPr>
                <w:rFonts w:ascii="Arial" w:cs="Arial" w:eastAsia="Arial" w:hAnsi="Arial"/>
                <w:sz w:val="11"/>
                <w:szCs w:val="11"/>
                <w:b w:val="1"/>
                <w:bCs w:val="1"/>
                <w:color w:val="auto"/>
                <w:w w:val="89"/>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gridSpan w:val="2"/>
          </w:tcPr>
          <w:p>
            <w:pPr>
              <w:jc w:val="center"/>
              <w:ind w:right="6"/>
              <w:spacing w:after="0" w:line="115" w:lineRule="exact"/>
              <w:rPr>
                <w:sz w:val="20"/>
                <w:szCs w:val="20"/>
                <w:color w:val="auto"/>
              </w:rPr>
            </w:pPr>
            <w:r>
              <w:rPr>
                <w:rFonts w:ascii="Arial" w:cs="Arial" w:eastAsia="Arial" w:hAnsi="Arial"/>
                <w:sz w:val="11"/>
                <w:szCs w:val="11"/>
                <w:b w:val="1"/>
                <w:bCs w:val="1"/>
                <w:color w:val="auto"/>
                <w:w w:val="88"/>
              </w:rPr>
              <w:t>December 31, 2019</w:t>
            </w:r>
          </w:p>
        </w:tc>
        <w:tc>
          <w:tcPr>
            <w:tcW w:w="80" w:type="dxa"/>
            <w:vAlign w:val="bottom"/>
            <w:tcBorders>
              <w:left w:val="single" w:sz="8" w:color="auto"/>
            </w:tcBorders>
          </w:tcPr>
          <w:p>
            <w:pPr>
              <w:spacing w:after="0"/>
              <w:rPr>
                <w:sz w:val="10"/>
                <w:szCs w:val="10"/>
                <w:color w:val="auto"/>
              </w:rPr>
            </w:pPr>
          </w:p>
        </w:tc>
        <w:tc>
          <w:tcPr>
            <w:tcW w:w="92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w w:val="96"/>
              </w:rPr>
              <w:t>December 31, 2018</w:t>
            </w:r>
          </w:p>
        </w:tc>
        <w:tc>
          <w:tcPr>
            <w:tcW w:w="20" w:type="dxa"/>
            <w:vAlign w:val="bottom"/>
            <w:shd w:val="clear" w:color="auto" w:fill="000000"/>
          </w:tcPr>
          <w:p>
            <w:pPr>
              <w:spacing w:after="0"/>
              <w:rPr>
                <w:sz w:val="10"/>
                <w:szCs w:val="10"/>
                <w:color w:val="auto"/>
              </w:rPr>
            </w:pPr>
          </w:p>
        </w:tc>
        <w:tc>
          <w:tcPr>
            <w:tcW w:w="1080" w:type="dxa"/>
            <w:vAlign w:val="bottom"/>
            <w:gridSpan w:val="3"/>
          </w:tcPr>
          <w:p>
            <w:pPr>
              <w:ind w:left="60"/>
              <w:spacing w:after="0" w:line="115" w:lineRule="exact"/>
              <w:rPr>
                <w:sz w:val="20"/>
                <w:szCs w:val="20"/>
                <w:color w:val="auto"/>
              </w:rPr>
            </w:pPr>
            <w:r>
              <w:rPr>
                <w:rFonts w:ascii="Arial" w:cs="Arial" w:eastAsia="Arial" w:hAnsi="Arial"/>
                <w:sz w:val="11"/>
                <w:szCs w:val="11"/>
                <w:b w:val="1"/>
                <w:bCs w:val="1"/>
                <w:color w:val="auto"/>
                <w:w w:val="97"/>
              </w:rPr>
              <w:t>September 30, 2018</w:t>
            </w:r>
          </w:p>
        </w:tc>
        <w:tc>
          <w:tcPr>
            <w:tcW w:w="220" w:type="dxa"/>
            <w:vAlign w:val="bottom"/>
          </w:tcPr>
          <w:p>
            <w:pPr>
              <w:ind w:left="140"/>
              <w:spacing w:after="0" w:line="115" w:lineRule="exact"/>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106"/>
              <w:spacing w:after="0" w:line="115" w:lineRule="exact"/>
              <w:rPr>
                <w:sz w:val="20"/>
                <w:szCs w:val="20"/>
                <w:color w:val="auto"/>
              </w:rPr>
            </w:pPr>
            <w:r>
              <w:rPr>
                <w:rFonts w:ascii="Arial" w:cs="Arial" w:eastAsia="Arial" w:hAnsi="Arial"/>
                <w:sz w:val="11"/>
                <w:szCs w:val="11"/>
                <w:b w:val="1"/>
                <w:bCs w:val="1"/>
                <w:color w:val="auto"/>
                <w:w w:val="84"/>
              </w:rPr>
              <w:t>Change</w:t>
            </w:r>
          </w:p>
        </w:tc>
        <w:tc>
          <w:tcPr>
            <w:tcW w:w="200" w:type="dxa"/>
            <w:vAlign w:val="bottom"/>
          </w:tcPr>
          <w:p>
            <w:pPr>
              <w:spacing w:after="0"/>
              <w:rPr>
                <w:sz w:val="10"/>
                <w:szCs w:val="10"/>
                <w:color w:val="auto"/>
              </w:rPr>
            </w:pPr>
          </w:p>
        </w:tc>
        <w:tc>
          <w:tcPr>
            <w:tcW w:w="800" w:type="dxa"/>
            <w:vAlign w:val="bottom"/>
          </w:tcPr>
          <w:p>
            <w:pPr>
              <w:jc w:val="right"/>
              <w:ind w:right="10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gridSpan w:val="7"/>
          </w:tcPr>
          <w:p>
            <w:pPr>
              <w:ind w:left="380"/>
              <w:spacing w:after="0" w:line="115" w:lineRule="exact"/>
              <w:rPr>
                <w:sz w:val="20"/>
                <w:szCs w:val="20"/>
                <w:color w:val="auto"/>
              </w:rPr>
            </w:pPr>
            <w:r>
              <w:rPr>
                <w:rFonts w:ascii="Arial" w:cs="Arial" w:eastAsia="Arial" w:hAnsi="Arial"/>
                <w:sz w:val="11"/>
                <w:szCs w:val="11"/>
                <w:b w:val="1"/>
                <w:bCs w:val="1"/>
                <w:color w:val="auto"/>
              </w:rPr>
              <w:t>(dollars in thousands)</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gridSpan w:val="2"/>
          </w:tcPr>
          <w:p>
            <w:pPr>
              <w:spacing w:after="0" w:line="122" w:lineRule="exact"/>
              <w:rPr>
                <w:sz w:val="20"/>
                <w:szCs w:val="20"/>
                <w:color w:val="auto"/>
              </w:rPr>
            </w:pPr>
            <w:r>
              <w:rPr>
                <w:rFonts w:ascii="Arial" w:cs="Arial" w:eastAsia="Arial" w:hAnsi="Arial"/>
                <w:sz w:val="11"/>
                <w:szCs w:val="11"/>
                <w:color w:val="auto"/>
              </w:rPr>
              <w:t>Rates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434,197</w:t>
            </w:r>
          </w:p>
        </w:tc>
        <w:tc>
          <w:tcPr>
            <w:tcW w:w="200" w:type="dxa"/>
            <w:vAlign w:val="bottom"/>
            <w:tcBorders>
              <w:left w:val="single" w:sz="8" w:color="auto"/>
            </w:tcBorders>
            <w:gridSpan w:val="2"/>
          </w:tcPr>
          <w:p>
            <w:pPr>
              <w:jc w:val="right"/>
              <w:ind w:right="9"/>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379,233</w:t>
            </w:r>
          </w:p>
        </w:tc>
        <w:tc>
          <w:tcPr>
            <w:tcW w:w="120" w:type="dxa"/>
            <w:vAlign w:val="bottom"/>
            <w:tcBorders>
              <w:right w:val="single" w:sz="8" w:color="auto"/>
            </w:tcBorders>
          </w:tcPr>
          <w:p>
            <w:pPr>
              <w:spacing w:after="0"/>
              <w:rPr>
                <w:sz w:val="10"/>
                <w:szCs w:val="10"/>
                <w:color w:val="auto"/>
              </w:rPr>
            </w:pPr>
          </w:p>
        </w:tc>
        <w:tc>
          <w:tcPr>
            <w:tcW w:w="18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97,592</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281,641</w:t>
            </w:r>
          </w:p>
        </w:tc>
        <w:tc>
          <w:tcPr>
            <w:tcW w:w="1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54,964</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14.5</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Credit</w:t>
            </w: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162,154</w:t>
            </w:r>
          </w:p>
        </w:tc>
        <w:tc>
          <w:tcPr>
            <w:tcW w:w="8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139,656</w:t>
            </w:r>
          </w:p>
        </w:tc>
        <w:tc>
          <w:tcPr>
            <w:tcW w:w="1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37,204</w:t>
            </w:r>
          </w:p>
        </w:tc>
        <w:tc>
          <w:tcPr>
            <w:tcW w:w="1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102,452</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22,498</w:t>
            </w:r>
          </w:p>
        </w:tc>
        <w:tc>
          <w:tcPr>
            <w:tcW w:w="10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16.1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3000" w:type="dxa"/>
            <w:vAlign w:val="bottom"/>
            <w:gridSpan w:val="2"/>
          </w:tcPr>
          <w:p>
            <w:pPr>
              <w:spacing w:after="0" w:line="122" w:lineRule="exact"/>
              <w:rPr>
                <w:sz w:val="20"/>
                <w:szCs w:val="20"/>
                <w:color w:val="auto"/>
              </w:rPr>
            </w:pPr>
            <w:r>
              <w:rPr>
                <w:rFonts w:ascii="Arial" w:cs="Arial" w:eastAsia="Arial" w:hAnsi="Arial"/>
                <w:sz w:val="11"/>
                <w:szCs w:val="11"/>
                <w:color w:val="auto"/>
              </w:rPr>
              <w:t>Equities</w:t>
            </w:r>
          </w:p>
        </w:tc>
        <w:tc>
          <w:tcPr>
            <w:tcW w:w="120" w:type="dxa"/>
            <w:vAlign w:val="bottom"/>
          </w:tcPr>
          <w:p>
            <w:pPr>
              <w:spacing w:after="0"/>
              <w:rPr>
                <w:sz w:val="10"/>
                <w:szCs w:val="10"/>
                <w:color w:val="auto"/>
              </w:rPr>
            </w:pP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46,912</w:t>
            </w:r>
          </w:p>
        </w:tc>
        <w:tc>
          <w:tcPr>
            <w:tcW w:w="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40,939</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12,592</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28,347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5,973</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Money Markets</w:t>
            </w: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40,392</w:t>
            </w:r>
          </w:p>
        </w:tc>
        <w:tc>
          <w:tcPr>
            <w:tcW w:w="8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34,741</w:t>
            </w:r>
          </w:p>
        </w:tc>
        <w:tc>
          <w:tcPr>
            <w:tcW w:w="1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9,493</w:t>
            </w:r>
          </w:p>
        </w:tc>
        <w:tc>
          <w:tcPr>
            <w:tcW w:w="1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25,248</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5,651</w:t>
            </w:r>
          </w:p>
        </w:tc>
        <w:tc>
          <w:tcPr>
            <w:tcW w:w="10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16.3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3000" w:type="dxa"/>
            <w:vAlign w:val="bottom"/>
            <w:gridSpan w:val="2"/>
          </w:tcPr>
          <w:p>
            <w:pPr>
              <w:spacing w:after="0" w:line="122" w:lineRule="exact"/>
              <w:rPr>
                <w:sz w:val="20"/>
                <w:szCs w:val="20"/>
                <w:color w:val="auto"/>
              </w:rPr>
            </w:pPr>
            <w:r>
              <w:rPr>
                <w:rFonts w:ascii="Arial" w:cs="Arial" w:eastAsia="Arial" w:hAnsi="Arial"/>
                <w:sz w:val="11"/>
                <w:szCs w:val="11"/>
                <w:color w:val="auto"/>
              </w:rPr>
              <w:t>Market Data</w:t>
            </w:r>
          </w:p>
        </w:tc>
        <w:tc>
          <w:tcPr>
            <w:tcW w:w="120" w:type="dxa"/>
            <w:vAlign w:val="bottom"/>
          </w:tcPr>
          <w:p>
            <w:pPr>
              <w:spacing w:after="0"/>
              <w:rPr>
                <w:sz w:val="10"/>
                <w:szCs w:val="10"/>
                <w:color w:val="auto"/>
              </w:rPr>
            </w:pPr>
          </w:p>
        </w:tc>
        <w:tc>
          <w:tcPr>
            <w:tcW w:w="860" w:type="dxa"/>
            <w:vAlign w:val="bottom"/>
          </w:tcPr>
          <w:p>
            <w:pPr>
              <w:jc w:val="right"/>
              <w:ind w:right="46"/>
              <w:spacing w:after="0" w:line="122" w:lineRule="exact"/>
              <w:rPr>
                <w:sz w:val="20"/>
                <w:szCs w:val="20"/>
                <w:color w:val="auto"/>
              </w:rPr>
            </w:pPr>
            <w:r>
              <w:rPr>
                <w:rFonts w:ascii="Arial" w:cs="Arial" w:eastAsia="Arial" w:hAnsi="Arial"/>
                <w:sz w:val="11"/>
                <w:szCs w:val="11"/>
                <w:color w:val="auto"/>
              </w:rPr>
              <w:t>70,723</w:t>
            </w:r>
          </w:p>
        </w:tc>
        <w:tc>
          <w:tcPr>
            <w:tcW w:w="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63,792</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16,733</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47,059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6,931</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10.9</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Fees</w:t>
            </w:r>
          </w:p>
        </w:tc>
        <w:tc>
          <w:tcPr>
            <w:tcW w:w="120" w:type="dxa"/>
            <w:vAlign w:val="bottom"/>
            <w:shd w:val="clear" w:color="auto" w:fill="CCEEFF"/>
          </w:tcPr>
          <w:p>
            <w:pPr>
              <w:spacing w:after="0"/>
              <w:rPr>
                <w:sz w:val="10"/>
                <w:szCs w:val="10"/>
                <w:color w:val="auto"/>
              </w:rPr>
            </w:pPr>
          </w:p>
        </w:tc>
        <w:tc>
          <w:tcPr>
            <w:tcW w:w="86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21,188</w:t>
            </w:r>
          </w:p>
        </w:tc>
        <w:tc>
          <w:tcPr>
            <w:tcW w:w="8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26,047</w:t>
            </w:r>
          </w:p>
        </w:tc>
        <w:tc>
          <w:tcPr>
            <w:tcW w:w="1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5,023</w:t>
            </w:r>
          </w:p>
        </w:tc>
        <w:tc>
          <w:tcPr>
            <w:tcW w:w="1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21,024</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(4,859)</w:t>
            </w:r>
          </w:p>
        </w:tc>
        <w:tc>
          <w:tcPr>
            <w:tcW w:w="10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122"/>
        </w:trPr>
        <w:tc>
          <w:tcPr>
            <w:tcW w:w="300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Gross revenue</w:t>
            </w: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775,566</w:t>
            </w:r>
          </w:p>
        </w:tc>
        <w:tc>
          <w:tcPr>
            <w:tcW w:w="80" w:type="dxa"/>
            <w:vAlign w:val="bottom"/>
            <w:tcBorders>
              <w:left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684,408</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178,637</w:t>
            </w:r>
          </w:p>
        </w:tc>
        <w:tc>
          <w:tcPr>
            <w:tcW w:w="10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180" w:type="dxa"/>
            <w:vAlign w:val="bottom"/>
            <w:tcBorders>
              <w:top w:val="single" w:sz="8" w:color="auto"/>
              <w:bottom w:val="single" w:sz="8" w:color="auto"/>
            </w:tcBorders>
          </w:tcPr>
          <w:p>
            <w:pPr>
              <w:ind w:left="60"/>
              <w:spacing w:after="0" w:line="115" w:lineRule="exact"/>
              <w:rPr>
                <w:sz w:val="20"/>
                <w:szCs w:val="20"/>
                <w:color w:val="auto"/>
              </w:rPr>
            </w:pPr>
            <w:r>
              <w:rPr>
                <w:rFonts w:ascii="Arial" w:cs="Arial" w:eastAsia="Arial" w:hAnsi="Arial"/>
                <w:sz w:val="11"/>
                <w:szCs w:val="11"/>
                <w:color w:val="auto"/>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505,771</w:t>
            </w:r>
          </w:p>
        </w:tc>
        <w:tc>
          <w:tcPr>
            <w:tcW w:w="100" w:type="dxa"/>
            <w:vAlign w:val="bottom"/>
          </w:tcPr>
          <w:p>
            <w:pPr>
              <w:spacing w:after="0"/>
              <w:rPr>
                <w:sz w:val="10"/>
                <w:szCs w:val="10"/>
                <w:color w:val="auto"/>
              </w:rPr>
            </w:pPr>
          </w:p>
        </w:tc>
        <w:tc>
          <w:tcPr>
            <w:tcW w:w="2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91,158</w:t>
            </w:r>
          </w:p>
        </w:tc>
        <w:tc>
          <w:tcPr>
            <w:tcW w:w="20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13.3</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year ended December 31, 2019 to the combined year ended December 31, 2018. Revenue accounts were not impacted by the Refinitiv Transaction or the application of pushdown accounting.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Our variable and fixed revenues by asset class for the year ended December 31, 2019, the combined year ended December 31, 2018, the 2018 Successor Period and the 2018 Predecessor Period, and the resulting dollar and percentage changes,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gridSpan w:val="5"/>
            <w:vMerge w:val="restart"/>
          </w:tcPr>
          <w:p>
            <w:pPr>
              <w:jc w:val="center"/>
              <w:ind w:right="6"/>
              <w:spacing w:after="0"/>
              <w:rPr>
                <w:sz w:val="20"/>
                <w:szCs w:val="20"/>
                <w:color w:val="auto"/>
              </w:rPr>
            </w:pPr>
            <w:r>
              <w:rPr>
                <w:rFonts w:ascii="Arial" w:cs="Arial" w:eastAsia="Arial" w:hAnsi="Arial"/>
                <w:sz w:val="11"/>
                <w:szCs w:val="11"/>
                <w:b w:val="1"/>
                <w:bCs w:val="1"/>
                <w:color w:val="auto"/>
                <w:w w:val="82"/>
              </w:rPr>
              <w:t>Successor</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85"/>
              </w:rPr>
              <w:t>Combined</w:t>
            </w:r>
            <w:r>
              <w:rPr>
                <w:rFonts w:ascii="Arial" w:cs="Arial" w:eastAsia="Arial" w:hAnsi="Arial"/>
                <w:sz w:val="11"/>
                <w:szCs w:val="11"/>
                <w:b w:val="1"/>
                <w:bCs w:val="1"/>
                <w:color w:val="auto"/>
                <w:w w:val="85"/>
                <w:vertAlign w:val="superscript"/>
              </w:rPr>
              <w:t>(1)</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gridSpan w:val="4"/>
            <w:vMerge w:val="restart"/>
          </w:tcPr>
          <w:p>
            <w:pPr>
              <w:jc w:val="center"/>
              <w:ind w:right="6"/>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81"/>
              </w:rPr>
              <w:t>Predecessor</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gridSpan w:val="8"/>
            <w:vMerge w:val="restart"/>
          </w:tcPr>
          <w:p>
            <w:pPr>
              <w:ind w:left="240"/>
              <w:spacing w:after="0"/>
              <w:rPr>
                <w:sz w:val="20"/>
                <w:szCs w:val="20"/>
                <w:color w:val="auto"/>
              </w:rPr>
            </w:pPr>
            <w:r>
              <w:rPr>
                <w:rFonts w:ascii="Arial" w:cs="Arial" w:eastAsia="Arial" w:hAnsi="Arial"/>
                <w:sz w:val="11"/>
                <w:szCs w:val="11"/>
                <w:b w:val="1"/>
                <w:bCs w:val="1"/>
                <w:color w:val="auto"/>
              </w:rPr>
              <w:t>Year Ended December 31, 2019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5"/>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4"/>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4"/>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tcPr>
          <w:p>
            <w:pPr>
              <w:jc w:val="center"/>
              <w:ind w:right="6"/>
              <w:spacing w:after="0" w:line="115" w:lineRule="exact"/>
              <w:rPr>
                <w:sz w:val="20"/>
                <w:szCs w:val="20"/>
                <w:color w:val="auto"/>
              </w:rPr>
            </w:pPr>
            <w:r>
              <w:rPr>
                <w:rFonts w:ascii="Arial" w:cs="Arial" w:eastAsia="Arial" w:hAnsi="Arial"/>
                <w:sz w:val="11"/>
                <w:szCs w:val="11"/>
                <w:b w:val="1"/>
                <w:bCs w:val="1"/>
                <w:color w:val="auto"/>
                <w:w w:val="89"/>
              </w:rPr>
              <w:t>Year Ended</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4"/>
          </w:tcPr>
          <w:p>
            <w:pPr>
              <w:jc w:val="center"/>
              <w:spacing w:after="0" w:line="115" w:lineRule="exact"/>
              <w:rPr>
                <w:sz w:val="20"/>
                <w:szCs w:val="20"/>
                <w:color w:val="auto"/>
              </w:rPr>
            </w:pPr>
            <w:r>
              <w:rPr>
                <w:rFonts w:ascii="Arial" w:cs="Arial" w:eastAsia="Arial" w:hAnsi="Arial"/>
                <w:sz w:val="11"/>
                <w:szCs w:val="11"/>
                <w:b w:val="1"/>
                <w:bCs w:val="1"/>
                <w:color w:val="auto"/>
                <w:w w:val="89"/>
              </w:rPr>
              <w:t>Year Ended</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4"/>
          </w:tcPr>
          <w:p>
            <w:pPr>
              <w:jc w:val="center"/>
              <w:ind w:right="6"/>
              <w:spacing w:after="0" w:line="115" w:lineRule="exact"/>
              <w:rPr>
                <w:sz w:val="20"/>
                <w:szCs w:val="20"/>
                <w:color w:val="auto"/>
              </w:rPr>
            </w:pPr>
            <w:r>
              <w:rPr>
                <w:rFonts w:ascii="Arial" w:cs="Arial" w:eastAsia="Arial" w:hAnsi="Arial"/>
                <w:sz w:val="11"/>
                <w:szCs w:val="11"/>
                <w:b w:val="1"/>
                <w:bCs w:val="1"/>
                <w:color w:val="auto"/>
                <w:w w:val="88"/>
              </w:rPr>
              <w:t>October 1, 2018 to</w:t>
            </w: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4"/>
          </w:tcPr>
          <w:p>
            <w:pPr>
              <w:jc w:val="center"/>
              <w:spacing w:after="0" w:line="115" w:lineRule="exact"/>
              <w:rPr>
                <w:sz w:val="20"/>
                <w:szCs w:val="20"/>
                <w:color w:val="auto"/>
              </w:rPr>
            </w:pPr>
            <w:r>
              <w:rPr>
                <w:rFonts w:ascii="Arial" w:cs="Arial" w:eastAsia="Arial" w:hAnsi="Arial"/>
                <w:sz w:val="11"/>
                <w:szCs w:val="11"/>
                <w:b w:val="1"/>
                <w:bCs w:val="1"/>
                <w:color w:val="auto"/>
                <w:w w:val="90"/>
              </w:rPr>
              <w:t>January 1, 2018 to</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Borders>
              <w:bottom w:val="single" w:sz="8" w:color="auto"/>
            </w:tcBorders>
            <w:gridSpan w:val="8"/>
          </w:tcPr>
          <w:p>
            <w:pPr>
              <w:jc w:val="right"/>
              <w:ind w:right="26"/>
              <w:spacing w:after="0" w:line="115" w:lineRule="exact"/>
              <w:rPr>
                <w:sz w:val="20"/>
                <w:szCs w:val="20"/>
                <w:color w:val="auto"/>
              </w:rPr>
            </w:pPr>
            <w:r>
              <w:rPr>
                <w:rFonts w:ascii="Arial" w:cs="Arial" w:eastAsia="Arial" w:hAnsi="Arial"/>
                <w:sz w:val="11"/>
                <w:szCs w:val="11"/>
                <w:b w:val="1"/>
                <w:bCs w:val="1"/>
                <w:color w:val="auto"/>
                <w:w w:val="90"/>
              </w:rPr>
              <w:t>Combined Year Ended December 31, 2018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tcPr>
          <w:p>
            <w:pPr>
              <w:jc w:val="center"/>
              <w:ind w:right="6"/>
              <w:spacing w:after="0" w:line="115" w:lineRule="exact"/>
              <w:rPr>
                <w:sz w:val="20"/>
                <w:szCs w:val="20"/>
                <w:color w:val="auto"/>
              </w:rPr>
            </w:pPr>
            <w:r>
              <w:rPr>
                <w:rFonts w:ascii="Arial" w:cs="Arial" w:eastAsia="Arial" w:hAnsi="Arial"/>
                <w:sz w:val="11"/>
                <w:szCs w:val="11"/>
                <w:b w:val="1"/>
                <w:bCs w:val="1"/>
                <w:color w:val="auto"/>
                <w:w w:val="86"/>
              </w:rPr>
              <w:t>December 31, 2019</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4"/>
          </w:tcPr>
          <w:p>
            <w:pPr>
              <w:jc w:val="center"/>
              <w:ind w:right="6"/>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4"/>
          </w:tcPr>
          <w:p>
            <w:pPr>
              <w:jc w:val="center"/>
              <w:ind w:right="6"/>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4"/>
          </w:tcPr>
          <w:p>
            <w:pPr>
              <w:jc w:val="center"/>
              <w:spacing w:after="0" w:line="115" w:lineRule="exact"/>
              <w:rPr>
                <w:sz w:val="20"/>
                <w:szCs w:val="20"/>
                <w:color w:val="auto"/>
              </w:rPr>
            </w:pPr>
            <w:r>
              <w:rPr>
                <w:rFonts w:ascii="Arial" w:cs="Arial" w:eastAsia="Arial" w:hAnsi="Arial"/>
                <w:sz w:val="11"/>
                <w:szCs w:val="11"/>
                <w:b w:val="1"/>
                <w:bCs w:val="1"/>
                <w:color w:val="auto"/>
                <w:w w:val="87"/>
              </w:rPr>
              <w:t>September 30, 2018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5"/>
          </w:tcPr>
          <w:p>
            <w:pPr>
              <w:ind w:left="240"/>
              <w:spacing w:after="0" w:line="115" w:lineRule="exact"/>
              <w:rPr>
                <w:sz w:val="20"/>
                <w:szCs w:val="20"/>
                <w:color w:val="auto"/>
              </w:rPr>
            </w:pPr>
            <w:r>
              <w:rPr>
                <w:rFonts w:ascii="Arial" w:cs="Arial" w:eastAsia="Arial" w:hAnsi="Arial"/>
                <w:sz w:val="11"/>
                <w:szCs w:val="11"/>
                <w:b w:val="1"/>
                <w:bCs w:val="1"/>
                <w:color w:val="auto"/>
              </w:rPr>
              <w:t>$ Change</w:t>
            </w:r>
          </w:p>
        </w:tc>
        <w:tc>
          <w:tcPr>
            <w:tcW w:w="960" w:type="dxa"/>
            <w:vAlign w:val="bottom"/>
            <w:gridSpan w:val="3"/>
          </w:tcPr>
          <w:p>
            <w:pPr>
              <w:jc w:val="right"/>
              <w:ind w:right="18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88"/>
              </w:rPr>
              <w:t>Variable</w:t>
            </w:r>
          </w:p>
        </w:tc>
        <w:tc>
          <w:tcPr>
            <w:tcW w:w="12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7"/>
              </w:rPr>
              <w:t>Fixed</w:t>
            </w:r>
          </w:p>
        </w:tc>
        <w:tc>
          <w:tcPr>
            <w:tcW w:w="10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w w:val="88"/>
              </w:rPr>
              <w:t>Variable</w:t>
            </w: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7"/>
              </w:rPr>
              <w:t>Fixed</w:t>
            </w:r>
          </w:p>
        </w:tc>
        <w:tc>
          <w:tcPr>
            <w:tcW w:w="10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88"/>
              </w:rPr>
              <w:t>Variable</w:t>
            </w: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0"/>
              </w:rPr>
              <w:t>Fixed</w:t>
            </w:r>
          </w:p>
        </w:tc>
        <w:tc>
          <w:tcPr>
            <w:tcW w:w="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98"/>
              </w:rPr>
              <w:t>Variable</w:t>
            </w: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7"/>
              </w:rPr>
              <w:t>Fixed</w:t>
            </w:r>
          </w:p>
        </w:tc>
        <w:tc>
          <w:tcPr>
            <w:tcW w:w="100" w:type="dxa"/>
            <w:vAlign w:val="bottom"/>
          </w:tcPr>
          <w:p>
            <w:pPr>
              <w:spacing w:after="0"/>
              <w:rPr>
                <w:sz w:val="10"/>
                <w:szCs w:val="10"/>
                <w:color w:val="auto"/>
              </w:rPr>
            </w:pPr>
          </w:p>
        </w:tc>
        <w:tc>
          <w:tcPr>
            <w:tcW w:w="48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8"/>
              </w:rPr>
              <w:t>Variable</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0"/>
              </w:rPr>
              <w:t>Fixed</w:t>
            </w:r>
          </w:p>
        </w:tc>
        <w:tc>
          <w:tcPr>
            <w:tcW w:w="12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8"/>
              </w:rPr>
              <w:t>Variable</w:t>
            </w: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Fixed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6"/>
          </w:tcPr>
          <w:p>
            <w:pPr>
              <w:jc w:val="right"/>
              <w:ind w:right="126"/>
              <w:spacing w:after="0" w:line="115" w:lineRule="exact"/>
              <w:rPr>
                <w:sz w:val="20"/>
                <w:szCs w:val="20"/>
                <w:color w:val="auto"/>
              </w:rPr>
            </w:pPr>
            <w:r>
              <w:rPr>
                <w:rFonts w:ascii="Arial" w:cs="Arial" w:eastAsia="Arial" w:hAnsi="Arial"/>
                <w:sz w:val="11"/>
                <w:szCs w:val="11"/>
                <w:b w:val="1"/>
                <w:bCs w:val="1"/>
                <w:color w:val="auto"/>
                <w:w w:val="88"/>
              </w:rPr>
              <w:t>(dollars in thousands)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1"/>
                <w:szCs w:val="11"/>
                <w:color w:val="auto"/>
              </w:rPr>
              <w:t>Rates</w:t>
            </w:r>
          </w:p>
        </w:tc>
        <w:tc>
          <w:tcPr>
            <w:tcW w:w="5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232,423</w:t>
            </w:r>
          </w:p>
        </w:tc>
        <w:tc>
          <w:tcPr>
            <w:tcW w:w="2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90"/>
              </w:rPr>
              <w:t>201,774</w:t>
            </w:r>
          </w:p>
        </w:tc>
        <w:tc>
          <w:tcPr>
            <w:tcW w:w="100" w:type="dxa"/>
            <w:vAlign w:val="bottom"/>
            <w:tcBorders>
              <w:right w:val="single" w:sz="8" w:color="auto"/>
            </w:tcBorders>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181,051</w:t>
            </w:r>
          </w:p>
        </w:tc>
        <w:tc>
          <w:tcPr>
            <w:tcW w:w="2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w w:val="95"/>
              </w:rPr>
              <w:t>198,182</w:t>
            </w:r>
          </w:p>
        </w:tc>
        <w:tc>
          <w:tcPr>
            <w:tcW w:w="100" w:type="dxa"/>
            <w:vAlign w:val="bottom"/>
            <w:tcBorders>
              <w:right w:val="single" w:sz="8" w:color="auto"/>
            </w:tcBorders>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47,868</w:t>
            </w:r>
          </w:p>
        </w:tc>
        <w:tc>
          <w:tcPr>
            <w:tcW w:w="200" w:type="dxa"/>
            <w:vAlign w:val="bottom"/>
            <w:gridSpan w:val="2"/>
          </w:tcPr>
          <w:p>
            <w:pPr>
              <w:jc w:val="right"/>
              <w:ind w:right="13"/>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49,724</w:t>
            </w:r>
          </w:p>
        </w:tc>
        <w:tc>
          <w:tcPr>
            <w:tcW w:w="80" w:type="dxa"/>
            <w:vAlign w:val="bottom"/>
            <w:tcBorders>
              <w:right w:val="single" w:sz="8" w:color="auto"/>
            </w:tcBorders>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$ 133,183</w:t>
            </w:r>
          </w:p>
        </w:tc>
        <w:tc>
          <w:tcPr>
            <w:tcW w:w="200" w:type="dxa"/>
            <w:vAlign w:val="bottom"/>
            <w:gridSpan w:val="2"/>
          </w:tcPr>
          <w:p>
            <w:pPr>
              <w:jc w:val="right"/>
              <w:ind w:right="13"/>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90"/>
              </w:rPr>
              <w:t>148,458</w:t>
            </w:r>
          </w:p>
        </w:tc>
        <w:tc>
          <w:tcPr>
            <w:tcW w:w="1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51,372</w:t>
            </w:r>
          </w:p>
        </w:tc>
        <w:tc>
          <w:tcPr>
            <w:tcW w:w="2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3,592</w:t>
            </w:r>
          </w:p>
        </w:tc>
        <w:tc>
          <w:tcPr>
            <w:tcW w:w="120" w:type="dxa"/>
            <w:vAlign w:val="bottom"/>
          </w:tcPr>
          <w:p>
            <w:pPr>
              <w:spacing w:after="0"/>
              <w:rPr>
                <w:sz w:val="10"/>
                <w:szCs w:val="10"/>
                <w:color w:val="auto"/>
              </w:rPr>
            </w:pPr>
          </w:p>
        </w:tc>
        <w:tc>
          <w:tcPr>
            <w:tcW w:w="420" w:type="dxa"/>
            <w:vAlign w:val="bottom"/>
          </w:tcPr>
          <w:p>
            <w:pPr>
              <w:jc w:val="right"/>
              <w:ind w:right="6"/>
              <w:spacing w:after="0" w:line="122" w:lineRule="exact"/>
              <w:rPr>
                <w:sz w:val="20"/>
                <w:szCs w:val="20"/>
                <w:color w:val="auto"/>
              </w:rPr>
            </w:pPr>
            <w:r>
              <w:rPr>
                <w:rFonts w:ascii="Arial" w:cs="Arial" w:eastAsia="Arial" w:hAnsi="Arial"/>
                <w:sz w:val="11"/>
                <w:szCs w:val="11"/>
                <w:color w:val="auto"/>
              </w:rPr>
              <w:t>28.4</w:t>
            </w:r>
          </w:p>
        </w:tc>
        <w:tc>
          <w:tcPr>
            <w:tcW w:w="120" w:type="dxa"/>
            <w:vAlign w:val="bottom"/>
          </w:tcPr>
          <w:p>
            <w:pPr>
              <w:jc w:val="right"/>
              <w:spacing w:after="0"/>
              <w:rPr>
                <w:sz w:val="20"/>
                <w:szCs w:val="20"/>
                <w:color w:val="auto"/>
              </w:rPr>
            </w:pPr>
            <w:r>
              <w:rPr>
                <w:rFonts w:ascii="Arial" w:cs="Arial" w:eastAsia="Arial" w:hAnsi="Arial"/>
                <w:sz w:val="9"/>
                <w:szCs w:val="9"/>
                <w:color w:val="auto"/>
                <w:w w:val="74"/>
              </w:rPr>
              <w:t>%</w:t>
            </w:r>
          </w:p>
        </w:tc>
        <w:tc>
          <w:tcPr>
            <w:tcW w:w="4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1.8</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Credit</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141,343</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20,811</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119,217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20,439</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31,976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5,228</w:t>
            </w:r>
          </w:p>
        </w:tc>
        <w:tc>
          <w:tcPr>
            <w:tcW w:w="80" w:type="dxa"/>
            <w:vAlign w:val="bottom"/>
            <w:tcBorders>
              <w:right w:val="single" w:sz="8" w:color="auto"/>
            </w:tcBorders>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87,241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15,211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22,126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372</w:t>
            </w:r>
          </w:p>
        </w:tc>
        <w:tc>
          <w:tcPr>
            <w:tcW w:w="12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18.6</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4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1"/>
                <w:szCs w:val="11"/>
                <w:color w:val="auto"/>
              </w:rPr>
              <w:t>Equities</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38,515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8,397</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34,443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6,496</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10,949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1,643</w:t>
            </w:r>
          </w:p>
        </w:tc>
        <w:tc>
          <w:tcPr>
            <w:tcW w:w="80" w:type="dxa"/>
            <w:vAlign w:val="bottom"/>
            <w:tcBorders>
              <w:right w:val="single" w:sz="8" w:color="auto"/>
            </w:tcBorders>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23,494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4,853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4,072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1,901</w:t>
            </w:r>
          </w:p>
        </w:tc>
        <w:tc>
          <w:tcPr>
            <w:tcW w:w="120" w:type="dxa"/>
            <w:vAlign w:val="bottom"/>
          </w:tcPr>
          <w:p>
            <w:pPr>
              <w:spacing w:after="0"/>
              <w:rPr>
                <w:sz w:val="10"/>
                <w:szCs w:val="10"/>
                <w:color w:val="auto"/>
              </w:rPr>
            </w:pPr>
          </w:p>
        </w:tc>
        <w:tc>
          <w:tcPr>
            <w:tcW w:w="4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11.8</w:t>
            </w:r>
          </w:p>
        </w:tc>
        <w:tc>
          <w:tcPr>
            <w:tcW w:w="120" w:type="dxa"/>
            <w:vAlign w:val="bottom"/>
          </w:tcPr>
          <w:p>
            <w:pPr>
              <w:jc w:val="right"/>
              <w:spacing w:after="0"/>
              <w:rPr>
                <w:sz w:val="20"/>
                <w:szCs w:val="20"/>
                <w:color w:val="auto"/>
              </w:rPr>
            </w:pPr>
            <w:r>
              <w:rPr>
                <w:rFonts w:ascii="Arial" w:cs="Arial" w:eastAsia="Arial" w:hAnsi="Arial"/>
                <w:sz w:val="9"/>
                <w:szCs w:val="9"/>
                <w:color w:val="auto"/>
                <w:w w:val="74"/>
              </w:rPr>
              <w:t>%</w:t>
            </w:r>
          </w:p>
        </w:tc>
        <w:tc>
          <w:tcPr>
            <w:tcW w:w="420" w:type="dxa"/>
            <w:vAlign w:val="bottom"/>
          </w:tcPr>
          <w:p>
            <w:pPr>
              <w:jc w:val="right"/>
              <w:ind w:right="6"/>
              <w:spacing w:after="0" w:line="122" w:lineRule="exact"/>
              <w:rPr>
                <w:sz w:val="20"/>
                <w:szCs w:val="20"/>
                <w:color w:val="auto"/>
              </w:rPr>
            </w:pPr>
            <w:r>
              <w:rPr>
                <w:rFonts w:ascii="Arial" w:cs="Arial" w:eastAsia="Arial" w:hAnsi="Arial"/>
                <w:sz w:val="11"/>
                <w:szCs w:val="11"/>
                <w:color w:val="auto"/>
              </w:rPr>
              <w:t>29.3</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Money Markets</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25,461</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14,931</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20,843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13,898</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6,040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3,453</w:t>
            </w:r>
          </w:p>
        </w:tc>
        <w:tc>
          <w:tcPr>
            <w:tcW w:w="80" w:type="dxa"/>
            <w:vAlign w:val="bottom"/>
            <w:tcBorders>
              <w:right w:val="single" w:sz="8" w:color="auto"/>
            </w:tcBorders>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14,803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10,445</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4,618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1,033</w:t>
            </w:r>
          </w:p>
        </w:tc>
        <w:tc>
          <w:tcPr>
            <w:tcW w:w="120" w:type="dxa"/>
            <w:vAlign w:val="bottom"/>
            <w:shd w:val="clear" w:color="auto" w:fill="CCEEFF"/>
          </w:tcPr>
          <w:p>
            <w:pPr>
              <w:spacing w:after="0"/>
              <w:rPr>
                <w:sz w:val="10"/>
                <w:szCs w:val="10"/>
                <w:color w:val="auto"/>
              </w:rPr>
            </w:pPr>
          </w:p>
        </w:tc>
        <w:tc>
          <w:tcPr>
            <w:tcW w:w="420" w:type="dxa"/>
            <w:vAlign w:val="bottom"/>
            <w:tcBorders>
              <w:right w:val="single" w:sz="8" w:color="CCEEFF"/>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22.2</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4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1"/>
                <w:szCs w:val="11"/>
                <w:color w:val="auto"/>
              </w:rPr>
              <w:t>Market Data</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70,723</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63,792</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16,733</w:t>
            </w:r>
          </w:p>
        </w:tc>
        <w:tc>
          <w:tcPr>
            <w:tcW w:w="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47,059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6,931</w:t>
            </w:r>
          </w:p>
        </w:tc>
        <w:tc>
          <w:tcPr>
            <w:tcW w:w="120" w:type="dxa"/>
            <w:vAlign w:val="bottom"/>
          </w:tcPr>
          <w:p>
            <w:pPr>
              <w:spacing w:after="0"/>
              <w:rPr>
                <w:sz w:val="10"/>
                <w:szCs w:val="10"/>
                <w:color w:val="auto"/>
              </w:rPr>
            </w:pPr>
          </w:p>
        </w:tc>
        <w:tc>
          <w:tcPr>
            <w:tcW w:w="5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 %</w:t>
            </w:r>
          </w:p>
        </w:tc>
        <w:tc>
          <w:tcPr>
            <w:tcW w:w="5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10.9 %</w:t>
            </w:r>
          </w:p>
        </w:tc>
        <w:tc>
          <w:tcPr>
            <w:tcW w:w="0" w:type="dxa"/>
            <w:vAlign w:val="bottom"/>
          </w:tcPr>
          <w:p>
            <w:pPr>
              <w:spacing w:after="0"/>
              <w:rPr>
                <w:sz w:val="1"/>
                <w:szCs w:val="1"/>
                <w:color w:val="auto"/>
              </w:rPr>
            </w:pPr>
          </w:p>
        </w:tc>
      </w:tr>
      <w:tr>
        <w:trPr>
          <w:trHeight w:val="122"/>
        </w:trPr>
        <w:tc>
          <w:tcPr>
            <w:tcW w:w="11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21,188</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26,007</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5,023</w:t>
            </w:r>
          </w:p>
        </w:tc>
        <w:tc>
          <w:tcPr>
            <w:tcW w:w="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20,984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(4,819)</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(100.0)%</w:t>
            </w:r>
          </w:p>
        </w:tc>
        <w:tc>
          <w:tcPr>
            <w:tcW w:w="5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(18.5)%</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1"/>
                <w:szCs w:val="11"/>
                <w:color w:val="auto"/>
              </w:rPr>
              <w:t>Gross revenue</w:t>
            </w:r>
          </w:p>
        </w:tc>
        <w:tc>
          <w:tcPr>
            <w:tcW w:w="4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15" w:lineRule="exact"/>
              <w:rPr>
                <w:sz w:val="20"/>
                <w:szCs w:val="20"/>
                <w:color w:val="auto"/>
              </w:rPr>
            </w:pPr>
            <w:r>
              <w:rPr>
                <w:rFonts w:ascii="Arial" w:cs="Arial" w:eastAsia="Arial" w:hAnsi="Arial"/>
                <w:sz w:val="11"/>
                <w:szCs w:val="11"/>
                <w:color w:val="auto"/>
              </w:rPr>
              <w:t>437,742</w:t>
            </w:r>
          </w:p>
        </w:tc>
        <w:tc>
          <w:tcPr>
            <w:tcW w:w="1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w w:val="90"/>
              </w:rPr>
              <w:t>337,824</w:t>
            </w:r>
          </w:p>
        </w:tc>
        <w:tc>
          <w:tcPr>
            <w:tcW w:w="100" w:type="dxa"/>
            <w:vAlign w:val="bottom"/>
            <w:tcBorders>
              <w:right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355,594</w:t>
            </w:r>
          </w:p>
        </w:tc>
        <w:tc>
          <w:tcPr>
            <w:tcW w:w="120" w:type="dxa"/>
            <w:vAlign w:val="bottom"/>
            <w:vMerge w:val="continue"/>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15" w:lineRule="exact"/>
              <w:rPr>
                <w:sz w:val="20"/>
                <w:szCs w:val="20"/>
                <w:color w:val="auto"/>
              </w:rPr>
            </w:pPr>
            <w:r>
              <w:rPr>
                <w:rFonts w:ascii="Arial" w:cs="Arial" w:eastAsia="Arial" w:hAnsi="Arial"/>
                <w:sz w:val="11"/>
                <w:szCs w:val="11"/>
                <w:color w:val="auto"/>
                <w:w w:val="95"/>
              </w:rPr>
              <w:t>328,814</w:t>
            </w:r>
          </w:p>
        </w:tc>
        <w:tc>
          <w:tcPr>
            <w:tcW w:w="100" w:type="dxa"/>
            <w:vAlign w:val="bottom"/>
            <w:tcBorders>
              <w:right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15" w:lineRule="exact"/>
              <w:rPr>
                <w:sz w:val="20"/>
                <w:szCs w:val="20"/>
                <w:color w:val="auto"/>
              </w:rPr>
            </w:pPr>
            <w:r>
              <w:rPr>
                <w:rFonts w:ascii="Arial" w:cs="Arial" w:eastAsia="Arial" w:hAnsi="Arial"/>
                <w:sz w:val="11"/>
                <w:szCs w:val="11"/>
                <w:color w:val="auto"/>
              </w:rPr>
              <w:t>96,833</w:t>
            </w:r>
          </w:p>
        </w:tc>
        <w:tc>
          <w:tcPr>
            <w:tcW w:w="120" w:type="dxa"/>
            <w:vAlign w:val="bottom"/>
            <w:vMerge w:val="continue"/>
          </w:tcPr>
          <w:p>
            <w:pPr>
              <w:spacing w:after="0"/>
              <w:rPr>
                <w:sz w:val="10"/>
                <w:szCs w:val="10"/>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line="115" w:lineRule="exact"/>
              <w:rPr>
                <w:sz w:val="20"/>
                <w:szCs w:val="20"/>
                <w:color w:val="auto"/>
              </w:rPr>
            </w:pPr>
            <w:r>
              <w:rPr>
                <w:rFonts w:ascii="Arial" w:cs="Arial" w:eastAsia="Arial" w:hAnsi="Arial"/>
                <w:sz w:val="11"/>
                <w:szCs w:val="11"/>
                <w:color w:val="auto"/>
              </w:rPr>
              <w:t>81,804</w:t>
            </w:r>
          </w:p>
        </w:tc>
        <w:tc>
          <w:tcPr>
            <w:tcW w:w="80" w:type="dxa"/>
            <w:vAlign w:val="bottom"/>
            <w:tcBorders>
              <w:right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w w:val="89"/>
              </w:rPr>
              <w:t>$ 258,761</w:t>
            </w:r>
          </w:p>
        </w:tc>
        <w:tc>
          <w:tcPr>
            <w:tcW w:w="120" w:type="dxa"/>
            <w:vAlign w:val="bottom"/>
            <w:vMerge w:val="continue"/>
          </w:tcPr>
          <w:p>
            <w:pPr>
              <w:spacing w:after="0"/>
              <w:rPr>
                <w:sz w:val="10"/>
                <w:szCs w:val="10"/>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line="115" w:lineRule="exact"/>
              <w:rPr>
                <w:sz w:val="20"/>
                <w:szCs w:val="20"/>
                <w:color w:val="auto"/>
              </w:rPr>
            </w:pPr>
            <w:r>
              <w:rPr>
                <w:rFonts w:ascii="Arial" w:cs="Arial" w:eastAsia="Arial" w:hAnsi="Arial"/>
                <w:sz w:val="11"/>
                <w:szCs w:val="11"/>
                <w:color w:val="auto"/>
                <w:w w:val="90"/>
              </w:rPr>
              <w:t>247,010</w:t>
            </w:r>
          </w:p>
        </w:tc>
        <w:tc>
          <w:tcPr>
            <w:tcW w:w="100" w:type="dxa"/>
            <w:vAlign w:val="bottom"/>
            <w:vMerge w:val="continue"/>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15" w:lineRule="exact"/>
              <w:rPr>
                <w:sz w:val="20"/>
                <w:szCs w:val="20"/>
                <w:color w:val="auto"/>
              </w:rPr>
            </w:pPr>
            <w:r>
              <w:rPr>
                <w:rFonts w:ascii="Arial" w:cs="Arial" w:eastAsia="Arial" w:hAnsi="Arial"/>
                <w:sz w:val="11"/>
                <w:szCs w:val="11"/>
                <w:color w:val="auto"/>
              </w:rPr>
              <w:t>82,148</w:t>
            </w:r>
          </w:p>
        </w:tc>
        <w:tc>
          <w:tcPr>
            <w:tcW w:w="120" w:type="dxa"/>
            <w:vAlign w:val="bottom"/>
            <w:vMerge w:val="continue"/>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15" w:lineRule="exact"/>
              <w:rPr>
                <w:sz w:val="20"/>
                <w:szCs w:val="20"/>
                <w:color w:val="auto"/>
              </w:rPr>
            </w:pPr>
            <w:r>
              <w:rPr>
                <w:rFonts w:ascii="Arial" w:cs="Arial" w:eastAsia="Arial" w:hAnsi="Arial"/>
                <w:sz w:val="11"/>
                <w:szCs w:val="11"/>
                <w:color w:val="auto"/>
              </w:rPr>
              <w:t>9,010</w:t>
            </w:r>
          </w:p>
        </w:tc>
        <w:tc>
          <w:tcPr>
            <w:tcW w:w="120" w:type="dxa"/>
            <w:vAlign w:val="bottom"/>
          </w:tcPr>
          <w:p>
            <w:pPr>
              <w:spacing w:after="0"/>
              <w:rPr>
                <w:sz w:val="10"/>
                <w:szCs w:val="10"/>
                <w:color w:val="auto"/>
              </w:rPr>
            </w:pPr>
          </w:p>
        </w:tc>
        <w:tc>
          <w:tcPr>
            <w:tcW w:w="420" w:type="dxa"/>
            <w:vAlign w:val="bottom"/>
          </w:tcPr>
          <w:p>
            <w:pPr>
              <w:jc w:val="right"/>
              <w:ind w:right="6"/>
              <w:spacing w:after="0" w:line="115" w:lineRule="exact"/>
              <w:rPr>
                <w:sz w:val="20"/>
                <w:szCs w:val="20"/>
                <w:color w:val="auto"/>
              </w:rPr>
            </w:pPr>
            <w:r>
              <w:rPr>
                <w:rFonts w:ascii="Arial" w:cs="Arial" w:eastAsia="Arial" w:hAnsi="Arial"/>
                <w:sz w:val="11"/>
                <w:szCs w:val="11"/>
                <w:color w:val="auto"/>
              </w:rPr>
              <w:t>23.1</w:t>
            </w:r>
          </w:p>
        </w:tc>
        <w:tc>
          <w:tcPr>
            <w:tcW w:w="120" w:type="dxa"/>
            <w:vAlign w:val="bottom"/>
          </w:tcPr>
          <w:p>
            <w:pPr>
              <w:jc w:val="right"/>
              <w:spacing w:after="0"/>
              <w:rPr>
                <w:sz w:val="20"/>
                <w:szCs w:val="20"/>
                <w:color w:val="auto"/>
              </w:rPr>
            </w:pPr>
            <w:r>
              <w:rPr>
                <w:rFonts w:ascii="Arial" w:cs="Arial" w:eastAsia="Arial" w:hAnsi="Arial"/>
                <w:sz w:val="9"/>
                <w:szCs w:val="9"/>
                <w:color w:val="auto"/>
                <w:w w:val="74"/>
              </w:rPr>
              <w:t>%</w:t>
            </w:r>
          </w:p>
        </w:tc>
        <w:tc>
          <w:tcPr>
            <w:tcW w:w="420" w:type="dxa"/>
            <w:vAlign w:val="bottom"/>
          </w:tcPr>
          <w:p>
            <w:pPr>
              <w:jc w:val="right"/>
              <w:ind w:right="6"/>
              <w:spacing w:after="0" w:line="115" w:lineRule="exact"/>
              <w:rPr>
                <w:sz w:val="20"/>
                <w:szCs w:val="20"/>
                <w:color w:val="auto"/>
              </w:rPr>
            </w:pPr>
            <w:r>
              <w:rPr>
                <w:rFonts w:ascii="Arial" w:cs="Arial" w:eastAsia="Arial" w:hAnsi="Arial"/>
                <w:sz w:val="11"/>
                <w:szCs w:val="11"/>
                <w:color w:val="auto"/>
              </w:rPr>
              <w:t>2.7</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year ended December 31, 2019 to the combined year ended December 31, 2018. Revenue accounts were not impacted by the Refinitiv Transaction or the application of pushdown accounting.</w:t>
      </w:r>
    </w:p>
    <w:p>
      <w:pPr>
        <w:spacing w:after="0" w:line="177"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from our Rates asset class increased by $55.0 million or 14.5% to $434.2 million for the year ended December 31, 2019 from $379.2 million for the combined year ended December 31, 2018 primarily due to higher trading volumes for derivatives products, U.S. government bonds and mortgages.</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from our Credit asset class increased by $22.5 million or 16.1% to $162.2 million for the year ended December 31, 2019 from $139.7 million for the combined year ended December 31, 2018 primarily due to higher trading volumes for U.S. corporate bonds and Chinese bonds.</w:t>
      </w:r>
    </w:p>
    <w:p>
      <w:pPr>
        <w:spacing w:after="0" w:line="18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u w:val="single" w:color="auto"/>
          <w:color w:val="auto"/>
        </w:rPr>
        <w:t>Equities</w:t>
      </w:r>
      <w:r>
        <w:rPr>
          <w:rFonts w:ascii="Arial" w:cs="Arial" w:eastAsia="Arial" w:hAnsi="Arial"/>
          <w:sz w:val="17"/>
          <w:szCs w:val="17"/>
          <w:i w:val="1"/>
          <w:iCs w:val="1"/>
          <w:color w:val="auto"/>
        </w:rPr>
        <w:t>.</w:t>
      </w:r>
      <w:r>
        <w:rPr>
          <w:rFonts w:ascii="Arial" w:cs="Arial" w:eastAsia="Arial" w:hAnsi="Arial"/>
          <w:sz w:val="17"/>
          <w:szCs w:val="17"/>
          <w:color w:val="auto"/>
        </w:rPr>
        <w:t xml:space="preserve"> Revenues from our Equities asset class increased by $6.0 million or 14.6% to $46.9 million for the year ended December 31, 2019 from $40.9 million for the combined year ended December 31, 2018 primarily due to higher trading volumes for European ETFs and derivatives products, as well as higher revenues from U.S. ETFs.</w:t>
      </w:r>
    </w:p>
    <w:p>
      <w:pPr>
        <w:spacing w:after="0" w:line="16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from our Money Markets asset class increased by $5.7 million or 16.3% to $40.4 million for the year ended December 31, 2019 from $34.7 million for the combined year ended December 31, 2018 primarily due to higher trading volumes for repurchase agreements and certificates of deposit.</w:t>
      </w:r>
    </w:p>
    <w:p>
      <w:pPr>
        <w:spacing w:after="0" w:line="18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u w:val="single" w:color="auto"/>
          <w:color w:val="auto"/>
        </w:rPr>
        <w:t>Market Data</w:t>
      </w:r>
      <w:r>
        <w:rPr>
          <w:rFonts w:ascii="Arial" w:cs="Arial" w:eastAsia="Arial" w:hAnsi="Arial"/>
          <w:sz w:val="16"/>
          <w:szCs w:val="16"/>
          <w:i w:val="1"/>
          <w:iCs w:val="1"/>
          <w:color w:val="auto"/>
        </w:rPr>
        <w:t>.</w:t>
      </w:r>
      <w:r>
        <w:rPr>
          <w:rFonts w:ascii="Arial" w:cs="Arial" w:eastAsia="Arial" w:hAnsi="Arial"/>
          <w:sz w:val="16"/>
          <w:szCs w:val="16"/>
          <w:color w:val="auto"/>
        </w:rPr>
        <w:t xml:space="preserve"> Revenues from Market Data increased by $6.9 million or 10.9% to $70.7 million for the year ended December 31, 2019 from $63.8 million for the combined year ended December 31, 2018 as a result of an increase in the number of market data feeds provided to Refinitiv (formerly Thomson Reuters) and revenue from our APA reporting service.</w:t>
      </w:r>
    </w:p>
    <w:p>
      <w:pPr>
        <w:spacing w:after="0" w:line="14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i w:val="1"/>
          <w:iCs w:val="1"/>
          <w:color w:val="auto"/>
        </w:rPr>
        <w:t>.</w:t>
      </w:r>
      <w:r>
        <w:rPr>
          <w:rFonts w:ascii="Arial" w:cs="Arial" w:eastAsia="Arial" w:hAnsi="Arial"/>
          <w:sz w:val="18"/>
          <w:szCs w:val="18"/>
          <w:color w:val="auto"/>
        </w:rPr>
        <w:t xml:space="preserve"> Revenues from Other Fees decreased by $4.9 million or (18.7)% to $21.2 million for the year ended December 31, 2019 from $26.1 million for the combined year ended December 31, 2018 primarily due to lower fees from a third party for certain licensing and development in Canada and lower Retail revenues from software development and implementation on behalf of certain clients.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A significant percentage of our revenues are tied directly to overall trading volumes in the rates, credit, equities and money markets asset classes. The average daily volumes and total volumes on our trading platforms by asset class for the years ended December 31, 2019 and 2018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ind w:right="404"/>
              <w:spacing w:after="0" w:line="142" w:lineRule="exact"/>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2"/>
                <w:szCs w:val="12"/>
                <w:color w:val="auto"/>
              </w:rPr>
            </w:pPr>
          </w:p>
        </w:tc>
        <w:tc>
          <w:tcPr>
            <w:tcW w:w="2080" w:type="dxa"/>
            <w:vAlign w:val="bottom"/>
            <w:tcBorders>
              <w:bottom w:val="single" w:sz="8" w:color="auto"/>
            </w:tcBorders>
            <w:gridSpan w:val="4"/>
          </w:tcPr>
          <w:p>
            <w:pPr>
              <w:jc w:val="right"/>
              <w:ind w:right="373"/>
              <w:spacing w:after="0" w:line="142" w:lineRule="exact"/>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ADV</w:t>
            </w:r>
          </w:p>
        </w:tc>
        <w:tc>
          <w:tcPr>
            <w:tcW w:w="160" w:type="dxa"/>
            <w:vAlign w:val="bottom"/>
          </w:tcPr>
          <w:p>
            <w:pPr>
              <w:spacing w:after="0"/>
              <w:rPr>
                <w:sz w:val="12"/>
                <w:szCs w:val="12"/>
                <w:color w:val="auto"/>
              </w:rPr>
            </w:pPr>
          </w:p>
        </w:tc>
        <w:tc>
          <w:tcPr>
            <w:tcW w:w="1120" w:type="dxa"/>
            <w:vAlign w:val="bottom"/>
          </w:tcPr>
          <w:p>
            <w:pPr>
              <w:jc w:val="right"/>
              <w:ind w:right="264"/>
              <w:spacing w:after="0" w:line="142" w:lineRule="exact"/>
              <w:rPr>
                <w:sz w:val="20"/>
                <w:szCs w:val="20"/>
                <w:color w:val="auto"/>
              </w:rPr>
            </w:pPr>
            <w:r>
              <w:rPr>
                <w:rFonts w:ascii="Arial" w:cs="Arial" w:eastAsia="Arial" w:hAnsi="Arial"/>
                <w:sz w:val="14"/>
                <w:szCs w:val="14"/>
                <w:b w:val="1"/>
                <w:bCs w:val="1"/>
                <w:color w:val="auto"/>
              </w:rPr>
              <w:t>Volume</w:t>
            </w:r>
          </w:p>
        </w:tc>
        <w:tc>
          <w:tcPr>
            <w:tcW w:w="160" w:type="dxa"/>
            <w:vAlign w:val="bottom"/>
          </w:tcPr>
          <w:p>
            <w:pPr>
              <w:spacing w:after="0"/>
              <w:rPr>
                <w:sz w:val="12"/>
                <w:szCs w:val="12"/>
                <w:color w:val="auto"/>
              </w:rPr>
            </w:pPr>
          </w:p>
        </w:tc>
        <w:tc>
          <w:tcPr>
            <w:tcW w:w="800" w:type="dxa"/>
            <w:vAlign w:val="bottom"/>
          </w:tcPr>
          <w:p>
            <w:pPr>
              <w:jc w:val="right"/>
              <w:ind w:right="162"/>
              <w:spacing w:after="0" w:line="142" w:lineRule="exact"/>
              <w:rPr>
                <w:sz w:val="20"/>
                <w:szCs w:val="20"/>
                <w:color w:val="auto"/>
              </w:rPr>
            </w:pPr>
            <w:r>
              <w:rPr>
                <w:rFonts w:ascii="Arial" w:cs="Arial" w:eastAsia="Arial" w:hAnsi="Arial"/>
                <w:sz w:val="14"/>
                <w:szCs w:val="14"/>
                <w:b w:val="1"/>
                <w:bCs w:val="1"/>
                <w:color w:val="auto"/>
              </w:rPr>
              <w:t>ADV</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Volume</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3"/>
          </w:tcPr>
          <w:p>
            <w:pPr>
              <w:jc w:val="right"/>
              <w:ind w:right="222"/>
              <w:spacing w:after="0" w:line="142" w:lineRule="exact"/>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489,645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$ 122,871,725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$ 354,023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88,625,615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Credit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3,721,199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3,186,209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1,972,767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1,962,566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Money Markets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213,209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53,706,377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173,743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43,462,916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17"/>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725,426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$ 182,272,068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$ 548,222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137,237,306</w:t>
            </w:r>
          </w:p>
        </w:tc>
        <w:tc>
          <w:tcPr>
            <w:tcW w:w="10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believe the increases in average daily volumes for our rates, credit and money markets asset classes in the year ended December 31, 2019 can be attributed to various factors, including further electronification of trading activities across our asset classes, increase in market share, new products, new clients and volatility. Rates ADV increased due mainly to higher trading activity in long and short-tenor interest rate swaps and swaptions, mortgages and U.S. treasuries. Credit ADV increased due to higher trading activity in U.S. high-grade and high-yield credit products, derivatives products and Chinese bonds. Equities ADV was flat, as an increase in European ETFs and derivatives products was offset by lower U.S. ETF notional volumes. Money Markets ADV increased mainly due to bilateral electronic trading in repurchase agreements.</w:t>
      </w:r>
    </w:p>
    <w:p>
      <w:pPr>
        <w:spacing w:after="0" w:line="16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years ended December 31, 2019 and 2018 are summarized below. There are three potential drivers of quarterly fluctuations in our average variable fees per million: (1) volume discounts, (2) the mix of cash and derivatives products traded, and (3) the mix of protocols underpinning cash and derivatives products.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Rates asset class decreased 7.4% for the year ended December 31, 2019 while gross revenue for our Rates asset class increased 14.5% over the same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December 31,</w:t>
            </w:r>
          </w:p>
        </w:tc>
        <w:tc>
          <w:tcPr>
            <w:tcW w:w="20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Rates - excluding short-tenor swaps (less than 1 year)</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Equities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Total Fees per Million</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Total Fees per Million - excluding short-tenor swaps (less than 1 year)</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Rates average variable fees per million was impacted by the growth in short tenor swap volumes, a product which has a lower variable fee capture compared to other rates products. Credit average variable fees per million was impacted by the growth in credit cash volumes, products which have a higher variable fee capture compared to credit derivative products. Equities average variable fees per million was impacted by a mix shift in volumes towards Institutional ETFs and away from Wholesale products. Money Markets average variable fees per million was impacted by a mix shift in volumes towards repurchase agreements and away from other lower variable fee capture Money Markets products.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Our gross revenue by geography (based on client location) for the year ended December 31, 2019, the combined year ended December 31, 2018, the 2018 Successor Period and the 2018 Predecessor Period, and the resulting dollar and percentage changes,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w w:val="96"/>
              </w:rPr>
              <w:t>Successor</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w w:val="91"/>
              </w:rPr>
              <w:t xml:space="preserve">Combined </w:t>
            </w:r>
            <w:r>
              <w:rPr>
                <w:rFonts w:ascii="Arial" w:cs="Arial" w:eastAsia="Arial" w:hAnsi="Arial"/>
                <w:sz w:val="11"/>
                <w:szCs w:val="11"/>
                <w:b w:val="1"/>
                <w:bCs w:val="1"/>
                <w:color w:val="auto"/>
                <w:w w:val="91"/>
                <w:vertAlign w:val="superscript"/>
              </w:rPr>
              <w:t>(1)</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restart"/>
          </w:tcPr>
          <w:p>
            <w:pPr>
              <w:jc w:val="center"/>
              <w:ind w:right="126"/>
              <w:spacing w:after="0"/>
              <w:rPr>
                <w:sz w:val="20"/>
                <w:szCs w:val="20"/>
                <w:color w:val="auto"/>
              </w:rPr>
            </w:pPr>
            <w:r>
              <w:rPr>
                <w:rFonts w:ascii="Arial" w:cs="Arial" w:eastAsia="Arial" w:hAnsi="Arial"/>
                <w:sz w:val="11"/>
                <w:szCs w:val="11"/>
                <w:b w:val="1"/>
                <w:bCs w:val="1"/>
                <w:color w:val="auto"/>
                <w:w w:val="78"/>
              </w:rPr>
              <w:t>Successor</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90"/>
              </w:rPr>
              <w:t>Predecessor</w:t>
            </w:r>
          </w:p>
        </w:tc>
        <w:tc>
          <w:tcPr>
            <w:tcW w:w="160" w:type="dxa"/>
            <w:vAlign w:val="bottom"/>
          </w:tcPr>
          <w:p>
            <w:pPr>
              <w:spacing w:after="0"/>
              <w:rPr>
                <w:sz w:val="2"/>
                <w:szCs w:val="2"/>
                <w:color w:val="auto"/>
              </w:rPr>
            </w:pPr>
          </w:p>
        </w:tc>
        <w:tc>
          <w:tcPr>
            <w:tcW w:w="2040" w:type="dxa"/>
            <w:vAlign w:val="bottom"/>
            <w:gridSpan w:val="3"/>
            <w:vMerge w:val="restart"/>
          </w:tcPr>
          <w:p>
            <w:pPr>
              <w:jc w:val="right"/>
              <w:ind w:right="186"/>
              <w:spacing w:after="0"/>
              <w:rPr>
                <w:sz w:val="20"/>
                <w:szCs w:val="20"/>
                <w:color w:val="auto"/>
              </w:rPr>
            </w:pPr>
            <w:r>
              <w:rPr>
                <w:rFonts w:ascii="Arial" w:cs="Arial" w:eastAsia="Arial" w:hAnsi="Arial"/>
                <w:sz w:val="11"/>
                <w:szCs w:val="11"/>
                <w:b w:val="1"/>
                <w:bCs w:val="1"/>
                <w:color w:val="auto"/>
              </w:rPr>
              <w:t>Year Ended December 31, 2019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86"/>
              <w:spacing w:after="0" w:line="115" w:lineRule="exact"/>
              <w:rPr>
                <w:sz w:val="20"/>
                <w:szCs w:val="20"/>
                <w:color w:val="auto"/>
              </w:rPr>
            </w:pPr>
            <w:r>
              <w:rPr>
                <w:rFonts w:ascii="Arial" w:cs="Arial" w:eastAsia="Arial" w:hAnsi="Arial"/>
                <w:sz w:val="11"/>
                <w:szCs w:val="11"/>
                <w:b w:val="1"/>
                <w:bCs w:val="1"/>
                <w:color w:val="auto"/>
                <w:w w:val="95"/>
              </w:rPr>
              <w:t>Year Ended</w:t>
            </w:r>
          </w:p>
        </w:tc>
        <w:tc>
          <w:tcPr>
            <w:tcW w:w="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auto"/>
                <w:w w:val="99"/>
              </w:rPr>
              <w:t>Year Ended</w:t>
            </w:r>
          </w:p>
        </w:tc>
        <w:tc>
          <w:tcPr>
            <w:tcW w:w="80" w:type="dxa"/>
            <w:vAlign w:val="bottom"/>
            <w:tcBorders>
              <w:left w:val="single" w:sz="8" w:color="auto"/>
            </w:tcBorders>
          </w:tcPr>
          <w:p>
            <w:pPr>
              <w:spacing w:after="0"/>
              <w:rPr>
                <w:sz w:val="10"/>
                <w:szCs w:val="10"/>
                <w:color w:val="auto"/>
              </w:rPr>
            </w:pPr>
          </w:p>
        </w:tc>
        <w:tc>
          <w:tcPr>
            <w:tcW w:w="940" w:type="dxa"/>
            <w:vAlign w:val="bottom"/>
            <w:gridSpan w:val="2"/>
          </w:tcPr>
          <w:p>
            <w:pPr>
              <w:jc w:val="center"/>
              <w:ind w:right="6"/>
              <w:spacing w:after="0" w:line="115" w:lineRule="exact"/>
              <w:rPr>
                <w:sz w:val="20"/>
                <w:szCs w:val="20"/>
                <w:color w:val="auto"/>
              </w:rPr>
            </w:pPr>
            <w:r>
              <w:rPr>
                <w:rFonts w:ascii="Arial" w:cs="Arial" w:eastAsia="Arial" w:hAnsi="Arial"/>
                <w:sz w:val="11"/>
                <w:szCs w:val="11"/>
                <w:b w:val="1"/>
                <w:bCs w:val="1"/>
                <w:color w:val="auto"/>
                <w:w w:val="88"/>
              </w:rPr>
              <w:t>October 1, 2018 to</w:t>
            </w:r>
          </w:p>
        </w:tc>
        <w:tc>
          <w:tcPr>
            <w:tcW w:w="60" w:type="dxa"/>
            <w:vAlign w:val="bottom"/>
            <w:tcBorders>
              <w:left w:val="single" w:sz="8" w:color="auto"/>
            </w:tcBorders>
          </w:tcPr>
          <w:p>
            <w:pPr>
              <w:spacing w:after="0"/>
              <w:rPr>
                <w:sz w:val="10"/>
                <w:szCs w:val="10"/>
                <w:color w:val="auto"/>
              </w:rPr>
            </w:pP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w w:val="90"/>
              </w:rPr>
              <w:t>January 1, 2018 to</w:t>
            </w:r>
          </w:p>
        </w:tc>
        <w:tc>
          <w:tcPr>
            <w:tcW w:w="160" w:type="dxa"/>
            <w:vAlign w:val="bottom"/>
          </w:tcPr>
          <w:p>
            <w:pPr>
              <w:spacing w:after="0"/>
              <w:rPr>
                <w:sz w:val="10"/>
                <w:szCs w:val="10"/>
                <w:color w:val="auto"/>
              </w:rPr>
            </w:pPr>
          </w:p>
        </w:tc>
        <w:tc>
          <w:tcPr>
            <w:tcW w:w="2040" w:type="dxa"/>
            <w:vAlign w:val="bottom"/>
            <w:tcBorders>
              <w:bottom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w w:val="90"/>
              </w:rPr>
              <w:t>Combined Year Ended December 31, 2018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w w:val="90"/>
              </w:rPr>
              <w:t>December 31, 2019</w:t>
            </w:r>
          </w:p>
        </w:tc>
        <w:tc>
          <w:tcPr>
            <w:tcW w:w="60" w:type="dxa"/>
            <w:vAlign w:val="bottom"/>
            <w:tcBorders>
              <w:left w:val="single" w:sz="8" w:color="auto"/>
            </w:tcBorders>
          </w:tcPr>
          <w:p>
            <w:pPr>
              <w:spacing w:after="0"/>
              <w:rPr>
                <w:sz w:val="10"/>
                <w:szCs w:val="10"/>
                <w:color w:val="auto"/>
              </w:rPr>
            </w:pPr>
          </w:p>
        </w:tc>
        <w:tc>
          <w:tcPr>
            <w:tcW w:w="9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w w:val="90"/>
              </w:rPr>
              <w:t>December 31, 2018</w:t>
            </w:r>
          </w:p>
        </w:tc>
        <w:tc>
          <w:tcPr>
            <w:tcW w:w="80" w:type="dxa"/>
            <w:vAlign w:val="bottom"/>
            <w:tcBorders>
              <w:left w:val="single" w:sz="8" w:color="auto"/>
            </w:tcBorders>
          </w:tcPr>
          <w:p>
            <w:pPr>
              <w:spacing w:after="0"/>
              <w:rPr>
                <w:sz w:val="10"/>
                <w:szCs w:val="10"/>
                <w:color w:val="auto"/>
              </w:rPr>
            </w:pPr>
          </w:p>
        </w:tc>
        <w:tc>
          <w:tcPr>
            <w:tcW w:w="940" w:type="dxa"/>
            <w:vAlign w:val="bottom"/>
            <w:gridSpan w:val="2"/>
          </w:tcPr>
          <w:p>
            <w:pPr>
              <w:jc w:val="center"/>
              <w:ind w:right="6"/>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60" w:type="dxa"/>
            <w:vAlign w:val="bottom"/>
            <w:tcBorders>
              <w:left w:val="single" w:sz="8" w:color="auto"/>
            </w:tcBorders>
          </w:tcPr>
          <w:p>
            <w:pPr>
              <w:spacing w:after="0"/>
              <w:rPr>
                <w:sz w:val="10"/>
                <w:szCs w:val="10"/>
                <w:color w:val="auto"/>
              </w:rPr>
            </w:pPr>
          </w:p>
        </w:tc>
        <w:tc>
          <w:tcPr>
            <w:tcW w:w="92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w w:val="85"/>
              </w:rPr>
              <w:t>September 30, 2018</w:t>
            </w:r>
          </w:p>
        </w:tc>
        <w:tc>
          <w:tcPr>
            <w:tcW w:w="160" w:type="dxa"/>
            <w:vAlign w:val="bottom"/>
          </w:tcPr>
          <w:p>
            <w:pPr>
              <w:spacing w:after="0"/>
              <w:rPr>
                <w:sz w:val="10"/>
                <w:szCs w:val="10"/>
                <w:color w:val="auto"/>
              </w:rPr>
            </w:pPr>
          </w:p>
        </w:tc>
        <w:tc>
          <w:tcPr>
            <w:tcW w:w="1020" w:type="dxa"/>
            <w:vAlign w:val="bottom"/>
            <w:gridSpan w:val="2"/>
          </w:tcPr>
          <w:p>
            <w:pPr>
              <w:ind w:left="200"/>
              <w:spacing w:after="0" w:line="115" w:lineRule="exact"/>
              <w:rPr>
                <w:sz w:val="20"/>
                <w:szCs w:val="20"/>
                <w:color w:val="auto"/>
              </w:rPr>
            </w:pPr>
            <w:r>
              <w:rPr>
                <w:rFonts w:ascii="Arial" w:cs="Arial" w:eastAsia="Arial" w:hAnsi="Arial"/>
                <w:sz w:val="11"/>
                <w:szCs w:val="11"/>
                <w:b w:val="1"/>
                <w:bCs w:val="1"/>
                <w:color w:val="auto"/>
              </w:rPr>
              <w:t>$ Change</w:t>
            </w:r>
          </w:p>
        </w:tc>
        <w:tc>
          <w:tcPr>
            <w:tcW w:w="1020" w:type="dxa"/>
            <w:vAlign w:val="bottom"/>
          </w:tcPr>
          <w:p>
            <w:pPr>
              <w:jc w:val="right"/>
              <w:ind w:right="22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right"/>
              <w:ind w:right="446"/>
              <w:spacing w:after="0" w:line="115" w:lineRule="exact"/>
              <w:rPr>
                <w:sz w:val="20"/>
                <w:szCs w:val="20"/>
                <w:color w:val="auto"/>
              </w:rPr>
            </w:pPr>
            <w:r>
              <w:rPr>
                <w:rFonts w:ascii="Arial" w:cs="Arial" w:eastAsia="Arial" w:hAnsi="Arial"/>
                <w:sz w:val="11"/>
                <w:szCs w:val="11"/>
                <w:b w:val="1"/>
                <w:bCs w:val="1"/>
                <w:color w:val="auto"/>
              </w:rPr>
              <w:t>(dollars in thousands)</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line="122" w:lineRule="exact"/>
              <w:rPr>
                <w:sz w:val="20"/>
                <w:szCs w:val="20"/>
                <w:color w:val="auto"/>
              </w:rPr>
            </w:pPr>
            <w:r>
              <w:rPr>
                <w:rFonts w:ascii="Arial" w:cs="Arial" w:eastAsia="Arial" w:hAnsi="Arial"/>
                <w:sz w:val="11"/>
                <w:szCs w:val="11"/>
                <w:color w:val="auto"/>
              </w:rPr>
              <w:t>U.S.</w:t>
            </w:r>
          </w:p>
        </w:tc>
        <w:tc>
          <w:tcPr>
            <w:tcW w:w="660" w:type="dxa"/>
            <w:vAlign w:val="bottom"/>
            <w:gridSpan w:val="2"/>
          </w:tcPr>
          <w:p>
            <w:pPr>
              <w:ind w:left="54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497,316</w:t>
            </w:r>
          </w:p>
        </w:tc>
        <w:tc>
          <w:tcPr>
            <w:tcW w:w="160" w:type="dxa"/>
            <w:vAlign w:val="bottom"/>
            <w:tcBorders>
              <w:left w:val="single" w:sz="8" w:color="auto"/>
            </w:tcBorders>
            <w:gridSpan w:val="2"/>
          </w:tcPr>
          <w:p>
            <w:pPr>
              <w:ind w:left="6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440,211</w:t>
            </w:r>
          </w:p>
        </w:tc>
        <w:tc>
          <w:tcPr>
            <w:tcW w:w="200" w:type="dxa"/>
            <w:vAlign w:val="bottom"/>
            <w:tcBorders>
              <w:left w:val="single" w:sz="8" w:color="auto"/>
            </w:tcBorders>
            <w:gridSpan w:val="2"/>
          </w:tcPr>
          <w:p>
            <w:pPr>
              <w:jc w:val="right"/>
              <w:ind w:right="35"/>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115,907</w:t>
            </w:r>
          </w:p>
        </w:tc>
        <w:tc>
          <w:tcPr>
            <w:tcW w:w="180" w:type="dxa"/>
            <w:vAlign w:val="bottom"/>
            <w:tcBorders>
              <w:left w:val="single" w:sz="8" w:color="auto"/>
            </w:tcBorders>
            <w:gridSpan w:val="2"/>
          </w:tcPr>
          <w:p>
            <w:pPr>
              <w:ind w:left="6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324,304</w:t>
            </w: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57,105</w:t>
            </w:r>
          </w:p>
        </w:tc>
        <w:tc>
          <w:tcPr>
            <w:tcW w:w="200" w:type="dxa"/>
            <w:vAlign w:val="bottom"/>
          </w:tcPr>
          <w:p>
            <w:pPr>
              <w:spacing w:after="0"/>
              <w:rPr>
                <w:sz w:val="10"/>
                <w:szCs w:val="10"/>
                <w:color w:val="auto"/>
              </w:rPr>
            </w:pPr>
          </w:p>
        </w:tc>
        <w:tc>
          <w:tcPr>
            <w:tcW w:w="10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13.0</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International</w:t>
            </w:r>
          </w:p>
        </w:tc>
        <w:tc>
          <w:tcPr>
            <w:tcW w:w="5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278,250</w:t>
            </w:r>
          </w:p>
        </w:tc>
        <w:tc>
          <w:tcPr>
            <w:tcW w:w="60" w:type="dxa"/>
            <w:vAlign w:val="bottom"/>
            <w:tcBorders>
              <w:left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244,197</w:t>
            </w:r>
          </w:p>
        </w:tc>
        <w:tc>
          <w:tcPr>
            <w:tcW w:w="80" w:type="dxa"/>
            <w:vAlign w:val="bottom"/>
            <w:tcBorders>
              <w:left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62,730</w:t>
            </w: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181,467</w:t>
            </w:r>
          </w:p>
        </w:tc>
        <w:tc>
          <w:tcPr>
            <w:tcW w:w="16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34,053</w:t>
            </w:r>
          </w:p>
        </w:tc>
        <w:tc>
          <w:tcPr>
            <w:tcW w:w="200" w:type="dxa"/>
            <w:vAlign w:val="bottom"/>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13.9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280" w:type="dxa"/>
            <w:vAlign w:val="bottom"/>
          </w:tcPr>
          <w:p>
            <w:pPr>
              <w:spacing w:after="0" w:line="115" w:lineRule="exact"/>
              <w:rPr>
                <w:sz w:val="20"/>
                <w:szCs w:val="20"/>
                <w:color w:val="auto"/>
              </w:rPr>
            </w:pPr>
            <w:r>
              <w:rPr>
                <w:rFonts w:ascii="Arial" w:cs="Arial" w:eastAsia="Arial" w:hAnsi="Arial"/>
                <w:sz w:val="11"/>
                <w:szCs w:val="11"/>
                <w:color w:val="auto"/>
              </w:rPr>
              <w:t>Gross revenue</w:t>
            </w: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775,566</w:t>
            </w:r>
          </w:p>
        </w:tc>
        <w:tc>
          <w:tcPr>
            <w:tcW w:w="60" w:type="dxa"/>
            <w:vAlign w:val="bottom"/>
            <w:tcBorders>
              <w:left w:val="single" w:sz="8" w:color="auto"/>
            </w:tcBorders>
          </w:tcPr>
          <w:p>
            <w:pPr>
              <w:spacing w:after="0"/>
              <w:rPr>
                <w:sz w:val="10"/>
                <w:szCs w:val="10"/>
                <w:color w:val="auto"/>
              </w:rPr>
            </w:pPr>
          </w:p>
        </w:tc>
        <w:tc>
          <w:tcPr>
            <w:tcW w:w="10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684,408</w:t>
            </w:r>
          </w:p>
        </w:tc>
        <w:tc>
          <w:tcPr>
            <w:tcW w:w="80" w:type="dxa"/>
            <w:vAlign w:val="bottom"/>
            <w:tcBorders>
              <w:left w:val="single" w:sz="8" w:color="auto"/>
            </w:tcBorders>
          </w:tcPr>
          <w:p>
            <w:pPr>
              <w:spacing w:after="0"/>
              <w:rPr>
                <w:sz w:val="10"/>
                <w:szCs w:val="10"/>
                <w:color w:val="auto"/>
              </w:rPr>
            </w:pPr>
          </w:p>
        </w:tc>
        <w:tc>
          <w:tcPr>
            <w:tcW w:w="120" w:type="dxa"/>
            <w:vAlign w:val="bottom"/>
            <w:tcBorders>
              <w:bottom w:val="single" w:sz="8" w:color="auto"/>
            </w:tcBorders>
          </w:tcPr>
          <w:p>
            <w:pPr>
              <w:jc w:val="right"/>
              <w:ind w:right="35"/>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rPr>
              <w:t>178,637</w:t>
            </w:r>
          </w:p>
        </w:tc>
        <w:tc>
          <w:tcPr>
            <w:tcW w:w="60" w:type="dxa"/>
            <w:vAlign w:val="bottom"/>
            <w:tcBorders>
              <w:left w:val="single" w:sz="8" w:color="auto"/>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505,771</w:t>
            </w:r>
          </w:p>
        </w:tc>
        <w:tc>
          <w:tcPr>
            <w:tcW w:w="1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91,158</w:t>
            </w:r>
          </w:p>
        </w:tc>
        <w:tc>
          <w:tcPr>
            <w:tcW w:w="200" w:type="dxa"/>
            <w:vAlign w:val="bottom"/>
          </w:tcPr>
          <w:p>
            <w:pPr>
              <w:spacing w:after="0"/>
              <w:rPr>
                <w:sz w:val="10"/>
                <w:szCs w:val="10"/>
                <w:color w:val="auto"/>
              </w:rPr>
            </w:pPr>
          </w:p>
        </w:tc>
        <w:tc>
          <w:tcPr>
            <w:tcW w:w="102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13.3</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year ended December 31, 2019 to the combined year ended December 31, 2018. Revenue accounts were not impacted by the Refinitiv Transaction or the application of pushdown accounting.</w:t>
      </w:r>
    </w:p>
    <w:p>
      <w:pPr>
        <w:spacing w:after="0" w:line="393"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$57.1 million or 13.0% to $497.3 million for the year ended December 31, 2019 from $440.2 million for the combined year ended December 31, 2018 primarily due to higher trading volumes for U.S. credit products, U.S. government bonds, mortgages and rates derivatives products.</w:t>
      </w:r>
    </w:p>
    <w:p>
      <w:pPr>
        <w:spacing w:after="0" w:line="18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u w:val="single" w:color="auto"/>
          <w:color w:val="auto"/>
        </w:rPr>
        <w:t>International</w:t>
      </w:r>
      <w:r>
        <w:rPr>
          <w:rFonts w:ascii="Arial" w:cs="Arial" w:eastAsia="Arial" w:hAnsi="Arial"/>
          <w:sz w:val="18"/>
          <w:szCs w:val="18"/>
          <w:color w:val="auto"/>
        </w:rPr>
        <w:t>. Revenues from International clients increased by $34.1 million or 13.9% to $278.3 million for the year ended December 31, 2019 from $244.2 million for the combined year ended December 31, 2018 primarily due to higher trading volumes for rates derivatives products, European equities products, Chinese bonds and repurchase agreements. Compared to 2018 average rates, fluctuations in foreign currency rates throughout 2019 decreased our International gross revenue by $11.8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expenses for the year ended December 31, 2019, the 2018 Successor Period and the 2018 Predecessor Period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89"/>
              <w:spacing w:after="0" w:line="119"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0"/>
                <w:szCs w:val="10"/>
                <w:color w:val="auto"/>
              </w:rPr>
            </w:pPr>
          </w:p>
        </w:tc>
        <w:tc>
          <w:tcPr>
            <w:tcW w:w="12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October 1, 2018 to</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January 1, 2018 to</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December 31, 2019</w:t>
            </w:r>
          </w:p>
        </w:tc>
        <w:tc>
          <w:tcPr>
            <w:tcW w:w="12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w:t>
            </w:r>
            <w:r>
              <w:rPr>
                <w:rFonts w:ascii="Arial" w:cs="Arial" w:eastAsia="Arial" w:hAnsi="Arial"/>
                <w:sz w:val="14"/>
                <w:szCs w:val="14"/>
                <w:color w:val="auto"/>
                <w:vertAlign w:val="superscript"/>
              </w:rPr>
              <w:t>(1)</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329,457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80,436</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209,053</w:t>
            </w:r>
          </w:p>
        </w:tc>
        <w:tc>
          <w:tcPr>
            <w:tcW w:w="0" w:type="dxa"/>
            <w:vAlign w:val="bottom"/>
          </w:tcPr>
          <w:p>
            <w:pPr>
              <w:spacing w:after="0"/>
              <w:rPr>
                <w:sz w:val="1"/>
                <w:szCs w:val="1"/>
                <w:color w:val="auto"/>
              </w:rPr>
            </w:pPr>
          </w:p>
        </w:tc>
      </w:tr>
      <w:tr>
        <w:trPr>
          <w:trHeight w:val="149"/>
        </w:trPr>
        <w:tc>
          <w:tcPr>
            <w:tcW w:w="506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139,330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33,020</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48,808</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Technology and communications</w:t>
            </w:r>
            <w:r>
              <w:rPr>
                <w:rFonts w:ascii="Arial" w:cs="Arial" w:eastAsia="Arial" w:hAnsi="Arial"/>
                <w:sz w:val="14"/>
                <w:szCs w:val="14"/>
                <w:color w:val="auto"/>
                <w:vertAlign w:val="superscript"/>
              </w:rPr>
              <w:t>(1)</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39,285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26,598</w:t>
            </w:r>
          </w:p>
        </w:tc>
        <w:tc>
          <w:tcPr>
            <w:tcW w:w="0" w:type="dxa"/>
            <w:vAlign w:val="bottom"/>
          </w:tcPr>
          <w:p>
            <w:pPr>
              <w:spacing w:after="0"/>
              <w:rPr>
                <w:sz w:val="1"/>
                <w:szCs w:val="1"/>
                <w:color w:val="auto"/>
              </w:rPr>
            </w:pPr>
          </w:p>
        </w:tc>
      </w:tr>
      <w:tr>
        <w:trPr>
          <w:trHeight w:val="149"/>
        </w:trPr>
        <w:tc>
          <w:tcPr>
            <w:tcW w:w="5060" w:type="dxa"/>
            <w:vAlign w:val="bottom"/>
            <w:gridSpan w:val="2"/>
          </w:tcPr>
          <w:p>
            <w:pPr>
              <w:spacing w:after="0" w:line="149"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4"/>
                <w:szCs w:val="14"/>
                <w:color w:val="auto"/>
                <w:vertAlign w:val="superscript"/>
              </w:rPr>
              <w:t>(1)</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34,960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11,837</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23,056</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r>
              <w:rPr>
                <w:rFonts w:ascii="Arial" w:cs="Arial" w:eastAsia="Arial" w:hAnsi="Arial"/>
                <w:sz w:val="14"/>
                <w:szCs w:val="14"/>
                <w:color w:val="auto"/>
                <w:vertAlign w:val="superscript"/>
              </w:rPr>
              <w:t>(1)</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8,194</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20,360</w:t>
            </w:r>
          </w:p>
        </w:tc>
        <w:tc>
          <w:tcPr>
            <w:tcW w:w="0" w:type="dxa"/>
            <w:vAlign w:val="bottom"/>
          </w:tcPr>
          <w:p>
            <w:pPr>
              <w:spacing w:after="0"/>
              <w:rPr>
                <w:sz w:val="1"/>
                <w:szCs w:val="1"/>
                <w:color w:val="auto"/>
              </w:rPr>
            </w:pPr>
          </w:p>
        </w:tc>
      </w:tr>
      <w:tr>
        <w:trPr>
          <w:trHeight w:val="149"/>
        </w:trPr>
        <w:tc>
          <w:tcPr>
            <w:tcW w:w="506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Occupancy</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14,686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3,308</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10,732</w:t>
            </w:r>
          </w:p>
        </w:tc>
        <w:tc>
          <w:tcPr>
            <w:tcW w:w="0" w:type="dxa"/>
            <w:vAlign w:val="bottom"/>
          </w:tcPr>
          <w:p>
            <w:pPr>
              <w:spacing w:after="0"/>
              <w:rPr>
                <w:sz w:val="1"/>
                <w:szCs w:val="1"/>
                <w:color w:val="auto"/>
              </w:rPr>
            </w:pPr>
          </w:p>
        </w:tc>
      </w:tr>
      <w:tr>
        <w:trPr>
          <w:trHeight w:val="149"/>
        </w:trPr>
        <w:tc>
          <w:tcPr>
            <w:tcW w:w="506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Expenses</w:t>
            </w:r>
          </w:p>
        </w:tc>
        <w:tc>
          <w:tcPr>
            <w:tcW w:w="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585,747</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146,702</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338,607</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80" w:hanging="333"/>
        <w:spacing w:after="0" w:line="253" w:lineRule="auto"/>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change in basis resulting from the Refinitiv Transaction and the application of pushdown accounting did not impact these operating expense accounts.</w:t>
      </w:r>
    </w:p>
    <w:p>
      <w:pPr>
        <w:spacing w:after="0" w:line="394"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xml:space="preserve"> Employee compensation and benefits expense increased by $40.0 million or 13.8% to $329.5 million for the year ended December 31, 2019 from $289.5 million for the combined year ended December 31, 2018. The increase was primarily due to $24.4 million of non-cash stock-based compensation expense related to the Special Option Award, which, as a result of the completion of the IPO, we began to expense during the second quarter of 2019 (with $18.9 million recognized as compensation expense related to these options immediately upon the completion of the IPO), and post-IPO options awarded in the second half of 2019, an increase in commission related expenses of $9.9 million related to higher Wholesale revenues and an increase in salaries, bonus and benefits of $3.9 million.</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for the year ended December 31, 2019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$139.3 million. Depreciation and amortization expense for the 2018 Successor Period and the 2018 Predecessor Period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$33.0 million and $48.8 million, respectively. As a result of the Refinitiv Transaction and the application 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pushdown accounting, we adjusted our assets and liabilities to their estimated fair values as of October 1, 2018, which resulted in an increase in depreciation of tangible assets and amortization of our intangible assets. For the year ended December 31, 2019, acquisition and Refinitiv related depreciation and amortization was $97.6 million. For the 2018 Successor Period, and the 2018 Predecessor Period, acquisition and Refinitiv related depreciation and amortization was $22.4 million and $19.6 million, respectively.</w:t>
      </w:r>
    </w:p>
    <w:p>
      <w:pPr>
        <w:spacing w:after="0" w:line="18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u w:val="single" w:color="auto"/>
          <w:color w:val="auto"/>
        </w:rPr>
        <w:t>Technology and Communications</w:t>
      </w:r>
      <w:r>
        <w:rPr>
          <w:rFonts w:ascii="Arial" w:cs="Arial" w:eastAsia="Arial" w:hAnsi="Arial"/>
          <w:sz w:val="17"/>
          <w:szCs w:val="17"/>
          <w:i w:val="1"/>
          <w:iCs w:val="1"/>
          <w:color w:val="auto"/>
        </w:rPr>
        <w:t>.</w:t>
      </w:r>
      <w:r>
        <w:rPr>
          <w:rFonts w:ascii="Arial" w:cs="Arial" w:eastAsia="Arial" w:hAnsi="Arial"/>
          <w:sz w:val="17"/>
          <w:szCs w:val="17"/>
          <w:color w:val="auto"/>
        </w:rPr>
        <w:t xml:space="preserve"> Technology and communications expense increased by $2.8 million or 7.6% to $39.3 million for the year ended December 31, 2019 from $36.5 million for the combined year ended December 31, 2018. The increase was primarily due to increased clearance and data fees as a result of higher trading volumes.</w:t>
      </w:r>
    </w:p>
    <w:p>
      <w:pPr>
        <w:spacing w:after="0" w:line="166"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General and administrative expense increased by $0.1 million or 0.2% to $35.0 million for the year ended December 31, 2019 from $34.9 million for the combined year ended December 31, 2018. The increase was primarily a result of an increase in insurance costs of $2.2 million associated with being a public company, and foreign exchange losses of $1.1 million, partially offset by lower bad debt expenses of $1.5 million associated with an evaluation of the reserve, sales and use taxes of $1.2 million, and lower recruiting fees of $0.6 million.</w:t>
      </w:r>
    </w:p>
    <w:p>
      <w:pPr>
        <w:spacing w:after="0" w:line="15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u w:val="single" w:color="auto"/>
          <w:color w:val="auto"/>
        </w:rPr>
        <w:t>Professional Fees</w:t>
      </w:r>
      <w:r>
        <w:rPr>
          <w:rFonts w:ascii="Arial" w:cs="Arial" w:eastAsia="Arial" w:hAnsi="Arial"/>
          <w:sz w:val="17"/>
          <w:szCs w:val="17"/>
          <w:color w:val="auto"/>
        </w:rPr>
        <w:t>. Professional fees decreased by $0.5 million or (1.8)% to $28.0 million for the year ended December 31, 2019 from $28.6 million for the combined year ended December 31, 2018. The decrease was primarily due to lower legal and consulting fees, as well as lower advisory fees in 2019, as 2018 included higher fees incurred in connection with the IPO, partially offset by higher audit and tax advisory fees associated with being a public company.</w:t>
      </w:r>
    </w:p>
    <w:p>
      <w:pPr>
        <w:spacing w:after="0" w:line="17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u w:val="single" w:color="auto"/>
          <w:color w:val="auto"/>
        </w:rPr>
        <w:t>Occupancy</w:t>
      </w:r>
      <w:r>
        <w:rPr>
          <w:rFonts w:ascii="Arial" w:cs="Arial" w:eastAsia="Arial" w:hAnsi="Arial"/>
          <w:sz w:val="16"/>
          <w:szCs w:val="16"/>
          <w:color w:val="auto"/>
        </w:rPr>
        <w:t>. Occupancy expense for the year ended December 31, 2019 was $14.7 million. Occupancy expense for the 2018 Successor Period and the 2018 Predecessor Period was $3.3 million and $10.7 million, respectively. As a result of the Refinitiv Transaction and the application of pushdown accounting, at October 1, 2018, we established a leasehold interest liability, which resulted in contra expense of $0.4 million during the year ended December 31, 2019. Occupancy expense for the year ended December 31, 2019 also was impacted by an increase in costs associated with our Europe and Asia offices.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Net interest income for the year ended December 31, 2019 decreased by $0.1 million, or (5.5)% to $2.4 million from $2.5 million for the combined year ended December 31, 2018. The decrease was due to higher interest expense associated with credit facility fees related to the Revolving Credit Facility of $1.3 million, partially offset by higher interest income from cash investments. The change in basis resulting from the Refinitiv Transaction and the application of pushdown accounting did not impact net interest income (expense).</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Tax Receivable Agreement Liability Adjustment</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tax receivable agreement liability adjustment for the year ended December 31, 2019 was $33.1 million, which represents income recognized during the year ended December 31, 2019 primarily due to changes in the tax receivable agreement liability recorded in our consolidated statement of financial condition as a result of changes in the mix of earnings, tax legislation and tax rates in various jurisdictions which impacted our tax savings.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Provision for income taxes for the year ended December 31, 2019 was $52.3 million. Provision for income taxes for the 2018 Successor Period and the 2018 Predecessor Period was $3.4 million and $11.9 million, respectively. Provision for income taxes for the year ended December 31, 2019 was impacted by the Reorganization Transactions and the IPO, which resulted in Tradeweb Markets Inc. becoming subject to U.S. federal, state and local income taxes with respect to its taxable income, including its allocable share of any taxable income of TWM LLC, and being taxed at prevailing corporate tax rates. Prior to the Reorganization Transactions, income taxes consisted only of business taxes incurred by TWM LLC and certain subsidiaries for business conducted in certain state, local and foreign jurisdictions as well as federal, state and local taxes for certain subsidiaries that are taxed as corporations for U.S. tax purposes. The provision for income taxes for the year ended December 31, 2019 was also impacted by an increase in Tradeweb Market Inc.’s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ownership interest in TWM LLC following the completion of the October 2019 follow-on offering and the application of the use of proceeds therefrom.</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For October 1, 2018 to December 31, 2018 (Successor), January 1, 2018 to September 30, 2018 (Predecessor) and the Year Ended December 31, 2017 (Predecessor)</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a summary of our statements of income for the 2018 Successor Period, the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Predecessor Period and the year ended December 31,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5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w w:val="98"/>
              </w:rPr>
              <w:t>Successor</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5"/>
              </w:rPr>
              <w:t>Predecessor</w:t>
            </w:r>
          </w:p>
        </w:tc>
        <w:tc>
          <w:tcPr>
            <w:tcW w:w="160" w:type="dxa"/>
            <w:vAlign w:val="bottom"/>
          </w:tcPr>
          <w:p>
            <w:pPr>
              <w:spacing w:after="0" w:line="20" w:lineRule="exact"/>
              <w:rPr>
                <w:sz w:val="1"/>
                <w:szCs w:val="1"/>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5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8"/>
              <w:spacing w:after="0" w:line="119" w:lineRule="exact"/>
              <w:rPr>
                <w:sz w:val="20"/>
                <w:szCs w:val="20"/>
                <w:color w:val="auto"/>
              </w:rPr>
            </w:pPr>
            <w:r>
              <w:rPr>
                <w:rFonts w:ascii="Arial" w:cs="Arial" w:eastAsia="Arial" w:hAnsi="Arial"/>
                <w:sz w:val="13"/>
                <w:szCs w:val="13"/>
                <w:b w:val="1"/>
                <w:bCs w:val="1"/>
                <w:color w:val="auto"/>
              </w:rPr>
              <w:t>October 1, 2018 to</w:t>
            </w:r>
          </w:p>
        </w:tc>
        <w:tc>
          <w:tcPr>
            <w:tcW w:w="160" w:type="dxa"/>
            <w:vAlign w:val="bottom"/>
            <w:tcBorders>
              <w:left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January 1, 2018 to</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68"/>
              <w:spacing w:after="0" w:line="119" w:lineRule="exact"/>
              <w:rPr>
                <w:sz w:val="20"/>
                <w:szCs w:val="20"/>
                <w:color w:val="auto"/>
              </w:rPr>
            </w:pPr>
            <w:r>
              <w:rPr>
                <w:rFonts w:ascii="Arial" w:cs="Arial" w:eastAsia="Arial" w:hAnsi="Arial"/>
                <w:sz w:val="13"/>
                <w:szCs w:val="13"/>
                <w:b w:val="1"/>
                <w:bCs w:val="1"/>
                <w:color w:val="auto"/>
              </w:rPr>
              <w:t>Year Ended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December 31, 2018</w:t>
            </w:r>
          </w:p>
        </w:tc>
        <w:tc>
          <w:tcPr>
            <w:tcW w:w="160" w:type="dxa"/>
            <w:vAlign w:val="bottom"/>
            <w:tcBorders>
              <w:left w:val="single" w:sz="8" w:color="auto"/>
            </w:tcBorders>
          </w:tcPr>
          <w:p>
            <w:pPr>
              <w:spacing w:after="0"/>
              <w:rPr>
                <w:sz w:val="14"/>
                <w:szCs w:val="14"/>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 2018</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(dollars in thousands)</w:t>
            </w: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revenue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178,637</w:t>
            </w:r>
          </w:p>
        </w:tc>
        <w:tc>
          <w:tcPr>
            <w:tcW w:w="320" w:type="dxa"/>
            <w:vAlign w:val="bottom"/>
            <w:tcBorders>
              <w:left w:val="single" w:sz="8" w:color="auto"/>
            </w:tcBorders>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505,771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562,968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ind w:left="220"/>
              <w:spacing w:after="0" w:line="149" w:lineRule="exact"/>
              <w:rPr>
                <w:sz w:val="20"/>
                <w:szCs w:val="20"/>
                <w:color w:val="auto"/>
              </w:rPr>
            </w:pPr>
            <w:r>
              <w:rPr>
                <w:rFonts w:ascii="Arial" w:cs="Arial" w:eastAsia="Arial" w:hAnsi="Arial"/>
                <w:sz w:val="14"/>
                <w:szCs w:val="14"/>
                <w:color w:val="auto"/>
              </w:rPr>
              <w:t>Contingent consideration</w:t>
            </w:r>
          </w:p>
        </w:tc>
        <w:tc>
          <w:tcPr>
            <w:tcW w:w="180" w:type="dxa"/>
            <w:vAlign w:val="bottom"/>
          </w:tcPr>
          <w:p>
            <w:pPr>
              <w:spacing w:after="0"/>
              <w:rPr>
                <w:sz w:val="12"/>
                <w:szCs w:val="12"/>
                <w:color w:val="auto"/>
              </w:rPr>
            </w:pPr>
          </w:p>
        </w:tc>
        <w:tc>
          <w:tcPr>
            <w:tcW w:w="10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(26,830)</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(58,520)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revenue</w:t>
            </w:r>
          </w:p>
        </w:tc>
        <w:tc>
          <w:tcPr>
            <w:tcW w:w="1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178,637</w:t>
            </w:r>
          </w:p>
        </w:tc>
        <w:tc>
          <w:tcPr>
            <w:tcW w:w="160" w:type="dxa"/>
            <w:vAlign w:val="bottom"/>
            <w:tcBorders>
              <w:top w:val="single" w:sz="8" w:color="CCEEFF"/>
              <w:left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478,941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146,702</w:t>
            </w:r>
          </w:p>
        </w:tc>
        <w:tc>
          <w:tcPr>
            <w:tcW w:w="160" w:type="dxa"/>
            <w:vAlign w:val="bottom"/>
            <w:tcBorders>
              <w:left w:val="single" w:sz="8" w:color="auto"/>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338,607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415,356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income</w:t>
            </w:r>
          </w:p>
        </w:tc>
        <w:tc>
          <w:tcPr>
            <w:tcW w:w="18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31,935</w:t>
            </w:r>
          </w:p>
        </w:tc>
        <w:tc>
          <w:tcPr>
            <w:tcW w:w="160" w:type="dxa"/>
            <w:vAlign w:val="bottom"/>
            <w:tcBorders>
              <w:lef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140,334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89,092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interest income</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787</w:t>
            </w:r>
          </w:p>
        </w:tc>
        <w:tc>
          <w:tcPr>
            <w:tcW w:w="160" w:type="dxa"/>
            <w:vAlign w:val="bottom"/>
            <w:tcBorders>
              <w:left w:val="single" w:sz="8" w:color="auto"/>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before taxes</w:t>
            </w:r>
          </w:p>
        </w:tc>
        <w:tc>
          <w:tcPr>
            <w:tcW w:w="18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32,722</w:t>
            </w:r>
          </w:p>
        </w:tc>
        <w:tc>
          <w:tcPr>
            <w:tcW w:w="160" w:type="dxa"/>
            <w:vAlign w:val="bottom"/>
            <w:tcBorders>
              <w:lef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142,060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ind w:left="220"/>
              <w:spacing w:after="0" w:line="149" w:lineRule="exact"/>
              <w:rPr>
                <w:sz w:val="20"/>
                <w:szCs w:val="20"/>
                <w:color w:val="auto"/>
              </w:rPr>
            </w:pPr>
            <w:r>
              <w:rPr>
                <w:rFonts w:ascii="Arial" w:cs="Arial" w:eastAsia="Arial" w:hAnsi="Arial"/>
                <w:sz w:val="14"/>
                <w:szCs w:val="14"/>
                <w:color w:val="auto"/>
              </w:rPr>
              <w:t>Provision for Income taxes</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(3,415)</w:t>
            </w:r>
          </w:p>
        </w:tc>
        <w:tc>
          <w:tcPr>
            <w:tcW w:w="16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(11,900)</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29,307</w:t>
            </w:r>
          </w:p>
        </w:tc>
        <w:tc>
          <w:tcPr>
            <w:tcW w:w="160" w:type="dxa"/>
            <w:vAlign w:val="bottom"/>
            <w:tcBorders>
              <w:top w:val="single" w:sz="8" w:color="CCEEFF"/>
              <w:left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130,160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During the combined year ended December 31, 2018, our business was impacted by a number of factors, including higher client trading activity, driving revenue increases in rates, credit, equities and money markets trading. Our market data business also grew due to the expansion of our market data license agreement with Refinitiv. Our expenses were impacted by higher employee compensation and benefits expense and higher professional fees, as well as higher depreciation and amortization expense as a result of the application of pushdown accounting.</w:t>
      </w:r>
    </w:p>
    <w:p>
      <w:pPr>
        <w:spacing w:after="0" w:line="173"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Gross revenue increased by $121.4 million or 21.6% to $684.4 million for the combined year ended December 31, 2018 from $563.0 million for the year ended December 31, 2017. This increase in gross revenue was mainly due to higher trading volumes resulting in a $103.9 million increase in transaction fees and a $15.9 million increase in commissions. Net revenue increased by $153.1 million or 30.4% to $657.6 million for the combined year ended December 31, 2018 from</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$504.4 million for the year ended December 31, 2017. Non-cash contingent consideration decreased by $31.7 million to</w:t>
      </w:r>
    </w:p>
    <w:p>
      <w:pPr>
        <w:spacing w:after="0" w:line="21"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$26.8 million for the combined year ended December 31, 2018 from $58.5 million for the year ended December 31, 2017 as a result of changes in projected and actual revenues related to the Credit Initiative Earnout during the periods.</w:t>
      </w:r>
    </w:p>
    <w:p>
      <w:pPr>
        <w:spacing w:after="0" w:line="162"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Total expenses for the 2018 Successor Period and the 2018 Predecessor Period were $146.7 million and $338.6 million, respectively. Total expenses for the year ended December 31, 2017 were $415.4 million. Total expenses for the 2018 Successor Period and the 2018 Predecessor Period were impacted by higher employee compensation and benefits expense and higher professional fees. The 2018 Successor Period was also impacted by higher depreciation and amortization expense as a result of the application of pushdown accounting.</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before taxes for the 2018 Successor Period and the 2018 Predecessor Period was $32.7 million and</w:t>
      </w:r>
    </w:p>
    <w:p>
      <w:pPr>
        <w:spacing w:after="0" w:line="2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$142.1 million, respectively. Income before taxes for the year ended December 31, 2017 was $89.8 million. Net income for the 2018 Successor Period and the 2018 Predecessor Period was $29.3 million and $130.2 million, respectively. Net income for the year ended December 31, 2017 was $83.6 million. Income before taxes and net income for the 2018 Successor Period and the 2018 Predecessor Period were positively impacted by higher revenues partially offset by higher compensation costs.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0" w:firstLine="360"/>
        <w:spacing w:after="0" w:line="308" w:lineRule="auto"/>
        <w:rPr>
          <w:sz w:val="20"/>
          <w:szCs w:val="20"/>
          <w:color w:val="auto"/>
        </w:rPr>
      </w:pPr>
      <w:r>
        <w:rPr>
          <w:rFonts w:ascii="Arial" w:cs="Arial" w:eastAsia="Arial" w:hAnsi="Arial"/>
          <w:sz w:val="17"/>
          <w:szCs w:val="17"/>
          <w:color w:val="auto"/>
        </w:rPr>
        <w:t>Our revenues for the 2018 Successor Period, the 2018 Predecessor Period, the combined year ended December 31, 2018 and the year ended December 31, 2017, and the resulting dollar and percentage changes,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77"/>
        </w:trPr>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3"/>
            <w:vMerge w:val="restart"/>
          </w:tcPr>
          <w:p>
            <w:pPr>
              <w:jc w:val="center"/>
              <w:ind w:right="140"/>
              <w:spacing w:after="0"/>
              <w:rPr>
                <w:sz w:val="20"/>
                <w:szCs w:val="20"/>
                <w:color w:val="auto"/>
              </w:rPr>
            </w:pPr>
            <w:r>
              <w:rPr>
                <w:rFonts w:ascii="Arial" w:cs="Arial" w:eastAsia="Arial" w:hAnsi="Arial"/>
                <w:sz w:val="9"/>
                <w:szCs w:val="9"/>
                <w:b w:val="1"/>
                <w:bCs w:val="1"/>
                <w:color w:val="auto"/>
                <w:w w:val="83"/>
              </w:rPr>
              <w:t>Successor</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85"/>
              </w:rPr>
              <w:t>Predecessor</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jc w:val="right"/>
              <w:ind w:right="99"/>
              <w:spacing w:after="0"/>
              <w:rPr>
                <w:sz w:val="20"/>
                <w:szCs w:val="20"/>
                <w:color w:val="auto"/>
              </w:rPr>
            </w:pPr>
            <w:r>
              <w:rPr>
                <w:rFonts w:ascii="Arial" w:cs="Arial" w:eastAsia="Arial" w:hAnsi="Arial"/>
                <w:sz w:val="5"/>
                <w:szCs w:val="5"/>
                <w:b w:val="1"/>
                <w:bCs w:val="1"/>
                <w:color w:val="auto"/>
              </w:rPr>
              <w:t>(1)</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gridSpan w:val="4"/>
            <w:vMerge w:val="restart"/>
          </w:tcPr>
          <w:p>
            <w:pPr>
              <w:jc w:val="center"/>
              <w:ind w:right="166"/>
              <w:spacing w:after="0"/>
              <w:rPr>
                <w:sz w:val="20"/>
                <w:szCs w:val="20"/>
                <w:color w:val="auto"/>
              </w:rPr>
            </w:pPr>
            <w:r>
              <w:rPr>
                <w:rFonts w:ascii="Arial" w:cs="Arial" w:eastAsia="Arial" w:hAnsi="Arial"/>
                <w:sz w:val="9"/>
                <w:szCs w:val="9"/>
                <w:b w:val="1"/>
                <w:bCs w:val="1"/>
                <w:color w:val="auto"/>
                <w:w w:val="85"/>
              </w:rPr>
              <w:t>Predecessor</w:t>
            </w: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2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Borders>
              <w:lef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Borders>
              <w:right w:val="single" w:sz="8" w:color="auto"/>
            </w:tcBorders>
            <w:gridSpan w:val="5"/>
          </w:tcPr>
          <w:p>
            <w:pPr>
              <w:ind w:left="140"/>
              <w:spacing w:after="0" w:line="95" w:lineRule="exact"/>
              <w:rPr>
                <w:sz w:val="20"/>
                <w:szCs w:val="20"/>
                <w:color w:val="auto"/>
              </w:rPr>
            </w:pPr>
            <w:r>
              <w:rPr>
                <w:rFonts w:ascii="Arial" w:cs="Arial" w:eastAsia="Arial" w:hAnsi="Arial"/>
                <w:sz w:val="9"/>
                <w:szCs w:val="9"/>
                <w:b w:val="1"/>
                <w:bCs w:val="1"/>
                <w:color w:val="auto"/>
              </w:rPr>
              <w:t>Combined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920" w:type="dxa"/>
            <w:vAlign w:val="bottom"/>
            <w:gridSpan w:val="6"/>
            <w:vMerge w:val="restart"/>
          </w:tcPr>
          <w:p>
            <w:pPr>
              <w:jc w:val="right"/>
              <w:ind w:right="180"/>
              <w:spacing w:after="0"/>
              <w:rPr>
                <w:sz w:val="20"/>
                <w:szCs w:val="20"/>
                <w:color w:val="auto"/>
              </w:rPr>
            </w:pPr>
            <w:r>
              <w:rPr>
                <w:rFonts w:ascii="Arial" w:cs="Arial" w:eastAsia="Arial" w:hAnsi="Arial"/>
                <w:sz w:val="9"/>
                <w:szCs w:val="9"/>
                <w:b w:val="1"/>
                <w:bCs w:val="1"/>
                <w:color w:val="auto"/>
                <w:w w:val="89"/>
              </w:rPr>
              <w:t>Combined Year Ended December 31, 2018 vs</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gridSpan w:val="2"/>
          </w:tcPr>
          <w:p>
            <w:pPr>
              <w:jc w:val="center"/>
              <w:ind w:right="35"/>
              <w:spacing w:after="0" w:line="79" w:lineRule="exact"/>
              <w:rPr>
                <w:sz w:val="20"/>
                <w:szCs w:val="20"/>
                <w:color w:val="auto"/>
              </w:rPr>
            </w:pPr>
            <w:r>
              <w:rPr>
                <w:rFonts w:ascii="Arial" w:cs="Arial" w:eastAsia="Arial" w:hAnsi="Arial"/>
                <w:sz w:val="9"/>
                <w:szCs w:val="9"/>
                <w:b w:val="1"/>
                <w:bCs w:val="1"/>
                <w:color w:val="auto"/>
                <w:w w:val="89"/>
              </w:rPr>
              <w:t>October 1, 2018 to</w:t>
            </w:r>
          </w:p>
        </w:tc>
        <w:tc>
          <w:tcPr>
            <w:tcW w:w="6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jc w:val="center"/>
              <w:ind w:right="97"/>
              <w:spacing w:after="0" w:line="79" w:lineRule="exact"/>
              <w:rPr>
                <w:sz w:val="20"/>
                <w:szCs w:val="20"/>
                <w:color w:val="auto"/>
              </w:rPr>
            </w:pPr>
            <w:r>
              <w:rPr>
                <w:rFonts w:ascii="Arial" w:cs="Arial" w:eastAsia="Arial" w:hAnsi="Arial"/>
                <w:sz w:val="9"/>
                <w:szCs w:val="9"/>
                <w:b w:val="1"/>
                <w:bCs w:val="1"/>
                <w:color w:val="auto"/>
                <w:w w:val="92"/>
              </w:rPr>
              <w:t>January 1, 2018 to</w:t>
            </w:r>
          </w:p>
        </w:tc>
        <w:tc>
          <w:tcPr>
            <w:tcW w:w="100" w:type="dxa"/>
            <w:vAlign w:val="bottom"/>
          </w:tcPr>
          <w:p>
            <w:pPr>
              <w:spacing w:after="0"/>
              <w:rPr>
                <w:sz w:val="6"/>
                <w:szCs w:val="6"/>
                <w:color w:val="auto"/>
              </w:rPr>
            </w:pPr>
          </w:p>
        </w:tc>
        <w:tc>
          <w:tcPr>
            <w:tcW w:w="100" w:type="dxa"/>
            <w:vAlign w:val="bottom"/>
            <w:tcBorders>
              <w:top w:val="single" w:sz="8" w:color="auto"/>
              <w:left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gridSpan w:val="4"/>
          </w:tcPr>
          <w:p>
            <w:pPr>
              <w:ind w:left="140"/>
              <w:spacing w:after="0" w:line="79" w:lineRule="exact"/>
              <w:rPr>
                <w:sz w:val="20"/>
                <w:szCs w:val="20"/>
                <w:color w:val="auto"/>
              </w:rPr>
            </w:pPr>
            <w:r>
              <w:rPr>
                <w:rFonts w:ascii="Arial" w:cs="Arial" w:eastAsia="Arial" w:hAnsi="Arial"/>
                <w:sz w:val="9"/>
                <w:szCs w:val="9"/>
                <w:b w:val="1"/>
                <w:bCs w:val="1"/>
                <w:color w:val="auto"/>
              </w:rPr>
              <w:t>Year Ended</w:t>
            </w:r>
          </w:p>
        </w:tc>
        <w:tc>
          <w:tcPr>
            <w:tcW w:w="1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gridSpan w:val="3"/>
          </w:tcPr>
          <w:p>
            <w:pPr>
              <w:jc w:val="center"/>
              <w:ind w:right="17"/>
              <w:spacing w:after="0" w:line="79" w:lineRule="exact"/>
              <w:rPr>
                <w:sz w:val="20"/>
                <w:szCs w:val="20"/>
                <w:color w:val="auto"/>
              </w:rPr>
            </w:pPr>
            <w:r>
              <w:rPr>
                <w:rFonts w:ascii="Arial" w:cs="Arial" w:eastAsia="Arial" w:hAnsi="Arial"/>
                <w:sz w:val="9"/>
                <w:szCs w:val="9"/>
                <w:b w:val="1"/>
                <w:bCs w:val="1"/>
                <w:color w:val="auto"/>
                <w:w w:val="88"/>
              </w:rPr>
              <w:t>Year Ended</w:t>
            </w: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2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35"/>
              <w:spacing w:after="0"/>
              <w:rPr>
                <w:sz w:val="20"/>
                <w:szCs w:val="20"/>
                <w:color w:val="auto"/>
              </w:rPr>
            </w:pPr>
            <w:r>
              <w:rPr>
                <w:rFonts w:ascii="Arial" w:cs="Arial" w:eastAsia="Arial" w:hAnsi="Arial"/>
                <w:sz w:val="9"/>
                <w:szCs w:val="9"/>
                <w:b w:val="1"/>
                <w:bCs w:val="1"/>
                <w:color w:val="auto"/>
                <w:w w:val="91"/>
              </w:rPr>
              <w:t>December 31, 2018</w:t>
            </w:r>
          </w:p>
        </w:tc>
        <w:tc>
          <w:tcPr>
            <w:tcW w:w="60" w:type="dxa"/>
            <w:vAlign w:val="bottom"/>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center"/>
              <w:ind w:right="97"/>
              <w:spacing w:after="0"/>
              <w:rPr>
                <w:sz w:val="20"/>
                <w:szCs w:val="20"/>
                <w:color w:val="auto"/>
              </w:rPr>
            </w:pPr>
            <w:r>
              <w:rPr>
                <w:rFonts w:ascii="Arial" w:cs="Arial" w:eastAsia="Arial" w:hAnsi="Arial"/>
                <w:sz w:val="9"/>
                <w:szCs w:val="9"/>
                <w:b w:val="1"/>
                <w:bCs w:val="1"/>
                <w:color w:val="auto"/>
                <w:w w:val="90"/>
              </w:rPr>
              <w:t>September 30, 2018</w:t>
            </w:r>
          </w:p>
        </w:tc>
        <w:tc>
          <w:tcPr>
            <w:tcW w:w="100" w:type="dxa"/>
            <w:vAlign w:val="bottom"/>
          </w:tcPr>
          <w:p>
            <w:pPr>
              <w:spacing w:after="0"/>
              <w:rPr>
                <w:sz w:val="9"/>
                <w:szCs w:val="9"/>
                <w:color w:val="auto"/>
              </w:rPr>
            </w:pPr>
          </w:p>
        </w:tc>
        <w:tc>
          <w:tcPr>
            <w:tcW w:w="10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tcPr>
          <w:p>
            <w:pPr>
              <w:spacing w:after="0"/>
              <w:rPr>
                <w:sz w:val="20"/>
                <w:szCs w:val="20"/>
                <w:color w:val="auto"/>
              </w:rPr>
            </w:pPr>
            <w:r>
              <w:rPr>
                <w:rFonts w:ascii="Arial" w:cs="Arial" w:eastAsia="Arial" w:hAnsi="Arial"/>
                <w:sz w:val="9"/>
                <w:szCs w:val="9"/>
                <w:b w:val="1"/>
                <w:bCs w:val="1"/>
                <w:color w:val="auto"/>
                <w:w w:val="88"/>
              </w:rPr>
              <w:t>December 31, 2018</w:t>
            </w:r>
          </w:p>
        </w:tc>
        <w:tc>
          <w:tcPr>
            <w:tcW w:w="340" w:type="dxa"/>
            <w:vAlign w:val="bottom"/>
            <w:tcBorders>
              <w:right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3"/>
          </w:tcPr>
          <w:p>
            <w:pPr>
              <w:jc w:val="center"/>
              <w:ind w:right="17"/>
              <w:spacing w:after="0"/>
              <w:rPr>
                <w:sz w:val="20"/>
                <w:szCs w:val="20"/>
                <w:color w:val="auto"/>
              </w:rPr>
            </w:pPr>
            <w:r>
              <w:rPr>
                <w:rFonts w:ascii="Arial" w:cs="Arial" w:eastAsia="Arial" w:hAnsi="Arial"/>
                <w:sz w:val="9"/>
                <w:szCs w:val="9"/>
                <w:b w:val="1"/>
                <w:bCs w:val="1"/>
                <w:color w:val="auto"/>
                <w:w w:val="88"/>
              </w:rPr>
              <w:t>December 31, 2017</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4"/>
          </w:tcPr>
          <w:p>
            <w:pPr>
              <w:jc w:val="right"/>
              <w:ind w:right="440"/>
              <w:spacing w:after="0"/>
              <w:rPr>
                <w:sz w:val="20"/>
                <w:szCs w:val="20"/>
                <w:color w:val="auto"/>
              </w:rPr>
            </w:pPr>
            <w:r>
              <w:rPr>
                <w:rFonts w:ascii="Arial" w:cs="Arial" w:eastAsia="Arial" w:hAnsi="Arial"/>
                <w:sz w:val="9"/>
                <w:szCs w:val="9"/>
                <w:b w:val="1"/>
                <w:bCs w:val="1"/>
                <w:color w:val="auto"/>
                <w:w w:val="88"/>
              </w:rPr>
              <w:t>Year Ended December 31, 2017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gridSpan w:val="3"/>
          </w:tcPr>
          <w:p>
            <w:pPr>
              <w:jc w:val="right"/>
              <w:ind w:right="172"/>
              <w:spacing w:after="0" w:line="79" w:lineRule="exact"/>
              <w:rPr>
                <w:sz w:val="20"/>
                <w:szCs w:val="20"/>
                <w:color w:val="auto"/>
              </w:rPr>
            </w:pPr>
            <w:r>
              <w:rPr>
                <w:rFonts w:ascii="Arial" w:cs="Arial" w:eastAsia="Arial" w:hAnsi="Arial"/>
                <w:sz w:val="9"/>
                <w:szCs w:val="9"/>
                <w:b w:val="1"/>
                <w:bCs w:val="1"/>
                <w:color w:val="auto"/>
                <w:w w:val="96"/>
              </w:rPr>
              <w:t>% of Gross</w:t>
            </w:r>
          </w:p>
        </w:tc>
        <w:tc>
          <w:tcPr>
            <w:tcW w:w="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jc w:val="right"/>
              <w:ind w:right="17"/>
              <w:spacing w:after="0" w:line="79" w:lineRule="exact"/>
              <w:rPr>
                <w:sz w:val="20"/>
                <w:szCs w:val="20"/>
                <w:color w:val="auto"/>
              </w:rPr>
            </w:pPr>
            <w:r>
              <w:rPr>
                <w:rFonts w:ascii="Arial" w:cs="Arial" w:eastAsia="Arial" w:hAnsi="Arial"/>
                <w:sz w:val="9"/>
                <w:szCs w:val="9"/>
                <w:b w:val="1"/>
                <w:bCs w:val="1"/>
                <w:color w:val="auto"/>
                <w:w w:val="96"/>
              </w:rPr>
              <w:t>% of Gross</w:t>
            </w:r>
          </w:p>
        </w:tc>
        <w:tc>
          <w:tcPr>
            <w:tcW w:w="1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55"/>
              <w:spacing w:after="0"/>
              <w:rPr>
                <w:sz w:val="20"/>
                <w:szCs w:val="20"/>
                <w:color w:val="auto"/>
              </w:rPr>
            </w:pPr>
            <w:r>
              <w:rPr>
                <w:rFonts w:ascii="Arial" w:cs="Arial" w:eastAsia="Arial" w:hAnsi="Arial"/>
                <w:sz w:val="9"/>
                <w:szCs w:val="9"/>
                <w:b w:val="1"/>
                <w:bCs w:val="1"/>
                <w:color w:val="auto"/>
                <w:w w:val="78"/>
              </w:rPr>
              <w:t>$</w:t>
            </w:r>
          </w:p>
        </w:tc>
        <w:tc>
          <w:tcPr>
            <w:tcW w:w="60" w:type="dxa"/>
            <w:vAlign w:val="bottom"/>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jc w:val="center"/>
              <w:ind w:right="97"/>
              <w:spacing w:after="0"/>
              <w:rPr>
                <w:sz w:val="20"/>
                <w:szCs w:val="20"/>
                <w:color w:val="auto"/>
              </w:rPr>
            </w:pPr>
            <w:r>
              <w:rPr>
                <w:rFonts w:ascii="Arial" w:cs="Arial" w:eastAsia="Arial" w:hAnsi="Arial"/>
                <w:sz w:val="9"/>
                <w:szCs w:val="9"/>
                <w:b w:val="1"/>
                <w:bCs w:val="1"/>
                <w:color w:val="auto"/>
                <w:w w:val="78"/>
              </w:rPr>
              <w:t>$</w:t>
            </w:r>
          </w:p>
        </w:tc>
        <w:tc>
          <w:tcPr>
            <w:tcW w:w="100" w:type="dxa"/>
            <w:vAlign w:val="bottom"/>
          </w:tcPr>
          <w:p>
            <w:pPr>
              <w:spacing w:after="0"/>
              <w:rPr>
                <w:sz w:val="9"/>
                <w:szCs w:val="9"/>
                <w:color w:val="auto"/>
              </w:rPr>
            </w:pPr>
          </w:p>
        </w:tc>
        <w:tc>
          <w:tcPr>
            <w:tcW w:w="100" w:type="dxa"/>
            <w:vAlign w:val="bottom"/>
            <w:tcBorders>
              <w:left w:val="single" w:sz="8" w:color="auto"/>
            </w:tcBorders>
          </w:tcPr>
          <w:p>
            <w:pPr>
              <w:spacing w:after="0"/>
              <w:rPr>
                <w:sz w:val="9"/>
                <w:szCs w:val="9"/>
                <w:color w:val="auto"/>
              </w:rPr>
            </w:pPr>
          </w:p>
        </w:tc>
        <w:tc>
          <w:tcPr>
            <w:tcW w:w="420" w:type="dxa"/>
            <w:vAlign w:val="bottom"/>
            <w:gridSpan w:val="2"/>
          </w:tcPr>
          <w:p>
            <w:pPr>
              <w:jc w:val="right"/>
              <w:ind w:right="155"/>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680" w:type="dxa"/>
            <w:vAlign w:val="bottom"/>
            <w:tcBorders>
              <w:right w:val="single" w:sz="8" w:color="auto"/>
            </w:tcBorders>
            <w:gridSpan w:val="3"/>
          </w:tcPr>
          <w:p>
            <w:pPr>
              <w:jc w:val="right"/>
              <w:ind w:right="212"/>
              <w:spacing w:after="0"/>
              <w:rPr>
                <w:sz w:val="20"/>
                <w:szCs w:val="20"/>
                <w:color w:val="auto"/>
              </w:rPr>
            </w:pPr>
            <w:r>
              <w:rPr>
                <w:rFonts w:ascii="Arial" w:cs="Arial" w:eastAsia="Arial" w:hAnsi="Arial"/>
                <w:sz w:val="9"/>
                <w:szCs w:val="9"/>
                <w:b w:val="1"/>
                <w:bCs w:val="1"/>
                <w:color w:val="auto"/>
              </w:rPr>
              <w:t>Revenue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ind w:right="137"/>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9"/>
                <w:szCs w:val="9"/>
                <w:color w:val="auto"/>
              </w:rPr>
            </w:pPr>
          </w:p>
        </w:tc>
        <w:tc>
          <w:tcPr>
            <w:tcW w:w="700" w:type="dxa"/>
            <w:vAlign w:val="bottom"/>
            <w:gridSpan w:val="2"/>
          </w:tcPr>
          <w:p>
            <w:pPr>
              <w:jc w:val="right"/>
              <w:ind w:right="226"/>
              <w:spacing w:after="0"/>
              <w:rPr>
                <w:sz w:val="20"/>
                <w:szCs w:val="20"/>
                <w:color w:val="auto"/>
              </w:rPr>
            </w:pPr>
            <w:r>
              <w:rPr>
                <w:rFonts w:ascii="Arial" w:cs="Arial" w:eastAsia="Arial" w:hAnsi="Arial"/>
                <w:sz w:val="9"/>
                <w:szCs w:val="9"/>
                <w:b w:val="1"/>
                <w:bCs w:val="1"/>
                <w:color w:val="auto"/>
              </w:rPr>
              <w:t>Revenue</w:t>
            </w:r>
          </w:p>
        </w:tc>
        <w:tc>
          <w:tcPr>
            <w:tcW w:w="400" w:type="dxa"/>
            <w:vAlign w:val="bottom"/>
            <w:gridSpan w:val="2"/>
          </w:tcPr>
          <w:p>
            <w:pPr>
              <w:jc w:val="right"/>
              <w:spacing w:after="0"/>
              <w:rPr>
                <w:sz w:val="20"/>
                <w:szCs w:val="20"/>
                <w:color w:val="auto"/>
              </w:rPr>
            </w:pPr>
            <w:r>
              <w:rPr>
                <w:rFonts w:ascii="Arial" w:cs="Arial" w:eastAsia="Arial" w:hAnsi="Arial"/>
                <w:sz w:val="9"/>
                <w:szCs w:val="9"/>
                <w:b w:val="1"/>
                <w:bCs w:val="1"/>
                <w:color w:val="auto"/>
              </w:rPr>
              <w:t>$</w:t>
            </w:r>
          </w:p>
        </w:tc>
        <w:tc>
          <w:tcPr>
            <w:tcW w:w="780" w:type="dxa"/>
            <w:vAlign w:val="bottom"/>
            <w:gridSpan w:val="3"/>
          </w:tcPr>
          <w:p>
            <w:pPr>
              <w:ind w:left="20"/>
              <w:spacing w:after="0"/>
              <w:rPr>
                <w:sz w:val="20"/>
                <w:szCs w:val="20"/>
                <w:color w:val="auto"/>
              </w:rPr>
            </w:pPr>
            <w:r>
              <w:rPr>
                <w:rFonts w:ascii="Arial" w:cs="Arial" w:eastAsia="Arial" w:hAnsi="Arial"/>
                <w:sz w:val="9"/>
                <w:szCs w:val="9"/>
                <w:b w:val="1"/>
                <w:bCs w:val="1"/>
                <w:color w:val="auto"/>
              </w:rPr>
              <w:t>Change</w:t>
            </w:r>
          </w:p>
        </w:tc>
        <w:tc>
          <w:tcPr>
            <w:tcW w:w="92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 Change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left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080" w:type="dxa"/>
            <w:vAlign w:val="bottom"/>
            <w:shd w:val="clear" w:color="auto" w:fill="CCEEFF"/>
          </w:tcPr>
          <w:p>
            <w:pPr>
              <w:spacing w:after="0" w:line="95" w:lineRule="exact"/>
              <w:rPr>
                <w:sz w:val="20"/>
                <w:szCs w:val="20"/>
                <w:color w:val="auto"/>
              </w:rPr>
            </w:pPr>
            <w:r>
              <w:rPr>
                <w:rFonts w:ascii="Arial" w:cs="Arial" w:eastAsia="Arial" w:hAnsi="Arial"/>
                <w:sz w:val="9"/>
                <w:szCs w:val="9"/>
                <w:b w:val="1"/>
                <w:bCs w:val="1"/>
                <w:color w:val="auto"/>
              </w:rPr>
              <w:t>Revenues</w:t>
            </w: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tcBorders>
              <w:lef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lef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80" w:type="dxa"/>
            <w:vAlign w:val="bottom"/>
          </w:tcPr>
          <w:p>
            <w:pPr>
              <w:spacing w:after="0" w:line="75" w:lineRule="exact"/>
              <w:rPr>
                <w:sz w:val="20"/>
                <w:szCs w:val="20"/>
                <w:color w:val="auto"/>
              </w:rPr>
            </w:pPr>
            <w:r>
              <w:rPr>
                <w:rFonts w:ascii="Arial" w:cs="Arial" w:eastAsia="Arial" w:hAnsi="Arial"/>
                <w:sz w:val="7"/>
                <w:szCs w:val="7"/>
                <w:color w:val="auto"/>
              </w:rPr>
              <w:t xml:space="preserve">Transaction fees </w:t>
            </w:r>
            <w:r>
              <w:rPr>
                <w:rFonts w:ascii="Arial" w:cs="Arial" w:eastAsia="Arial" w:hAnsi="Arial"/>
                <w:sz w:val="8"/>
                <w:szCs w:val="8"/>
                <w:color w:val="auto"/>
                <w:vertAlign w:val="subscript"/>
              </w:rPr>
              <w:t>(2)</w:t>
            </w:r>
          </w:p>
        </w:tc>
        <w:tc>
          <w:tcPr>
            <w:tcW w:w="1000" w:type="dxa"/>
            <w:vAlign w:val="bottom"/>
            <w:gridSpan w:val="2"/>
          </w:tcPr>
          <w:p>
            <w:pPr>
              <w:jc w:val="right"/>
              <w:spacing w:after="0" w:line="75" w:lineRule="exact"/>
              <w:rPr>
                <w:sz w:val="20"/>
                <w:szCs w:val="20"/>
                <w:color w:val="auto"/>
              </w:rPr>
            </w:pPr>
            <w:r>
              <w:rPr>
                <w:rFonts w:ascii="Arial" w:cs="Arial" w:eastAsia="Arial" w:hAnsi="Arial"/>
                <w:sz w:val="8"/>
                <w:szCs w:val="8"/>
                <w:color w:val="auto"/>
              </w:rPr>
              <w:t>$</w:t>
            </w:r>
          </w:p>
        </w:tc>
        <w:tc>
          <w:tcPr>
            <w:tcW w:w="820" w:type="dxa"/>
            <w:vAlign w:val="bottom"/>
            <w:gridSpan w:val="2"/>
          </w:tcPr>
          <w:p>
            <w:pPr>
              <w:jc w:val="right"/>
              <w:spacing w:after="0" w:line="75" w:lineRule="exact"/>
              <w:rPr>
                <w:sz w:val="20"/>
                <w:szCs w:val="20"/>
                <w:color w:val="auto"/>
              </w:rPr>
            </w:pPr>
            <w:r>
              <w:rPr>
                <w:rFonts w:ascii="Arial" w:cs="Arial" w:eastAsia="Arial" w:hAnsi="Arial"/>
                <w:sz w:val="8"/>
                <w:szCs w:val="8"/>
                <w:color w:val="auto"/>
              </w:rPr>
              <w:t>97,130</w:t>
            </w:r>
          </w:p>
        </w:tc>
        <w:tc>
          <w:tcPr>
            <w:tcW w:w="60" w:type="dxa"/>
            <w:vAlign w:val="bottom"/>
          </w:tcPr>
          <w:p>
            <w:pPr>
              <w:spacing w:after="0"/>
              <w:rPr>
                <w:sz w:val="8"/>
                <w:szCs w:val="8"/>
                <w:color w:val="auto"/>
              </w:rPr>
            </w:pPr>
          </w:p>
        </w:tc>
        <w:tc>
          <w:tcPr>
            <w:tcW w:w="120" w:type="dxa"/>
            <w:vAlign w:val="bottom"/>
            <w:tcBorders>
              <w:left w:val="single" w:sz="8" w:color="auto"/>
            </w:tcBorders>
          </w:tcPr>
          <w:p>
            <w:pPr>
              <w:spacing w:after="0"/>
              <w:rPr>
                <w:sz w:val="8"/>
                <w:szCs w:val="8"/>
                <w:color w:val="auto"/>
              </w:rPr>
            </w:pPr>
          </w:p>
        </w:tc>
        <w:tc>
          <w:tcPr>
            <w:tcW w:w="140" w:type="dxa"/>
            <w:vAlign w:val="bottom"/>
          </w:tcPr>
          <w:p>
            <w:pPr>
              <w:jc w:val="right"/>
              <w:ind w:right="21"/>
              <w:spacing w:after="0" w:line="75" w:lineRule="exact"/>
              <w:rPr>
                <w:sz w:val="20"/>
                <w:szCs w:val="20"/>
                <w:color w:val="auto"/>
              </w:rPr>
            </w:pPr>
            <w:r>
              <w:rPr>
                <w:rFonts w:ascii="Arial" w:cs="Arial" w:eastAsia="Arial" w:hAnsi="Arial"/>
                <w:sz w:val="8"/>
                <w:szCs w:val="8"/>
                <w:color w:val="auto"/>
              </w:rPr>
              <w:t>$</w:t>
            </w:r>
          </w:p>
        </w:tc>
        <w:tc>
          <w:tcPr>
            <w:tcW w:w="980" w:type="dxa"/>
            <w:vAlign w:val="bottom"/>
          </w:tcPr>
          <w:p>
            <w:pPr>
              <w:jc w:val="right"/>
              <w:spacing w:after="0" w:line="75" w:lineRule="exact"/>
              <w:rPr>
                <w:sz w:val="20"/>
                <w:szCs w:val="20"/>
                <w:color w:val="auto"/>
              </w:rPr>
            </w:pPr>
            <w:r>
              <w:rPr>
                <w:rFonts w:ascii="Arial" w:cs="Arial" w:eastAsia="Arial" w:hAnsi="Arial"/>
                <w:sz w:val="8"/>
                <w:szCs w:val="8"/>
                <w:color w:val="auto"/>
              </w:rPr>
              <w:t>273,751</w:t>
            </w:r>
          </w:p>
        </w:tc>
        <w:tc>
          <w:tcPr>
            <w:tcW w:w="100" w:type="dxa"/>
            <w:vAlign w:val="bottom"/>
          </w:tcPr>
          <w:p>
            <w:pPr>
              <w:spacing w:after="0"/>
              <w:rPr>
                <w:sz w:val="8"/>
                <w:szCs w:val="8"/>
                <w:color w:val="auto"/>
              </w:rPr>
            </w:pPr>
          </w:p>
        </w:tc>
        <w:tc>
          <w:tcPr>
            <w:tcW w:w="100" w:type="dxa"/>
            <w:vAlign w:val="bottom"/>
            <w:tcBorders>
              <w:left w:val="single" w:sz="8" w:color="auto"/>
            </w:tcBorders>
          </w:tcPr>
          <w:p>
            <w:pPr>
              <w:spacing w:after="0"/>
              <w:rPr>
                <w:sz w:val="8"/>
                <w:szCs w:val="8"/>
                <w:color w:val="auto"/>
              </w:rPr>
            </w:pPr>
          </w:p>
        </w:tc>
        <w:tc>
          <w:tcPr>
            <w:tcW w:w="420" w:type="dxa"/>
            <w:vAlign w:val="bottom"/>
            <w:gridSpan w:val="2"/>
          </w:tcPr>
          <w:p>
            <w:pPr>
              <w:jc w:val="right"/>
              <w:spacing w:after="0" w:line="75" w:lineRule="exact"/>
              <w:rPr>
                <w:sz w:val="20"/>
                <w:szCs w:val="20"/>
                <w:color w:val="auto"/>
              </w:rPr>
            </w:pPr>
            <w:r>
              <w:rPr>
                <w:rFonts w:ascii="Arial" w:cs="Arial" w:eastAsia="Arial" w:hAnsi="Arial"/>
                <w:sz w:val="8"/>
                <w:szCs w:val="8"/>
                <w:color w:val="auto"/>
              </w:rPr>
              <w:t>370,881</w:t>
            </w:r>
          </w:p>
        </w:tc>
        <w:tc>
          <w:tcPr>
            <w:tcW w:w="80" w:type="dxa"/>
            <w:vAlign w:val="bottom"/>
          </w:tcPr>
          <w:p>
            <w:pPr>
              <w:spacing w:after="0"/>
              <w:rPr>
                <w:sz w:val="8"/>
                <w:szCs w:val="8"/>
                <w:color w:val="auto"/>
              </w:rPr>
            </w:pPr>
          </w:p>
        </w:tc>
        <w:tc>
          <w:tcPr>
            <w:tcW w:w="680" w:type="dxa"/>
            <w:vAlign w:val="bottom"/>
            <w:tcBorders>
              <w:right w:val="single" w:sz="8" w:color="auto"/>
            </w:tcBorders>
            <w:gridSpan w:val="3"/>
          </w:tcPr>
          <w:p>
            <w:pPr>
              <w:jc w:val="right"/>
              <w:ind w:right="52"/>
              <w:spacing w:after="0" w:line="75" w:lineRule="exact"/>
              <w:rPr>
                <w:sz w:val="20"/>
                <w:szCs w:val="20"/>
                <w:color w:val="auto"/>
              </w:rPr>
            </w:pPr>
            <w:r>
              <w:rPr>
                <w:rFonts w:ascii="Arial" w:cs="Arial" w:eastAsia="Arial" w:hAnsi="Arial"/>
                <w:sz w:val="8"/>
                <w:szCs w:val="8"/>
                <w:color w:val="auto"/>
              </w:rPr>
              <w:t>54.2 %</w:t>
            </w:r>
          </w:p>
        </w:tc>
        <w:tc>
          <w:tcPr>
            <w:tcW w:w="20" w:type="dxa"/>
            <w:vAlign w:val="bottom"/>
          </w:tcPr>
          <w:p>
            <w:pPr>
              <w:spacing w:after="0"/>
              <w:rPr>
                <w:sz w:val="8"/>
                <w:szCs w:val="8"/>
                <w:color w:val="auto"/>
              </w:rPr>
            </w:pPr>
          </w:p>
        </w:tc>
        <w:tc>
          <w:tcPr>
            <w:tcW w:w="60" w:type="dxa"/>
            <w:vAlign w:val="bottom"/>
          </w:tcPr>
          <w:p>
            <w:pPr>
              <w:jc w:val="right"/>
              <w:spacing w:after="0" w:line="75" w:lineRule="exact"/>
              <w:rPr>
                <w:sz w:val="20"/>
                <w:szCs w:val="20"/>
                <w:color w:val="auto"/>
              </w:rPr>
            </w:pPr>
            <w:r>
              <w:rPr>
                <w:rFonts w:ascii="Arial" w:cs="Arial" w:eastAsia="Arial" w:hAnsi="Arial"/>
                <w:sz w:val="8"/>
                <w:szCs w:val="8"/>
                <w:color w:val="auto"/>
                <w:w w:val="88"/>
              </w:rPr>
              <w:t>$</w:t>
            </w:r>
          </w:p>
        </w:tc>
        <w:tc>
          <w:tcPr>
            <w:tcW w:w="420" w:type="dxa"/>
            <w:vAlign w:val="bottom"/>
          </w:tcPr>
          <w:p>
            <w:pPr>
              <w:jc w:val="right"/>
              <w:spacing w:after="0" w:line="75" w:lineRule="exact"/>
              <w:rPr>
                <w:sz w:val="20"/>
                <w:szCs w:val="20"/>
                <w:color w:val="auto"/>
              </w:rPr>
            </w:pPr>
            <w:r>
              <w:rPr>
                <w:rFonts w:ascii="Arial" w:cs="Arial" w:eastAsia="Arial" w:hAnsi="Arial"/>
                <w:sz w:val="8"/>
                <w:szCs w:val="8"/>
                <w:color w:val="auto"/>
              </w:rPr>
              <w:t>267,020</w:t>
            </w:r>
          </w:p>
        </w:tc>
        <w:tc>
          <w:tcPr>
            <w:tcW w:w="100" w:type="dxa"/>
            <w:vAlign w:val="bottom"/>
          </w:tcPr>
          <w:p>
            <w:pPr>
              <w:spacing w:after="0"/>
              <w:rPr>
                <w:sz w:val="8"/>
                <w:szCs w:val="8"/>
                <w:color w:val="auto"/>
              </w:rPr>
            </w:pPr>
          </w:p>
        </w:tc>
        <w:tc>
          <w:tcPr>
            <w:tcW w:w="700" w:type="dxa"/>
            <w:vAlign w:val="bottom"/>
            <w:gridSpan w:val="2"/>
          </w:tcPr>
          <w:p>
            <w:pPr>
              <w:jc w:val="right"/>
              <w:ind w:right="46"/>
              <w:spacing w:after="0" w:line="75" w:lineRule="exact"/>
              <w:rPr>
                <w:sz w:val="20"/>
                <w:szCs w:val="20"/>
                <w:color w:val="auto"/>
              </w:rPr>
            </w:pPr>
            <w:r>
              <w:rPr>
                <w:rFonts w:ascii="Arial" w:cs="Arial" w:eastAsia="Arial" w:hAnsi="Arial"/>
                <w:sz w:val="8"/>
                <w:szCs w:val="8"/>
                <w:color w:val="auto"/>
              </w:rPr>
              <w:t>47.4 %</w:t>
            </w:r>
          </w:p>
        </w:tc>
        <w:tc>
          <w:tcPr>
            <w:tcW w:w="180" w:type="dxa"/>
            <w:vAlign w:val="bottom"/>
          </w:tcPr>
          <w:p>
            <w:pPr>
              <w:jc w:val="right"/>
              <w:ind w:right="19"/>
              <w:spacing w:after="0" w:line="75"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8"/>
                <w:szCs w:val="8"/>
                <w:color w:val="auto"/>
              </w:rPr>
            </w:pPr>
          </w:p>
        </w:tc>
        <w:tc>
          <w:tcPr>
            <w:tcW w:w="640" w:type="dxa"/>
            <w:vAlign w:val="bottom"/>
            <w:gridSpan w:val="2"/>
          </w:tcPr>
          <w:p>
            <w:pPr>
              <w:jc w:val="right"/>
              <w:spacing w:after="0" w:line="75" w:lineRule="exact"/>
              <w:rPr>
                <w:sz w:val="20"/>
                <w:szCs w:val="20"/>
                <w:color w:val="auto"/>
              </w:rPr>
            </w:pPr>
            <w:r>
              <w:rPr>
                <w:rFonts w:ascii="Arial" w:cs="Arial" w:eastAsia="Arial" w:hAnsi="Arial"/>
                <w:sz w:val="8"/>
                <w:szCs w:val="8"/>
                <w:color w:val="auto"/>
              </w:rPr>
              <w:t>103,861</w:t>
            </w:r>
          </w:p>
        </w:tc>
        <w:tc>
          <w:tcPr>
            <w:tcW w:w="140" w:type="dxa"/>
            <w:vAlign w:val="bottom"/>
          </w:tcPr>
          <w:p>
            <w:pPr>
              <w:spacing w:after="0"/>
              <w:rPr>
                <w:sz w:val="8"/>
                <w:szCs w:val="8"/>
                <w:color w:val="auto"/>
              </w:rPr>
            </w:pPr>
          </w:p>
        </w:tc>
        <w:tc>
          <w:tcPr>
            <w:tcW w:w="920" w:type="dxa"/>
            <w:vAlign w:val="bottom"/>
            <w:gridSpan w:val="2"/>
          </w:tcPr>
          <w:p>
            <w:pPr>
              <w:jc w:val="right"/>
              <w:ind w:right="40"/>
              <w:spacing w:after="0" w:line="75" w:lineRule="exact"/>
              <w:rPr>
                <w:sz w:val="20"/>
                <w:szCs w:val="20"/>
                <w:color w:val="auto"/>
              </w:rPr>
            </w:pPr>
            <w:r>
              <w:rPr>
                <w:rFonts w:ascii="Arial" w:cs="Arial" w:eastAsia="Arial" w:hAnsi="Arial"/>
                <w:sz w:val="8"/>
                <w:szCs w:val="8"/>
                <w:color w:val="auto"/>
              </w:rPr>
              <w:t>38.9</w:t>
            </w:r>
          </w:p>
        </w:tc>
        <w:tc>
          <w:tcPr>
            <w:tcW w:w="80" w:type="dxa"/>
            <w:vAlign w:val="bottom"/>
          </w:tcPr>
          <w:p>
            <w:pPr>
              <w:jc w:val="right"/>
              <w:spacing w:after="0" w:line="75" w:lineRule="exact"/>
              <w:rPr>
                <w:sz w:val="20"/>
                <w:szCs w:val="20"/>
                <w:color w:val="auto"/>
              </w:rPr>
            </w:pPr>
            <w:r>
              <w:rPr>
                <w:rFonts w:ascii="Arial" w:cs="Arial" w:eastAsia="Arial" w:hAnsi="Arial"/>
                <w:sz w:val="8"/>
                <w:szCs w:val="8"/>
                <w:color w:val="auto"/>
                <w:w w:val="83"/>
              </w:rPr>
              <w:t>%</w:t>
            </w:r>
          </w:p>
        </w:tc>
        <w:tc>
          <w:tcPr>
            <w:tcW w:w="0" w:type="dxa"/>
            <w:vAlign w:val="bottom"/>
          </w:tcPr>
          <w:p>
            <w:pPr>
              <w:spacing w:after="0"/>
              <w:rPr>
                <w:sz w:val="1"/>
                <w:szCs w:val="1"/>
                <w:color w:val="auto"/>
              </w:rPr>
            </w:pPr>
          </w:p>
        </w:tc>
      </w:tr>
      <w:tr>
        <w:trPr>
          <w:trHeight w:val="95"/>
        </w:trPr>
        <w:tc>
          <w:tcPr>
            <w:tcW w:w="10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Subscription fees</w:t>
            </w: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46,519</w:t>
            </w:r>
          </w:p>
        </w:tc>
        <w:tc>
          <w:tcPr>
            <w:tcW w:w="60" w:type="dxa"/>
            <w:vAlign w:val="bottom"/>
            <w:shd w:val="clear" w:color="auto" w:fill="CCEEFF"/>
          </w:tcPr>
          <w:p>
            <w:pPr>
              <w:spacing w:after="0"/>
              <w:rPr>
                <w:sz w:val="8"/>
                <w:szCs w:val="8"/>
                <w:color w:val="auto"/>
              </w:rPr>
            </w:pPr>
          </w:p>
        </w:tc>
        <w:tc>
          <w:tcPr>
            <w:tcW w:w="120" w:type="dxa"/>
            <w:vAlign w:val="bottom"/>
            <w:tcBorders>
              <w:lef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143,981</w:t>
            </w:r>
          </w:p>
        </w:tc>
        <w:tc>
          <w:tcPr>
            <w:tcW w:w="100" w:type="dxa"/>
            <w:vAlign w:val="bottom"/>
            <w:shd w:val="clear" w:color="auto" w:fill="CCEEFF"/>
          </w:tcPr>
          <w:p>
            <w:pPr>
              <w:spacing w:after="0"/>
              <w:rPr>
                <w:sz w:val="8"/>
                <w:szCs w:val="8"/>
                <w:color w:val="auto"/>
              </w:rPr>
            </w:pPr>
          </w:p>
        </w:tc>
        <w:tc>
          <w:tcPr>
            <w:tcW w:w="100" w:type="dxa"/>
            <w:vAlign w:val="bottom"/>
            <w:tcBorders>
              <w:left w:val="single" w:sz="8" w:color="auto"/>
            </w:tcBorders>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190,500</w:t>
            </w:r>
          </w:p>
        </w:tc>
        <w:tc>
          <w:tcPr>
            <w:tcW w:w="80" w:type="dxa"/>
            <w:vAlign w:val="bottom"/>
            <w:shd w:val="clear" w:color="auto" w:fill="CCEEFF"/>
          </w:tcPr>
          <w:p>
            <w:pPr>
              <w:spacing w:after="0"/>
              <w:rPr>
                <w:sz w:val="8"/>
                <w:szCs w:val="8"/>
                <w:color w:val="auto"/>
              </w:rPr>
            </w:pPr>
          </w:p>
        </w:tc>
        <w:tc>
          <w:tcPr>
            <w:tcW w:w="680" w:type="dxa"/>
            <w:vAlign w:val="bottom"/>
            <w:tcBorders>
              <w:right w:val="single" w:sz="8" w:color="auto"/>
            </w:tcBorders>
            <w:gridSpan w:val="3"/>
            <w:shd w:val="clear" w:color="auto" w:fill="CCEEFF"/>
          </w:tcPr>
          <w:p>
            <w:pPr>
              <w:jc w:val="right"/>
              <w:ind w:right="52"/>
              <w:spacing w:after="0" w:line="95" w:lineRule="exact"/>
              <w:rPr>
                <w:sz w:val="20"/>
                <w:szCs w:val="20"/>
                <w:color w:val="auto"/>
              </w:rPr>
            </w:pPr>
            <w:r>
              <w:rPr>
                <w:rFonts w:ascii="Arial" w:cs="Arial" w:eastAsia="Arial" w:hAnsi="Arial"/>
                <w:sz w:val="9"/>
                <w:szCs w:val="9"/>
                <w:color w:val="auto"/>
              </w:rPr>
              <w:t>27.8 %</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194,534</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6"/>
              <w:spacing w:after="0" w:line="95" w:lineRule="exact"/>
              <w:rPr>
                <w:sz w:val="20"/>
                <w:szCs w:val="20"/>
                <w:color w:val="auto"/>
              </w:rPr>
            </w:pPr>
            <w:r>
              <w:rPr>
                <w:rFonts w:ascii="Arial" w:cs="Arial" w:eastAsia="Arial" w:hAnsi="Arial"/>
                <w:sz w:val="9"/>
                <w:szCs w:val="9"/>
                <w:color w:val="auto"/>
              </w:rPr>
              <w:t>34.6 %</w:t>
            </w: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gridSpan w:val="3"/>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(4,034)</w:t>
            </w:r>
          </w:p>
        </w:tc>
        <w:tc>
          <w:tcPr>
            <w:tcW w:w="1000" w:type="dxa"/>
            <w:vAlign w:val="bottom"/>
            <w:gridSpan w:val="3"/>
            <w:shd w:val="clear" w:color="auto" w:fill="CCEEFF"/>
          </w:tcPr>
          <w:p>
            <w:pPr>
              <w:jc w:val="right"/>
              <w:spacing w:after="0" w:line="95" w:lineRule="exact"/>
              <w:rPr>
                <w:sz w:val="20"/>
                <w:szCs w:val="20"/>
                <w:color w:val="auto"/>
              </w:rPr>
            </w:pPr>
            <w:r>
              <w:rPr>
                <w:rFonts w:ascii="Arial" w:cs="Arial" w:eastAsia="Arial" w:hAnsi="Arial"/>
                <w:sz w:val="9"/>
                <w:szCs w:val="9"/>
                <w:color w:val="auto"/>
              </w:rPr>
              <w:t>(2.1)%</w:t>
            </w:r>
          </w:p>
        </w:tc>
        <w:tc>
          <w:tcPr>
            <w:tcW w:w="0" w:type="dxa"/>
            <w:vAlign w:val="bottom"/>
          </w:tcPr>
          <w:p>
            <w:pPr>
              <w:spacing w:after="0"/>
              <w:rPr>
                <w:sz w:val="1"/>
                <w:szCs w:val="1"/>
                <w:color w:val="auto"/>
              </w:rPr>
            </w:pPr>
          </w:p>
        </w:tc>
      </w:tr>
      <w:tr>
        <w:trPr>
          <w:trHeight w:val="95"/>
        </w:trPr>
        <w:tc>
          <w:tcPr>
            <w:tcW w:w="1080" w:type="dxa"/>
            <w:vAlign w:val="bottom"/>
          </w:tcPr>
          <w:p>
            <w:pPr>
              <w:spacing w:after="0" w:line="95" w:lineRule="exact"/>
              <w:rPr>
                <w:sz w:val="20"/>
                <w:szCs w:val="20"/>
                <w:color w:val="auto"/>
              </w:rPr>
            </w:pPr>
            <w:r>
              <w:rPr>
                <w:rFonts w:ascii="Arial" w:cs="Arial" w:eastAsia="Arial" w:hAnsi="Arial"/>
                <w:sz w:val="9"/>
                <w:szCs w:val="9"/>
                <w:color w:val="auto"/>
              </w:rPr>
              <w:t>Commissions</w:t>
            </w: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spacing w:after="0" w:line="95" w:lineRule="exact"/>
              <w:rPr>
                <w:sz w:val="20"/>
                <w:szCs w:val="20"/>
                <w:color w:val="auto"/>
              </w:rPr>
            </w:pPr>
            <w:r>
              <w:rPr>
                <w:rFonts w:ascii="Arial" w:cs="Arial" w:eastAsia="Arial" w:hAnsi="Arial"/>
                <w:sz w:val="9"/>
                <w:szCs w:val="9"/>
                <w:color w:val="auto"/>
              </w:rPr>
              <w:t>32,840</w:t>
            </w:r>
          </w:p>
        </w:tc>
        <w:tc>
          <w:tcPr>
            <w:tcW w:w="60" w:type="dxa"/>
            <w:vAlign w:val="bottom"/>
          </w:tcPr>
          <w:p>
            <w:pPr>
              <w:spacing w:after="0"/>
              <w:rPr>
                <w:sz w:val="8"/>
                <w:szCs w:val="8"/>
                <w:color w:val="auto"/>
              </w:rPr>
            </w:pPr>
          </w:p>
        </w:tc>
        <w:tc>
          <w:tcPr>
            <w:tcW w:w="12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jc w:val="right"/>
              <w:spacing w:after="0" w:line="95" w:lineRule="exact"/>
              <w:rPr>
                <w:sz w:val="20"/>
                <w:szCs w:val="20"/>
                <w:color w:val="auto"/>
              </w:rPr>
            </w:pPr>
            <w:r>
              <w:rPr>
                <w:rFonts w:ascii="Arial" w:cs="Arial" w:eastAsia="Arial" w:hAnsi="Arial"/>
                <w:sz w:val="9"/>
                <w:szCs w:val="9"/>
                <w:color w:val="auto"/>
              </w:rPr>
              <w:t>79,830</w:t>
            </w:r>
          </w:p>
        </w:tc>
        <w:tc>
          <w:tcPr>
            <w:tcW w:w="100" w:type="dxa"/>
            <w:vAlign w:val="bottom"/>
          </w:tcPr>
          <w:p>
            <w:pPr>
              <w:spacing w:after="0"/>
              <w:rPr>
                <w:sz w:val="8"/>
                <w:szCs w:val="8"/>
                <w:color w:val="auto"/>
              </w:rPr>
            </w:pPr>
          </w:p>
        </w:tc>
        <w:tc>
          <w:tcPr>
            <w:tcW w:w="100" w:type="dxa"/>
            <w:vAlign w:val="bottom"/>
            <w:tcBorders>
              <w:left w:val="single" w:sz="8" w:color="auto"/>
            </w:tcBorders>
          </w:tcPr>
          <w:p>
            <w:pPr>
              <w:spacing w:after="0"/>
              <w:rPr>
                <w:sz w:val="8"/>
                <w:szCs w:val="8"/>
                <w:color w:val="auto"/>
              </w:rPr>
            </w:pPr>
          </w:p>
        </w:tc>
        <w:tc>
          <w:tcPr>
            <w:tcW w:w="420" w:type="dxa"/>
            <w:vAlign w:val="bottom"/>
            <w:gridSpan w:val="2"/>
          </w:tcPr>
          <w:p>
            <w:pPr>
              <w:jc w:val="right"/>
              <w:spacing w:after="0" w:line="95" w:lineRule="exact"/>
              <w:rPr>
                <w:sz w:val="20"/>
                <w:szCs w:val="20"/>
                <w:color w:val="auto"/>
              </w:rPr>
            </w:pPr>
            <w:r>
              <w:rPr>
                <w:rFonts w:ascii="Arial" w:cs="Arial" w:eastAsia="Arial" w:hAnsi="Arial"/>
                <w:sz w:val="9"/>
                <w:szCs w:val="9"/>
                <w:color w:val="auto"/>
              </w:rPr>
              <w:t>112,670</w:t>
            </w:r>
          </w:p>
        </w:tc>
        <w:tc>
          <w:tcPr>
            <w:tcW w:w="80" w:type="dxa"/>
            <w:vAlign w:val="bottom"/>
          </w:tcPr>
          <w:p>
            <w:pPr>
              <w:spacing w:after="0"/>
              <w:rPr>
                <w:sz w:val="8"/>
                <w:szCs w:val="8"/>
                <w:color w:val="auto"/>
              </w:rPr>
            </w:pPr>
          </w:p>
        </w:tc>
        <w:tc>
          <w:tcPr>
            <w:tcW w:w="680" w:type="dxa"/>
            <w:vAlign w:val="bottom"/>
            <w:tcBorders>
              <w:right w:val="single" w:sz="8" w:color="auto"/>
            </w:tcBorders>
            <w:gridSpan w:val="3"/>
          </w:tcPr>
          <w:p>
            <w:pPr>
              <w:jc w:val="right"/>
              <w:ind w:right="52"/>
              <w:spacing w:after="0" w:line="95" w:lineRule="exact"/>
              <w:rPr>
                <w:sz w:val="20"/>
                <w:szCs w:val="20"/>
                <w:color w:val="auto"/>
              </w:rPr>
            </w:pPr>
            <w:r>
              <w:rPr>
                <w:rFonts w:ascii="Arial" w:cs="Arial" w:eastAsia="Arial" w:hAnsi="Arial"/>
                <w:sz w:val="9"/>
                <w:szCs w:val="9"/>
                <w:color w:val="auto"/>
              </w:rPr>
              <w:t>16.5 %</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right"/>
              <w:spacing w:after="0" w:line="95" w:lineRule="exact"/>
              <w:rPr>
                <w:sz w:val="20"/>
                <w:szCs w:val="20"/>
                <w:color w:val="auto"/>
              </w:rPr>
            </w:pPr>
            <w:r>
              <w:rPr>
                <w:rFonts w:ascii="Arial" w:cs="Arial" w:eastAsia="Arial" w:hAnsi="Arial"/>
                <w:sz w:val="9"/>
                <w:szCs w:val="9"/>
                <w:color w:val="auto"/>
              </w:rPr>
              <w:t>96,745</w:t>
            </w:r>
          </w:p>
        </w:tc>
        <w:tc>
          <w:tcPr>
            <w:tcW w:w="100" w:type="dxa"/>
            <w:vAlign w:val="bottom"/>
          </w:tcPr>
          <w:p>
            <w:pPr>
              <w:spacing w:after="0"/>
              <w:rPr>
                <w:sz w:val="8"/>
                <w:szCs w:val="8"/>
                <w:color w:val="auto"/>
              </w:rPr>
            </w:pPr>
          </w:p>
        </w:tc>
        <w:tc>
          <w:tcPr>
            <w:tcW w:w="700" w:type="dxa"/>
            <w:vAlign w:val="bottom"/>
            <w:gridSpan w:val="2"/>
          </w:tcPr>
          <w:p>
            <w:pPr>
              <w:jc w:val="right"/>
              <w:ind w:right="46"/>
              <w:spacing w:after="0" w:line="95" w:lineRule="exact"/>
              <w:rPr>
                <w:sz w:val="20"/>
                <w:szCs w:val="20"/>
                <w:color w:val="auto"/>
              </w:rPr>
            </w:pPr>
            <w:r>
              <w:rPr>
                <w:rFonts w:ascii="Arial" w:cs="Arial" w:eastAsia="Arial" w:hAnsi="Arial"/>
                <w:sz w:val="9"/>
                <w:szCs w:val="9"/>
                <w:color w:val="auto"/>
              </w:rPr>
              <w:t>17.2 %</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gridSpan w:val="2"/>
          </w:tcPr>
          <w:p>
            <w:pPr>
              <w:jc w:val="right"/>
              <w:spacing w:after="0" w:line="95" w:lineRule="exact"/>
              <w:rPr>
                <w:sz w:val="20"/>
                <w:szCs w:val="20"/>
                <w:color w:val="auto"/>
              </w:rPr>
            </w:pPr>
            <w:r>
              <w:rPr>
                <w:rFonts w:ascii="Arial" w:cs="Arial" w:eastAsia="Arial" w:hAnsi="Arial"/>
                <w:sz w:val="9"/>
                <w:szCs w:val="9"/>
                <w:color w:val="auto"/>
              </w:rPr>
              <w:t>15,925</w:t>
            </w:r>
          </w:p>
        </w:tc>
        <w:tc>
          <w:tcPr>
            <w:tcW w:w="140" w:type="dxa"/>
            <w:vAlign w:val="bottom"/>
          </w:tcPr>
          <w:p>
            <w:pPr>
              <w:spacing w:after="0"/>
              <w:rPr>
                <w:sz w:val="8"/>
                <w:szCs w:val="8"/>
                <w:color w:val="auto"/>
              </w:rPr>
            </w:pPr>
          </w:p>
        </w:tc>
        <w:tc>
          <w:tcPr>
            <w:tcW w:w="920" w:type="dxa"/>
            <w:vAlign w:val="bottom"/>
            <w:gridSpan w:val="2"/>
          </w:tcPr>
          <w:p>
            <w:pPr>
              <w:jc w:val="right"/>
              <w:ind w:right="40"/>
              <w:spacing w:after="0" w:line="95" w:lineRule="exact"/>
              <w:rPr>
                <w:sz w:val="20"/>
                <w:szCs w:val="20"/>
                <w:color w:val="auto"/>
              </w:rPr>
            </w:pPr>
            <w:r>
              <w:rPr>
                <w:rFonts w:ascii="Arial" w:cs="Arial" w:eastAsia="Arial" w:hAnsi="Arial"/>
                <w:sz w:val="9"/>
                <w:szCs w:val="9"/>
                <w:color w:val="auto"/>
              </w:rPr>
              <w:t>16.5</w:t>
            </w:r>
          </w:p>
        </w:tc>
        <w:tc>
          <w:tcPr>
            <w:tcW w:w="80" w:type="dxa"/>
            <w:vAlign w:val="bottom"/>
          </w:tcPr>
          <w:p>
            <w:pPr>
              <w:jc w:val="right"/>
              <w:spacing w:after="0" w:line="95" w:lineRule="exact"/>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95"/>
        </w:trPr>
        <w:tc>
          <w:tcPr>
            <w:tcW w:w="10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Other</w:t>
            </w: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2,148</w:t>
            </w:r>
          </w:p>
        </w:tc>
        <w:tc>
          <w:tcPr>
            <w:tcW w:w="60" w:type="dxa"/>
            <w:vAlign w:val="bottom"/>
            <w:shd w:val="clear" w:color="auto" w:fill="CCEEFF"/>
          </w:tcPr>
          <w:p>
            <w:pPr>
              <w:spacing w:after="0"/>
              <w:rPr>
                <w:sz w:val="8"/>
                <w:szCs w:val="8"/>
                <w:color w:val="auto"/>
              </w:rPr>
            </w:pPr>
          </w:p>
        </w:tc>
        <w:tc>
          <w:tcPr>
            <w:tcW w:w="120" w:type="dxa"/>
            <w:vAlign w:val="bottom"/>
            <w:tcBorders>
              <w:lef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8,209</w:t>
            </w:r>
          </w:p>
        </w:tc>
        <w:tc>
          <w:tcPr>
            <w:tcW w:w="100" w:type="dxa"/>
            <w:vAlign w:val="bottom"/>
            <w:shd w:val="clear" w:color="auto" w:fill="CCEEFF"/>
          </w:tcPr>
          <w:p>
            <w:pPr>
              <w:spacing w:after="0"/>
              <w:rPr>
                <w:sz w:val="8"/>
                <w:szCs w:val="8"/>
                <w:color w:val="auto"/>
              </w:rPr>
            </w:pPr>
          </w:p>
        </w:tc>
        <w:tc>
          <w:tcPr>
            <w:tcW w:w="100" w:type="dxa"/>
            <w:vAlign w:val="bottom"/>
            <w:tcBorders>
              <w:left w:val="single" w:sz="8" w:color="auto"/>
            </w:tcBorders>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10,357</w:t>
            </w:r>
          </w:p>
        </w:tc>
        <w:tc>
          <w:tcPr>
            <w:tcW w:w="80" w:type="dxa"/>
            <w:vAlign w:val="bottom"/>
            <w:shd w:val="clear" w:color="auto" w:fill="CCEEFF"/>
          </w:tcPr>
          <w:p>
            <w:pPr>
              <w:spacing w:after="0"/>
              <w:rPr>
                <w:sz w:val="8"/>
                <w:szCs w:val="8"/>
                <w:color w:val="auto"/>
              </w:rPr>
            </w:pPr>
          </w:p>
        </w:tc>
        <w:tc>
          <w:tcPr>
            <w:tcW w:w="680" w:type="dxa"/>
            <w:vAlign w:val="bottom"/>
            <w:tcBorders>
              <w:right w:val="single" w:sz="8" w:color="auto"/>
            </w:tcBorders>
            <w:gridSpan w:val="3"/>
            <w:shd w:val="clear" w:color="auto" w:fill="CCEEFF"/>
          </w:tcPr>
          <w:p>
            <w:pPr>
              <w:jc w:val="right"/>
              <w:ind w:right="52"/>
              <w:spacing w:after="0" w:line="95" w:lineRule="exact"/>
              <w:rPr>
                <w:sz w:val="20"/>
                <w:szCs w:val="20"/>
                <w:color w:val="auto"/>
              </w:rPr>
            </w:pPr>
            <w:r>
              <w:rPr>
                <w:rFonts w:ascii="Arial" w:cs="Arial" w:eastAsia="Arial" w:hAnsi="Arial"/>
                <w:sz w:val="9"/>
                <w:szCs w:val="9"/>
                <w:color w:val="auto"/>
              </w:rPr>
              <w:t>1.5 %</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4,669</w:t>
            </w:r>
          </w:p>
        </w:tc>
        <w:tc>
          <w:tcPr>
            <w:tcW w:w="1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6"/>
              <w:spacing w:after="0" w:line="95" w:lineRule="exact"/>
              <w:rPr>
                <w:sz w:val="20"/>
                <w:szCs w:val="20"/>
                <w:color w:val="auto"/>
              </w:rPr>
            </w:pPr>
            <w:r>
              <w:rPr>
                <w:rFonts w:ascii="Arial" w:cs="Arial" w:eastAsia="Arial" w:hAnsi="Arial"/>
                <w:sz w:val="9"/>
                <w:szCs w:val="9"/>
                <w:color w:val="auto"/>
              </w:rPr>
              <w:t>0.8 %</w:t>
            </w: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5,688</w:t>
            </w:r>
          </w:p>
        </w:tc>
        <w:tc>
          <w:tcPr>
            <w:tcW w:w="14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40"/>
              <w:spacing w:after="0" w:line="95" w:lineRule="exact"/>
              <w:rPr>
                <w:sz w:val="20"/>
                <w:szCs w:val="20"/>
                <w:color w:val="auto"/>
              </w:rPr>
            </w:pPr>
            <w:r>
              <w:rPr>
                <w:rFonts w:ascii="Arial" w:cs="Arial" w:eastAsia="Arial" w:hAnsi="Arial"/>
                <w:sz w:val="9"/>
                <w:szCs w:val="9"/>
                <w:color w:val="auto"/>
              </w:rPr>
              <w:t>121.8</w:t>
            </w:r>
          </w:p>
        </w:tc>
        <w:tc>
          <w:tcPr>
            <w:tcW w:w="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95"/>
        </w:trPr>
        <w:tc>
          <w:tcPr>
            <w:tcW w:w="108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color w:val="auto"/>
              </w:rPr>
              <w:t>Gross revenue</w:t>
            </w:r>
          </w:p>
        </w:tc>
        <w:tc>
          <w:tcPr>
            <w:tcW w:w="9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820" w:type="dxa"/>
            <w:vAlign w:val="bottom"/>
            <w:tcBorders>
              <w:top w:val="single" w:sz="8" w:color="auto"/>
              <w:bottom w:val="single" w:sz="8" w:color="CCEEFF"/>
            </w:tcBorders>
            <w:gridSpan w:val="2"/>
          </w:tcPr>
          <w:p>
            <w:pPr>
              <w:jc w:val="right"/>
              <w:spacing w:after="0" w:line="75" w:lineRule="exact"/>
              <w:rPr>
                <w:sz w:val="20"/>
                <w:szCs w:val="20"/>
                <w:color w:val="auto"/>
              </w:rPr>
            </w:pPr>
            <w:r>
              <w:rPr>
                <w:rFonts w:ascii="Arial" w:cs="Arial" w:eastAsia="Arial" w:hAnsi="Arial"/>
                <w:sz w:val="8"/>
                <w:szCs w:val="8"/>
                <w:color w:val="auto"/>
              </w:rPr>
              <w:t>178,637</w:t>
            </w:r>
          </w:p>
        </w:tc>
        <w:tc>
          <w:tcPr>
            <w:tcW w:w="60" w:type="dxa"/>
            <w:vAlign w:val="bottom"/>
            <w:tcBorders>
              <w:bottom w:val="single" w:sz="8" w:color="CCEEFF"/>
            </w:tcBorders>
          </w:tcPr>
          <w:p>
            <w:pPr>
              <w:spacing w:after="0"/>
              <w:rPr>
                <w:sz w:val="8"/>
                <w:szCs w:val="8"/>
                <w:color w:val="auto"/>
              </w:rPr>
            </w:pPr>
          </w:p>
        </w:tc>
        <w:tc>
          <w:tcPr>
            <w:tcW w:w="120" w:type="dxa"/>
            <w:vAlign w:val="bottom"/>
            <w:tcBorders>
              <w:left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CCEEFF"/>
            </w:tcBorders>
          </w:tcPr>
          <w:p>
            <w:pPr>
              <w:spacing w:after="0"/>
              <w:rPr>
                <w:sz w:val="8"/>
                <w:szCs w:val="8"/>
                <w:color w:val="auto"/>
              </w:rPr>
            </w:pPr>
          </w:p>
        </w:tc>
        <w:tc>
          <w:tcPr>
            <w:tcW w:w="980" w:type="dxa"/>
            <w:vAlign w:val="bottom"/>
            <w:tcBorders>
              <w:top w:val="single" w:sz="8" w:color="auto"/>
              <w:bottom w:val="single" w:sz="8" w:color="CCEEFF"/>
            </w:tcBorders>
          </w:tcPr>
          <w:p>
            <w:pPr>
              <w:jc w:val="right"/>
              <w:spacing w:after="0" w:line="75" w:lineRule="exact"/>
              <w:rPr>
                <w:sz w:val="20"/>
                <w:szCs w:val="20"/>
                <w:color w:val="auto"/>
              </w:rPr>
            </w:pPr>
            <w:r>
              <w:rPr>
                <w:rFonts w:ascii="Arial" w:cs="Arial" w:eastAsia="Arial" w:hAnsi="Arial"/>
                <w:sz w:val="8"/>
                <w:szCs w:val="8"/>
                <w:color w:val="auto"/>
              </w:rPr>
              <w:t>505,771</w:t>
            </w:r>
          </w:p>
        </w:tc>
        <w:tc>
          <w:tcPr>
            <w:tcW w:w="100" w:type="dxa"/>
            <w:vAlign w:val="bottom"/>
            <w:tcBorders>
              <w:bottom w:val="single" w:sz="8" w:color="CCEEFF"/>
            </w:tcBorders>
          </w:tcPr>
          <w:p>
            <w:pPr>
              <w:spacing w:after="0"/>
              <w:rPr>
                <w:sz w:val="8"/>
                <w:szCs w:val="8"/>
                <w:color w:val="auto"/>
              </w:rPr>
            </w:pPr>
          </w:p>
        </w:tc>
        <w:tc>
          <w:tcPr>
            <w:tcW w:w="100" w:type="dxa"/>
            <w:vAlign w:val="bottom"/>
            <w:tcBorders>
              <w:left w:val="single" w:sz="8" w:color="auto"/>
              <w:bottom w:val="single" w:sz="8" w:color="CCEEFF"/>
            </w:tcBorders>
          </w:tcPr>
          <w:p>
            <w:pPr>
              <w:spacing w:after="0"/>
              <w:rPr>
                <w:sz w:val="8"/>
                <w:szCs w:val="8"/>
                <w:color w:val="auto"/>
              </w:rPr>
            </w:pPr>
          </w:p>
        </w:tc>
        <w:tc>
          <w:tcPr>
            <w:tcW w:w="420" w:type="dxa"/>
            <w:vAlign w:val="bottom"/>
            <w:tcBorders>
              <w:bottom w:val="single" w:sz="8" w:color="CCEEFF"/>
            </w:tcBorders>
            <w:gridSpan w:val="2"/>
          </w:tcPr>
          <w:p>
            <w:pPr>
              <w:jc w:val="right"/>
              <w:spacing w:after="0" w:line="75" w:lineRule="exact"/>
              <w:rPr>
                <w:sz w:val="20"/>
                <w:szCs w:val="20"/>
                <w:color w:val="auto"/>
              </w:rPr>
            </w:pPr>
            <w:r>
              <w:rPr>
                <w:rFonts w:ascii="Arial" w:cs="Arial" w:eastAsia="Arial" w:hAnsi="Arial"/>
                <w:sz w:val="8"/>
                <w:szCs w:val="8"/>
                <w:color w:val="auto"/>
              </w:rPr>
              <w:t>684,408</w:t>
            </w:r>
          </w:p>
        </w:tc>
        <w:tc>
          <w:tcPr>
            <w:tcW w:w="80" w:type="dxa"/>
            <w:vAlign w:val="bottom"/>
            <w:tcBorders>
              <w:bottom w:val="single" w:sz="8" w:color="CCEEFF"/>
            </w:tcBorders>
          </w:tcPr>
          <w:p>
            <w:pPr>
              <w:spacing w:after="0"/>
              <w:rPr>
                <w:sz w:val="8"/>
                <w:szCs w:val="8"/>
                <w:color w:val="auto"/>
              </w:rPr>
            </w:pPr>
          </w:p>
        </w:tc>
        <w:tc>
          <w:tcPr>
            <w:tcW w:w="540" w:type="dxa"/>
            <w:vAlign w:val="bottom"/>
            <w:tcBorders>
              <w:top w:val="single" w:sz="8" w:color="auto"/>
              <w:bottom w:val="single" w:sz="8" w:color="auto"/>
            </w:tcBorders>
            <w:gridSpan w:val="2"/>
          </w:tcPr>
          <w:p>
            <w:pPr>
              <w:jc w:val="right"/>
              <w:ind w:right="40"/>
              <w:spacing w:after="0" w:line="75" w:lineRule="exact"/>
              <w:rPr>
                <w:sz w:val="20"/>
                <w:szCs w:val="20"/>
                <w:color w:val="auto"/>
              </w:rPr>
            </w:pPr>
            <w:r>
              <w:rPr>
                <w:rFonts w:ascii="Arial" w:cs="Arial" w:eastAsia="Arial" w:hAnsi="Arial"/>
                <w:sz w:val="8"/>
                <w:szCs w:val="8"/>
                <w:color w:val="auto"/>
              </w:rPr>
              <w:t>100.0</w:t>
            </w:r>
          </w:p>
        </w:tc>
        <w:tc>
          <w:tcPr>
            <w:tcW w:w="140" w:type="dxa"/>
            <w:vAlign w:val="bottom"/>
            <w:tcBorders>
              <w:bottom w:val="single" w:sz="8" w:color="CCEEFF"/>
              <w:right w:val="single" w:sz="8" w:color="auto"/>
            </w:tcBorders>
          </w:tcPr>
          <w:p>
            <w:pPr>
              <w:jc w:val="right"/>
              <w:ind w:right="52"/>
              <w:spacing w:after="0"/>
              <w:rPr>
                <w:sz w:val="20"/>
                <w:szCs w:val="20"/>
                <w:color w:val="auto"/>
              </w:rPr>
            </w:pPr>
            <w:r>
              <w:rPr>
                <w:rFonts w:ascii="Arial" w:cs="Arial" w:eastAsia="Arial" w:hAnsi="Arial"/>
                <w:sz w:val="6"/>
                <w:szCs w:val="6"/>
                <w:color w:val="auto"/>
                <w:w w:val="74"/>
              </w:rPr>
              <w:t>%</w:t>
            </w:r>
          </w:p>
        </w:tc>
        <w:tc>
          <w:tcPr>
            <w:tcW w:w="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420" w:type="dxa"/>
            <w:vAlign w:val="bottom"/>
            <w:tcBorders>
              <w:top w:val="single" w:sz="8" w:color="auto"/>
              <w:bottom w:val="single" w:sz="8" w:color="CCEEFF"/>
            </w:tcBorders>
          </w:tcPr>
          <w:p>
            <w:pPr>
              <w:jc w:val="right"/>
              <w:spacing w:after="0" w:line="75" w:lineRule="exact"/>
              <w:rPr>
                <w:sz w:val="20"/>
                <w:szCs w:val="20"/>
                <w:color w:val="auto"/>
              </w:rPr>
            </w:pPr>
            <w:r>
              <w:rPr>
                <w:rFonts w:ascii="Arial" w:cs="Arial" w:eastAsia="Arial" w:hAnsi="Arial"/>
                <w:sz w:val="8"/>
                <w:szCs w:val="8"/>
                <w:color w:val="auto"/>
              </w:rPr>
              <w:t>562,968</w:t>
            </w:r>
          </w:p>
        </w:tc>
        <w:tc>
          <w:tcPr>
            <w:tcW w:w="100" w:type="dxa"/>
            <w:vAlign w:val="bottom"/>
            <w:tcBorders>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100.0</w:t>
            </w:r>
          </w:p>
        </w:tc>
        <w:tc>
          <w:tcPr>
            <w:tcW w:w="160" w:type="dxa"/>
            <w:vAlign w:val="bottom"/>
            <w:tcBorders>
              <w:bottom w:val="single" w:sz="8" w:color="CCEEFF"/>
            </w:tcBorders>
          </w:tcPr>
          <w:p>
            <w:pPr>
              <w:jc w:val="right"/>
              <w:ind w:right="46"/>
              <w:spacing w:after="0" w:line="68" w:lineRule="exact"/>
              <w:rPr>
                <w:sz w:val="20"/>
                <w:szCs w:val="20"/>
                <w:color w:val="auto"/>
              </w:rPr>
            </w:pPr>
            <w:r>
              <w:rPr>
                <w:rFonts w:ascii="Arial" w:cs="Arial" w:eastAsia="Arial" w:hAnsi="Arial"/>
                <w:sz w:val="7"/>
                <w:szCs w:val="7"/>
                <w:color w:val="auto"/>
                <w:w w:val="95"/>
              </w:rPr>
              <w:t>%</w:t>
            </w:r>
          </w:p>
        </w:tc>
        <w:tc>
          <w:tcPr>
            <w:tcW w:w="180" w:type="dxa"/>
            <w:vAlign w:val="bottom"/>
            <w:tcBorders>
              <w:bottom w:val="single" w:sz="8" w:color="CCEEFF"/>
            </w:tcBorders>
          </w:tcPr>
          <w:p>
            <w:pPr>
              <w:spacing w:after="0"/>
              <w:rPr>
                <w:sz w:val="8"/>
                <w:szCs w:val="8"/>
                <w:color w:val="auto"/>
              </w:rPr>
            </w:pPr>
          </w:p>
        </w:tc>
        <w:tc>
          <w:tcPr>
            <w:tcW w:w="220" w:type="dxa"/>
            <w:vAlign w:val="bottom"/>
            <w:tcBorders>
              <w:top w:val="single" w:sz="8" w:color="auto"/>
              <w:bottom w:val="single" w:sz="8" w:color="CCEEFF"/>
            </w:tcBorders>
          </w:tcPr>
          <w:p>
            <w:pPr>
              <w:spacing w:after="0"/>
              <w:rPr>
                <w:sz w:val="8"/>
                <w:szCs w:val="8"/>
                <w:color w:val="auto"/>
              </w:rPr>
            </w:pPr>
          </w:p>
        </w:tc>
        <w:tc>
          <w:tcPr>
            <w:tcW w:w="640" w:type="dxa"/>
            <w:vAlign w:val="bottom"/>
            <w:tcBorders>
              <w:top w:val="single" w:sz="8" w:color="auto"/>
              <w:bottom w:val="single" w:sz="8" w:color="CCEEFF"/>
            </w:tcBorders>
            <w:gridSpan w:val="2"/>
          </w:tcPr>
          <w:p>
            <w:pPr>
              <w:jc w:val="right"/>
              <w:spacing w:after="0" w:line="75" w:lineRule="exact"/>
              <w:rPr>
                <w:sz w:val="20"/>
                <w:szCs w:val="20"/>
                <w:color w:val="auto"/>
              </w:rPr>
            </w:pPr>
            <w:r>
              <w:rPr>
                <w:rFonts w:ascii="Arial" w:cs="Arial" w:eastAsia="Arial" w:hAnsi="Arial"/>
                <w:sz w:val="8"/>
                <w:szCs w:val="8"/>
                <w:color w:val="auto"/>
              </w:rPr>
              <w:t>121,440</w:t>
            </w:r>
          </w:p>
        </w:tc>
        <w:tc>
          <w:tcPr>
            <w:tcW w:w="140" w:type="dxa"/>
            <w:vAlign w:val="bottom"/>
            <w:tcBorders>
              <w:bottom w:val="single" w:sz="8" w:color="CCEEFF"/>
            </w:tcBorders>
          </w:tcPr>
          <w:p>
            <w:pPr>
              <w:spacing w:after="0"/>
              <w:rPr>
                <w:sz w:val="8"/>
                <w:szCs w:val="8"/>
                <w:color w:val="auto"/>
              </w:rPr>
            </w:pPr>
          </w:p>
        </w:tc>
        <w:tc>
          <w:tcPr>
            <w:tcW w:w="920" w:type="dxa"/>
            <w:vAlign w:val="bottom"/>
            <w:tcBorders>
              <w:top w:val="single" w:sz="8" w:color="auto"/>
              <w:bottom w:val="single" w:sz="8" w:color="CCEEFF"/>
            </w:tcBorders>
            <w:gridSpan w:val="2"/>
          </w:tcPr>
          <w:p>
            <w:pPr>
              <w:jc w:val="right"/>
              <w:ind w:right="40"/>
              <w:spacing w:after="0" w:line="75" w:lineRule="exact"/>
              <w:rPr>
                <w:sz w:val="20"/>
                <w:szCs w:val="20"/>
                <w:color w:val="auto"/>
              </w:rPr>
            </w:pPr>
            <w:r>
              <w:rPr>
                <w:rFonts w:ascii="Arial" w:cs="Arial" w:eastAsia="Arial" w:hAnsi="Arial"/>
                <w:sz w:val="8"/>
                <w:szCs w:val="8"/>
                <w:color w:val="auto"/>
              </w:rPr>
              <w:t>21.6</w:t>
            </w:r>
          </w:p>
        </w:tc>
        <w:tc>
          <w:tcPr>
            <w:tcW w:w="80" w:type="dxa"/>
            <w:vAlign w:val="bottom"/>
            <w:tcBorders>
              <w:bottom w:val="single" w:sz="8" w:color="CCEEFF"/>
            </w:tcBorders>
          </w:tcPr>
          <w:p>
            <w:pPr>
              <w:jc w:val="right"/>
              <w:spacing w:after="0" w:line="75" w:lineRule="exact"/>
              <w:rPr>
                <w:sz w:val="20"/>
                <w:szCs w:val="20"/>
                <w:color w:val="auto"/>
              </w:rPr>
            </w:pPr>
            <w:r>
              <w:rPr>
                <w:rFonts w:ascii="Arial" w:cs="Arial" w:eastAsia="Arial" w:hAnsi="Arial"/>
                <w:sz w:val="8"/>
                <w:szCs w:val="8"/>
                <w:color w:val="auto"/>
                <w:w w:val="83"/>
              </w:rPr>
              <w:t>%</w:t>
            </w:r>
          </w:p>
        </w:tc>
        <w:tc>
          <w:tcPr>
            <w:tcW w:w="0" w:type="dxa"/>
            <w:vAlign w:val="bottom"/>
          </w:tcPr>
          <w:p>
            <w:pPr>
              <w:spacing w:after="0"/>
              <w:rPr>
                <w:sz w:val="1"/>
                <w:szCs w:val="1"/>
                <w:color w:val="auto"/>
              </w:rPr>
            </w:pPr>
          </w:p>
        </w:tc>
      </w:tr>
      <w:tr>
        <w:trPr>
          <w:trHeight w:val="95"/>
        </w:trPr>
        <w:tc>
          <w:tcPr>
            <w:tcW w:w="10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Contingent consideration</w:t>
            </w: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9"/>
                <w:szCs w:val="9"/>
                <w:color w:val="auto"/>
              </w:rPr>
              <w:t>—</w:t>
            </w:r>
          </w:p>
        </w:tc>
        <w:tc>
          <w:tcPr>
            <w:tcW w:w="120" w:type="dxa"/>
            <w:vAlign w:val="bottom"/>
            <w:tcBorders>
              <w:lef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9"/>
                <w:szCs w:val="9"/>
                <w:color w:val="auto"/>
              </w:rPr>
              <w:t>(26,830)</w:t>
            </w:r>
          </w:p>
        </w:tc>
        <w:tc>
          <w:tcPr>
            <w:tcW w:w="100" w:type="dxa"/>
            <w:vAlign w:val="bottom"/>
            <w:tcBorders>
              <w:left w:val="single" w:sz="8" w:color="auto"/>
            </w:tcBorders>
            <w:shd w:val="clear" w:color="auto" w:fill="CCEEFF"/>
          </w:tcPr>
          <w:p>
            <w:pPr>
              <w:spacing w:after="0"/>
              <w:rPr>
                <w:sz w:val="8"/>
                <w:szCs w:val="8"/>
                <w:color w:val="auto"/>
              </w:rPr>
            </w:pPr>
          </w:p>
        </w:tc>
        <w:tc>
          <w:tcPr>
            <w:tcW w:w="500" w:type="dxa"/>
            <w:vAlign w:val="bottom"/>
            <w:gridSpan w:val="3"/>
            <w:shd w:val="clear" w:color="auto" w:fill="CCEEFF"/>
          </w:tcPr>
          <w:p>
            <w:pPr>
              <w:ind w:left="100"/>
              <w:spacing w:after="0" w:line="95" w:lineRule="exact"/>
              <w:rPr>
                <w:sz w:val="20"/>
                <w:szCs w:val="20"/>
                <w:color w:val="auto"/>
              </w:rPr>
            </w:pPr>
            <w:r>
              <w:rPr>
                <w:rFonts w:ascii="Arial" w:cs="Arial" w:eastAsia="Arial" w:hAnsi="Arial"/>
                <w:sz w:val="9"/>
                <w:szCs w:val="9"/>
                <w:color w:val="auto"/>
              </w:rPr>
              <w:t>(26,830)</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5" w:lineRule="exact"/>
              <w:rPr>
                <w:sz w:val="20"/>
                <w:szCs w:val="20"/>
                <w:color w:val="auto"/>
              </w:rPr>
            </w:pPr>
            <w:r>
              <w:rPr>
                <w:rFonts w:ascii="Arial" w:cs="Arial" w:eastAsia="Arial" w:hAnsi="Arial"/>
                <w:sz w:val="9"/>
                <w:szCs w:val="9"/>
                <w:color w:val="auto"/>
              </w:rPr>
              <w:t>(58,520)</w:t>
            </w: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31,690</w:t>
            </w:r>
          </w:p>
        </w:tc>
        <w:tc>
          <w:tcPr>
            <w:tcW w:w="140" w:type="dxa"/>
            <w:vAlign w:val="bottom"/>
            <w:shd w:val="clear" w:color="auto" w:fill="CCEEFF"/>
          </w:tcPr>
          <w:p>
            <w:pPr>
              <w:spacing w:after="0"/>
              <w:rPr>
                <w:sz w:val="8"/>
                <w:szCs w:val="8"/>
                <w:color w:val="auto"/>
              </w:rPr>
            </w:pPr>
          </w:p>
        </w:tc>
        <w:tc>
          <w:tcPr>
            <w:tcW w:w="1000" w:type="dxa"/>
            <w:vAlign w:val="bottom"/>
            <w:gridSpan w:val="3"/>
            <w:shd w:val="clear" w:color="auto" w:fill="CCEEFF"/>
          </w:tcPr>
          <w:p>
            <w:pPr>
              <w:jc w:val="right"/>
              <w:spacing w:after="0" w:line="95" w:lineRule="exact"/>
              <w:rPr>
                <w:sz w:val="20"/>
                <w:szCs w:val="20"/>
                <w:color w:val="auto"/>
              </w:rPr>
            </w:pPr>
            <w:r>
              <w:rPr>
                <w:rFonts w:ascii="Arial" w:cs="Arial" w:eastAsia="Arial" w:hAnsi="Arial"/>
                <w:sz w:val="9"/>
                <w:szCs w:val="9"/>
                <w:color w:val="auto"/>
              </w:rPr>
              <w:t>(54.2)%</w:t>
            </w:r>
          </w:p>
        </w:tc>
        <w:tc>
          <w:tcPr>
            <w:tcW w:w="0" w:type="dxa"/>
            <w:vAlign w:val="bottom"/>
          </w:tcPr>
          <w:p>
            <w:pPr>
              <w:spacing w:after="0"/>
              <w:rPr>
                <w:sz w:val="1"/>
                <w:szCs w:val="1"/>
                <w:color w:val="auto"/>
              </w:rPr>
            </w:pPr>
          </w:p>
        </w:tc>
      </w:tr>
      <w:tr>
        <w:trPr>
          <w:trHeight w:val="95"/>
        </w:trPr>
        <w:tc>
          <w:tcPr>
            <w:tcW w:w="1080" w:type="dxa"/>
            <w:vAlign w:val="bottom"/>
            <w:tcBorders>
              <w:bottom w:val="single" w:sz="8" w:color="CCEEFF"/>
            </w:tcBorders>
          </w:tcPr>
          <w:p>
            <w:pPr>
              <w:spacing w:after="0" w:line="68" w:lineRule="exact"/>
              <w:rPr>
                <w:sz w:val="20"/>
                <w:szCs w:val="20"/>
                <w:color w:val="auto"/>
              </w:rPr>
            </w:pPr>
            <w:r>
              <w:rPr>
                <w:rFonts w:ascii="Arial" w:cs="Arial" w:eastAsia="Arial" w:hAnsi="Arial"/>
                <w:sz w:val="7"/>
                <w:szCs w:val="7"/>
                <w:color w:val="auto"/>
              </w:rPr>
              <w:t>Net revenue</w:t>
            </w:r>
          </w:p>
        </w:tc>
        <w:tc>
          <w:tcPr>
            <w:tcW w:w="9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w:t>
            </w:r>
          </w:p>
        </w:tc>
        <w:tc>
          <w:tcPr>
            <w:tcW w:w="820" w:type="dxa"/>
            <w:vAlign w:val="bottom"/>
            <w:tcBorders>
              <w:top w:val="single" w:sz="8" w:color="auto"/>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178,637</w:t>
            </w:r>
          </w:p>
        </w:tc>
        <w:tc>
          <w:tcPr>
            <w:tcW w:w="60" w:type="dxa"/>
            <w:vAlign w:val="bottom"/>
            <w:tcBorders>
              <w:bottom w:val="single" w:sz="8" w:color="CCEEFF"/>
            </w:tcBorders>
          </w:tcPr>
          <w:p>
            <w:pPr>
              <w:spacing w:after="0"/>
              <w:rPr>
                <w:sz w:val="8"/>
                <w:szCs w:val="8"/>
                <w:color w:val="auto"/>
              </w:rPr>
            </w:pPr>
          </w:p>
        </w:tc>
        <w:tc>
          <w:tcPr>
            <w:tcW w:w="120" w:type="dxa"/>
            <w:vAlign w:val="bottom"/>
            <w:tcBorders>
              <w:left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jc w:val="right"/>
              <w:ind w:right="21"/>
              <w:spacing w:after="0" w:line="75" w:lineRule="exact"/>
              <w:rPr>
                <w:sz w:val="20"/>
                <w:szCs w:val="20"/>
                <w:color w:val="auto"/>
              </w:rPr>
            </w:pPr>
            <w:r>
              <w:rPr>
                <w:rFonts w:ascii="Arial" w:cs="Arial" w:eastAsia="Arial" w:hAnsi="Arial"/>
                <w:sz w:val="8"/>
                <w:szCs w:val="8"/>
                <w:color w:val="auto"/>
              </w:rPr>
              <w:t>$</w:t>
            </w:r>
          </w:p>
        </w:tc>
        <w:tc>
          <w:tcPr>
            <w:tcW w:w="98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478,941</w:t>
            </w:r>
          </w:p>
        </w:tc>
        <w:tc>
          <w:tcPr>
            <w:tcW w:w="100" w:type="dxa"/>
            <w:vAlign w:val="bottom"/>
            <w:tcBorders>
              <w:bottom w:val="single" w:sz="8" w:color="CCEEFF"/>
            </w:tcBorders>
          </w:tcPr>
          <w:p>
            <w:pPr>
              <w:spacing w:after="0"/>
              <w:rPr>
                <w:sz w:val="8"/>
                <w:szCs w:val="8"/>
                <w:color w:val="auto"/>
              </w:rPr>
            </w:pPr>
          </w:p>
        </w:tc>
        <w:tc>
          <w:tcPr>
            <w:tcW w:w="100" w:type="dxa"/>
            <w:vAlign w:val="bottom"/>
            <w:tcBorders>
              <w:left w:val="single" w:sz="8" w:color="auto"/>
              <w:bottom w:val="single" w:sz="8" w:color="CCEEFF"/>
            </w:tcBorders>
          </w:tcPr>
          <w:p>
            <w:pPr>
              <w:spacing w:after="0"/>
              <w:rPr>
                <w:sz w:val="8"/>
                <w:szCs w:val="8"/>
                <w:color w:val="auto"/>
              </w:rPr>
            </w:pPr>
          </w:p>
        </w:tc>
        <w:tc>
          <w:tcPr>
            <w:tcW w:w="420" w:type="dxa"/>
            <w:vAlign w:val="bottom"/>
            <w:tcBorders>
              <w:top w:val="single" w:sz="8" w:color="auto"/>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657,578</w:t>
            </w:r>
          </w:p>
        </w:tc>
        <w:tc>
          <w:tcPr>
            <w:tcW w:w="8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40" w:type="dxa"/>
            <w:vAlign w:val="bottom"/>
            <w:tcBorders>
              <w:bottom w:val="single" w:sz="8" w:color="CCEEFF"/>
              <w:right w:val="single" w:sz="8" w:color="auto"/>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w w:val="88"/>
              </w:rPr>
              <w:t>$</w:t>
            </w:r>
          </w:p>
        </w:tc>
        <w:tc>
          <w:tcPr>
            <w:tcW w:w="42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504,448</w:t>
            </w:r>
          </w:p>
        </w:tc>
        <w:tc>
          <w:tcPr>
            <w:tcW w:w="10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jc w:val="right"/>
              <w:ind w:right="19"/>
              <w:spacing w:after="0" w:line="75" w:lineRule="exact"/>
              <w:rPr>
                <w:sz w:val="20"/>
                <w:szCs w:val="20"/>
                <w:color w:val="auto"/>
              </w:rPr>
            </w:pPr>
            <w:r>
              <w:rPr>
                <w:rFonts w:ascii="Arial" w:cs="Arial" w:eastAsia="Arial" w:hAnsi="Arial"/>
                <w:sz w:val="8"/>
                <w:szCs w:val="8"/>
                <w:color w:val="auto"/>
              </w:rPr>
              <w:t>$</w:t>
            </w:r>
          </w:p>
        </w:tc>
        <w:tc>
          <w:tcPr>
            <w:tcW w:w="22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153,130</w:t>
            </w:r>
          </w:p>
        </w:tc>
        <w:tc>
          <w:tcPr>
            <w:tcW w:w="140" w:type="dxa"/>
            <w:vAlign w:val="bottom"/>
            <w:tcBorders>
              <w:bottom w:val="single" w:sz="8" w:color="CCEEFF"/>
            </w:tcBorders>
          </w:tcPr>
          <w:p>
            <w:pPr>
              <w:spacing w:after="0"/>
              <w:rPr>
                <w:sz w:val="8"/>
                <w:szCs w:val="8"/>
                <w:color w:val="auto"/>
              </w:rPr>
            </w:pPr>
          </w:p>
        </w:tc>
        <w:tc>
          <w:tcPr>
            <w:tcW w:w="920" w:type="dxa"/>
            <w:vAlign w:val="bottom"/>
            <w:tcBorders>
              <w:bottom w:val="single" w:sz="8" w:color="CCEEFF"/>
            </w:tcBorders>
            <w:gridSpan w:val="2"/>
          </w:tcPr>
          <w:p>
            <w:pPr>
              <w:jc w:val="right"/>
              <w:ind w:right="40"/>
              <w:spacing w:after="0" w:line="75" w:lineRule="exact"/>
              <w:rPr>
                <w:sz w:val="20"/>
                <w:szCs w:val="20"/>
                <w:color w:val="auto"/>
              </w:rPr>
            </w:pPr>
            <w:r>
              <w:rPr>
                <w:rFonts w:ascii="Arial" w:cs="Arial" w:eastAsia="Arial" w:hAnsi="Arial"/>
                <w:sz w:val="8"/>
                <w:szCs w:val="8"/>
                <w:color w:val="auto"/>
              </w:rPr>
              <w:t>30.4</w:t>
            </w:r>
          </w:p>
        </w:tc>
        <w:tc>
          <w:tcPr>
            <w:tcW w:w="80" w:type="dxa"/>
            <w:vAlign w:val="bottom"/>
            <w:tcBorders>
              <w:bottom w:val="single" w:sz="8" w:color="CCEEFF"/>
            </w:tcBorders>
          </w:tcPr>
          <w:p>
            <w:pPr>
              <w:jc w:val="right"/>
              <w:spacing w:after="0" w:line="75" w:lineRule="exact"/>
              <w:rPr>
                <w:sz w:val="20"/>
                <w:szCs w:val="20"/>
                <w:color w:val="auto"/>
              </w:rPr>
            </w:pPr>
            <w:r>
              <w:rPr>
                <w:rFonts w:ascii="Arial" w:cs="Arial" w:eastAsia="Arial" w:hAnsi="Arial"/>
                <w:sz w:val="8"/>
                <w:szCs w:val="8"/>
                <w:color w:val="auto"/>
                <w:w w:val="83"/>
              </w:rPr>
              <w:t>%</w:t>
            </w:r>
          </w:p>
        </w:tc>
        <w:tc>
          <w:tcPr>
            <w:tcW w:w="0" w:type="dxa"/>
            <w:vAlign w:val="bottom"/>
          </w:tcPr>
          <w:p>
            <w:pPr>
              <w:spacing w:after="0"/>
              <w:rPr>
                <w:sz w:val="1"/>
                <w:szCs w:val="1"/>
                <w:color w:val="auto"/>
              </w:rPr>
            </w:pPr>
          </w:p>
        </w:tc>
      </w:tr>
      <w:tr>
        <w:trPr>
          <w:trHeight w:val="95"/>
        </w:trPr>
        <w:tc>
          <w:tcPr>
            <w:tcW w:w="1080" w:type="dxa"/>
            <w:vAlign w:val="bottom"/>
            <w:shd w:val="clear" w:color="auto" w:fill="CCEEFF"/>
          </w:tcPr>
          <w:p>
            <w:pPr>
              <w:spacing w:after="0" w:line="75" w:lineRule="exact"/>
              <w:rPr>
                <w:sz w:val="20"/>
                <w:szCs w:val="20"/>
                <w:color w:val="auto"/>
              </w:rPr>
            </w:pPr>
            <w:r>
              <w:rPr>
                <w:rFonts w:ascii="Arial" w:cs="Arial" w:eastAsia="Arial" w:hAnsi="Arial"/>
                <w:sz w:val="7"/>
                <w:szCs w:val="7"/>
                <w:color w:val="auto"/>
              </w:rPr>
              <w:t>Components of gross revenue</w:t>
            </w:r>
            <w:r>
              <w:rPr>
                <w:rFonts w:ascii="Arial" w:cs="Arial" w:eastAsia="Arial" w:hAnsi="Arial"/>
                <w:sz w:val="8"/>
                <w:szCs w:val="8"/>
                <w:color w:val="auto"/>
                <w:vertAlign w:val="subscript"/>
              </w:rPr>
              <w:t>(3)</w:t>
            </w:r>
          </w:p>
        </w:tc>
        <w:tc>
          <w:tcPr>
            <w:tcW w:w="920" w:type="dxa"/>
            <w:vAlign w:val="bottom"/>
            <w:shd w:val="clear" w:color="auto" w:fill="CCEEFF"/>
          </w:tcPr>
          <w:p>
            <w:pPr>
              <w:ind w:left="20"/>
              <w:spacing w:after="0" w:line="75" w:lineRule="exact"/>
              <w:rPr>
                <w:sz w:val="20"/>
                <w:szCs w:val="20"/>
                <w:color w:val="auto"/>
              </w:rPr>
            </w:pPr>
            <w:r>
              <w:rPr>
                <w:rFonts w:ascii="Arial" w:cs="Arial" w:eastAsia="Arial" w:hAnsi="Arial"/>
                <w:sz w:val="8"/>
                <w:szCs w:val="8"/>
                <w:color w:val="auto"/>
              </w:rPr>
              <w:t>growth:</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tcBorders>
              <w:lef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lef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80" w:type="dxa"/>
            <w:vAlign w:val="bottom"/>
          </w:tcPr>
          <w:p>
            <w:pPr>
              <w:spacing w:after="0" w:line="95" w:lineRule="exact"/>
              <w:rPr>
                <w:sz w:val="20"/>
                <w:szCs w:val="20"/>
                <w:color w:val="auto"/>
              </w:rPr>
            </w:pPr>
            <w:r>
              <w:rPr>
                <w:rFonts w:ascii="Arial" w:cs="Arial" w:eastAsia="Arial" w:hAnsi="Arial"/>
                <w:sz w:val="9"/>
                <w:szCs w:val="9"/>
                <w:color w:val="auto"/>
              </w:rPr>
              <w:t>Constant currency growth</w:t>
            </w: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lef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right"/>
              <w:ind w:right="40"/>
              <w:spacing w:after="0" w:line="95" w:lineRule="exact"/>
              <w:rPr>
                <w:sz w:val="20"/>
                <w:szCs w:val="20"/>
                <w:color w:val="auto"/>
              </w:rPr>
            </w:pPr>
            <w:r>
              <w:rPr>
                <w:rFonts w:ascii="Arial" w:cs="Arial" w:eastAsia="Arial" w:hAnsi="Arial"/>
                <w:sz w:val="9"/>
                <w:szCs w:val="9"/>
                <w:color w:val="auto"/>
              </w:rPr>
              <w:t>19.7</w:t>
            </w:r>
          </w:p>
        </w:tc>
        <w:tc>
          <w:tcPr>
            <w:tcW w:w="80" w:type="dxa"/>
            <w:vAlign w:val="bottom"/>
          </w:tcPr>
          <w:p>
            <w:pPr>
              <w:jc w:val="right"/>
              <w:spacing w:after="0" w:line="95" w:lineRule="exact"/>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95"/>
        </w:trPr>
        <w:tc>
          <w:tcPr>
            <w:tcW w:w="2080" w:type="dxa"/>
            <w:vAlign w:val="bottom"/>
            <w:gridSpan w:val="3"/>
            <w:shd w:val="clear" w:color="auto" w:fill="CCEEFF"/>
          </w:tcPr>
          <w:p>
            <w:pPr>
              <w:ind w:left="220"/>
              <w:spacing w:after="0" w:line="95" w:lineRule="exact"/>
              <w:rPr>
                <w:sz w:val="20"/>
                <w:szCs w:val="20"/>
                <w:color w:val="auto"/>
              </w:rPr>
            </w:pPr>
            <w:r>
              <w:rPr>
                <w:rFonts w:ascii="Arial" w:cs="Arial" w:eastAsia="Arial" w:hAnsi="Arial"/>
                <w:sz w:val="9"/>
                <w:szCs w:val="9"/>
                <w:color w:val="auto"/>
              </w:rPr>
              <w:t>Foreign currency impact</w:t>
            </w:r>
          </w:p>
        </w:tc>
        <w:tc>
          <w:tcPr>
            <w:tcW w:w="2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tcBorders>
              <w:lef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lef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40"/>
              <w:spacing w:after="0" w:line="95" w:lineRule="exact"/>
              <w:rPr>
                <w:sz w:val="20"/>
                <w:szCs w:val="20"/>
                <w:color w:val="auto"/>
              </w:rPr>
            </w:pPr>
            <w:r>
              <w:rPr>
                <w:rFonts w:ascii="Arial" w:cs="Arial" w:eastAsia="Arial" w:hAnsi="Arial"/>
                <w:sz w:val="9"/>
                <w:szCs w:val="9"/>
                <w:color w:val="auto"/>
              </w:rPr>
              <w:t>1.8</w:t>
            </w:r>
          </w:p>
        </w:tc>
        <w:tc>
          <w:tcPr>
            <w:tcW w:w="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95"/>
        </w:trPr>
        <w:tc>
          <w:tcPr>
            <w:tcW w:w="2080" w:type="dxa"/>
            <w:vAlign w:val="bottom"/>
            <w:gridSpan w:val="3"/>
          </w:tcPr>
          <w:p>
            <w:pPr>
              <w:ind w:left="220"/>
              <w:spacing w:after="0" w:line="95" w:lineRule="exact"/>
              <w:rPr>
                <w:sz w:val="20"/>
                <w:szCs w:val="20"/>
                <w:color w:val="auto"/>
              </w:rPr>
            </w:pPr>
            <w:r>
              <w:rPr>
                <w:rFonts w:ascii="Arial" w:cs="Arial" w:eastAsia="Arial" w:hAnsi="Arial"/>
                <w:sz w:val="9"/>
                <w:szCs w:val="9"/>
                <w:color w:val="auto"/>
              </w:rPr>
              <w:t>Total gross revenue growth</w:t>
            </w: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right"/>
              <w:ind w:right="40"/>
              <w:spacing w:after="0" w:line="95" w:lineRule="exact"/>
              <w:rPr>
                <w:sz w:val="20"/>
                <w:szCs w:val="20"/>
                <w:color w:val="auto"/>
              </w:rPr>
            </w:pPr>
            <w:r>
              <w:rPr>
                <w:rFonts w:ascii="Arial" w:cs="Arial" w:eastAsia="Arial" w:hAnsi="Arial"/>
                <w:sz w:val="9"/>
                <w:szCs w:val="9"/>
                <w:color w:val="auto"/>
              </w:rPr>
              <w:t>21.6</w:t>
            </w:r>
          </w:p>
        </w:tc>
        <w:tc>
          <w:tcPr>
            <w:tcW w:w="80" w:type="dxa"/>
            <w:vAlign w:val="bottom"/>
          </w:tcPr>
          <w:p>
            <w:pPr>
              <w:jc w:val="right"/>
              <w:spacing w:after="0" w:line="95" w:lineRule="exact"/>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10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04" w:lineRule="exact"/>
        <w:rPr>
          <w:rFonts w:ascii="Arial" w:cs="Arial" w:eastAsia="Arial" w:hAnsi="Arial"/>
          <w:sz w:val="13"/>
          <w:szCs w:val="13"/>
          <w:color w:val="auto"/>
        </w:rPr>
      </w:pPr>
    </w:p>
    <w:p>
      <w:pPr>
        <w:ind w:left="660" w:right="60" w:hanging="333"/>
        <w:spacing w:after="0" w:line="238" w:lineRule="auto"/>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Subscription fees for the combined year ended December 31, 2018, the 2018 Successor Period, the 2018 Predecessor Period and the year ended December 31, 2017 include $50.3 million, $13.5 million, $36.8 million and $50.1 million, respectively, of Refinitiv (formerly Thomson Reuters) market data fees.</w:t>
      </w:r>
    </w:p>
    <w:p>
      <w:pPr>
        <w:spacing w:after="0" w:line="115" w:lineRule="exact"/>
        <w:rPr>
          <w:rFonts w:ascii="Arial" w:cs="Arial" w:eastAsia="Arial" w:hAnsi="Arial"/>
          <w:sz w:val="14"/>
          <w:szCs w:val="14"/>
          <w:color w:val="auto"/>
        </w:rPr>
      </w:pPr>
    </w:p>
    <w:p>
      <w:pPr>
        <w:ind w:left="660" w:right="40" w:hanging="333"/>
        <w:spacing w:after="0" w:line="251" w:lineRule="auto"/>
        <w:tabs>
          <w:tab w:leader="none" w:pos="6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2017.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1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Transaction Fees. Transaction fees increased by $103.9 million or 38.9% to $370.9 million for the combined year ended December 31, 2018 from $267.0 million for the year ended December 31, 2017 from increased Institutional transactional volumes for U.S. credit products, derivative products (led by Dollar swaps, European interest rate swaps and U.S. and European credit default indexes), U.S. and European ETF, European repurchase agreements and U.S. treasury, as well as adjustments to contracts as a result of MiFID II pursuant to which annual subscription fees were replaced with monthly minimum transaction fees and the product launch of China bonds.</w:t>
      </w:r>
    </w:p>
    <w:p>
      <w:pPr>
        <w:spacing w:after="0" w:line="178"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u w:val="single" w:color="auto"/>
          <w:color w:val="auto"/>
        </w:rPr>
        <w:t>Subscription fees</w:t>
      </w:r>
      <w:r>
        <w:rPr>
          <w:rFonts w:ascii="Arial" w:cs="Arial" w:eastAsia="Arial" w:hAnsi="Arial"/>
          <w:sz w:val="18"/>
          <w:szCs w:val="18"/>
          <w:color w:val="auto"/>
        </w:rPr>
        <w:t>. Subscription fees decreased by $4.0 million or (2.1)% to $190.5 million for the combined year ended December 31, 2018 from $194.5 million for the year ended December 31, 2017 due primarily to a $10.3 million decline from MiFID II contract adjustments where certain annual subscription fees were replaced with monthly minimum transaction fees, partially offset by a $2.5 million increase in market data fees, a $1.4 million increase in Retail fees and a $2.6 million increase in Institutional fees.</w:t>
      </w:r>
    </w:p>
    <w:p>
      <w:pPr>
        <w:spacing w:after="0" w:line="188"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u w:val="single" w:color="auto"/>
          <w:color w:val="auto"/>
        </w:rPr>
        <w:t>Commissions</w:t>
      </w:r>
      <w:r>
        <w:rPr>
          <w:rFonts w:ascii="Arial" w:cs="Arial" w:eastAsia="Arial" w:hAnsi="Arial"/>
          <w:sz w:val="17"/>
          <w:szCs w:val="17"/>
          <w:color w:val="auto"/>
        </w:rPr>
        <w:t>. Commissions increased by $15.9 million or 16.5% to $112.7 million for the combined year ended December 31, 2018 from $96.7 million for the year ended December 31, 2017 primarily due to higher trading volumes in our Wholesale client sector for U.S. credit products, repurchase agreements, U.S. ETF and U.S. treasury. The revenue increase was partially offset by lower municipal bond, ARM and specified pool trading volumes.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Other revenue increased by $5.7 million or 121.8% to $10.4 million for the combined year ended December 31,</w:t>
      </w:r>
    </w:p>
    <w:p>
      <w:pPr>
        <w:spacing w:after="0" w:line="46"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2018 from $4.7 million for the year ended December 31, 2017 primarily as a result of revenue from our APA reporting service launched in January 2018 in response to MiFID II. Other fees also consisted of fees from a third party for certain licensing and development in Canada.</w:t>
      </w:r>
    </w:p>
    <w:p>
      <w:pPr>
        <w:spacing w:after="0" w:line="19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Contingent consideration decreased by $31.7 million or (54.2)% to $26.8 million for the combined year ended December 31, 2018 from $58.5 million for the year ended December 31, 2017. The decrease was a result of changes in projected and actual revenues related to the Credit Initiative Earnout during the periods and the vesting of the Credit Initiative Earnout at July 31,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gross revenue by client sector for the 2018 Successor Period, the 2018 Predecessor Period, the combined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the year ended December 31, 2017, and the resulting dollar and percentage changes,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w w:val="87"/>
              </w:rPr>
              <w:t>Predecessor</w:t>
            </w:r>
          </w:p>
        </w:tc>
        <w:tc>
          <w:tcPr>
            <w:tcW w:w="120" w:type="dxa"/>
            <w:vAlign w:val="bottom"/>
          </w:tcPr>
          <w:p>
            <w:pPr>
              <w:spacing w:after="0" w:line="20" w:lineRule="exact"/>
              <w:rPr>
                <w:sz w:val="1"/>
                <w:szCs w:val="1"/>
                <w:color w:val="auto"/>
              </w:rPr>
            </w:pPr>
          </w:p>
        </w:tc>
        <w:tc>
          <w:tcPr>
            <w:tcW w:w="7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1"/>
              </w:rPr>
              <w:t xml:space="preserve">Combined </w:t>
            </w:r>
            <w:r>
              <w:rPr>
                <w:rFonts w:ascii="Arial" w:cs="Arial" w:eastAsia="Arial" w:hAnsi="Arial"/>
                <w:sz w:val="11"/>
                <w:szCs w:val="11"/>
                <w:b w:val="1"/>
                <w:bCs w:val="1"/>
                <w:color w:val="auto"/>
                <w:w w:val="91"/>
                <w:vertAlign w:val="superscript"/>
              </w:rPr>
              <w:t>(1)</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87"/>
              </w:rPr>
              <w:t>Predecessor</w:t>
            </w:r>
          </w:p>
        </w:tc>
        <w:tc>
          <w:tcPr>
            <w:tcW w:w="100" w:type="dxa"/>
            <w:vAlign w:val="bottom"/>
            <w:vMerge w:val="restart"/>
          </w:tcPr>
          <w:p>
            <w:pPr>
              <w:spacing w:after="0" w:line="20" w:lineRule="exact"/>
              <w:rPr>
                <w:sz w:val="1"/>
                <w:szCs w:val="1"/>
                <w:color w:val="auto"/>
              </w:rPr>
            </w:pPr>
          </w:p>
        </w:tc>
        <w:tc>
          <w:tcPr>
            <w:tcW w:w="216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w w:val="89"/>
              </w:rPr>
              <w:t>Combined Year Ended December 31, 2018 vs</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20" w:type="dxa"/>
            <w:vAlign w:val="bottom"/>
            <w:tcBorders>
              <w:left w:val="single" w:sz="8" w:color="auto"/>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1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October 1, 2018 to</w:t>
            </w:r>
          </w:p>
        </w:tc>
        <w:tc>
          <w:tcPr>
            <w:tcW w:w="20" w:type="dxa"/>
            <w:vAlign w:val="bottom"/>
            <w:tcBorders>
              <w:bottom w:val="single" w:sz="8" w:color="auto"/>
            </w:tcBorders>
            <w:shd w:val="clear" w:color="auto" w:fill="000000"/>
          </w:tcPr>
          <w:p>
            <w:pPr>
              <w:spacing w:after="0"/>
              <w:rPr>
                <w:sz w:val="19"/>
                <w:szCs w:val="19"/>
                <w:color w:val="auto"/>
              </w:rPr>
            </w:pPr>
          </w:p>
        </w:tc>
        <w:tc>
          <w:tcPr>
            <w:tcW w:w="102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w w:val="96"/>
              </w:rPr>
              <w:t>January 1, 2018 to</w:t>
            </w:r>
          </w:p>
        </w:tc>
        <w:tc>
          <w:tcPr>
            <w:tcW w:w="120" w:type="dxa"/>
            <w:vAlign w:val="bottom"/>
            <w:tcBorders>
              <w:left w:val="single" w:sz="8" w:color="auto"/>
            </w:tcBorders>
          </w:tcPr>
          <w:p>
            <w:pPr>
              <w:spacing w:after="0"/>
              <w:rPr>
                <w:sz w:val="19"/>
                <w:szCs w:val="19"/>
                <w:color w:val="auto"/>
              </w:rPr>
            </w:pPr>
          </w:p>
        </w:tc>
        <w:tc>
          <w:tcPr>
            <w:tcW w:w="780" w:type="dxa"/>
            <w:vAlign w:val="bottom"/>
          </w:tcPr>
          <w:p>
            <w:pPr>
              <w:jc w:val="right"/>
              <w:ind w:right="126"/>
              <w:spacing w:after="0"/>
              <w:rPr>
                <w:sz w:val="20"/>
                <w:szCs w:val="20"/>
                <w:color w:val="auto"/>
              </w:rPr>
            </w:pPr>
            <w:r>
              <w:rPr>
                <w:rFonts w:ascii="Arial" w:cs="Arial" w:eastAsia="Arial" w:hAnsi="Arial"/>
                <w:sz w:val="11"/>
                <w:szCs w:val="11"/>
                <w:b w:val="1"/>
                <w:bCs w:val="1"/>
                <w:color w:val="auto"/>
                <w:w w:val="95"/>
              </w:rPr>
              <w:t>Year Ended</w:t>
            </w:r>
          </w:p>
        </w:tc>
        <w:tc>
          <w:tcPr>
            <w:tcW w:w="20" w:type="dxa"/>
            <w:vAlign w:val="bottom"/>
            <w:tcBorders>
              <w:bottom w:val="single" w:sz="8" w:color="auto"/>
            </w:tcBorders>
            <w:shd w:val="clear" w:color="auto" w:fill="000000"/>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5"/>
              </w:rPr>
              <w:t>Year Ended</w:t>
            </w:r>
          </w:p>
        </w:tc>
        <w:tc>
          <w:tcPr>
            <w:tcW w:w="2160" w:type="dxa"/>
            <w:vAlign w:val="bottom"/>
            <w:tcBorders>
              <w:bottom w:val="single" w:sz="8" w:color="auto"/>
            </w:tcBorders>
            <w:gridSpan w:val="4"/>
          </w:tcPr>
          <w:p>
            <w:pPr>
              <w:jc w:val="right"/>
              <w:ind w:right="306"/>
              <w:spacing w:after="0"/>
              <w:rPr>
                <w:sz w:val="20"/>
                <w:szCs w:val="20"/>
                <w:color w:val="auto"/>
              </w:rPr>
            </w:pPr>
            <w:r>
              <w:rPr>
                <w:rFonts w:ascii="Arial" w:cs="Arial" w:eastAsia="Arial" w:hAnsi="Arial"/>
                <w:sz w:val="11"/>
                <w:szCs w:val="11"/>
                <w:b w:val="1"/>
                <w:bCs w:val="1"/>
                <w:color w:val="auto"/>
              </w:rPr>
              <w:t>Year Ended December 31, 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gridSpan w:val="3"/>
          </w:tcPr>
          <w:p>
            <w:pPr>
              <w:jc w:val="center"/>
              <w:ind w:right="80"/>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20" w:type="dxa"/>
            <w:vAlign w:val="bottom"/>
            <w:shd w:val="clear" w:color="auto" w:fill="000000"/>
          </w:tcPr>
          <w:p>
            <w:pPr>
              <w:spacing w:after="0"/>
              <w:rPr>
                <w:sz w:val="10"/>
                <w:szCs w:val="10"/>
                <w:color w:val="auto"/>
              </w:rPr>
            </w:pPr>
          </w:p>
        </w:tc>
        <w:tc>
          <w:tcPr>
            <w:tcW w:w="102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w w:val="89"/>
              </w:rPr>
              <w:t>September 30, 2018</w:t>
            </w:r>
          </w:p>
        </w:tc>
        <w:tc>
          <w:tcPr>
            <w:tcW w:w="900" w:type="dxa"/>
            <w:vAlign w:val="bottom"/>
            <w:tcBorders>
              <w:left w:val="single" w:sz="8" w:color="auto"/>
            </w:tcBorders>
            <w:gridSpan w:val="2"/>
          </w:tcPr>
          <w:p>
            <w:pPr>
              <w:ind w:left="20"/>
              <w:spacing w:after="0" w:line="115" w:lineRule="exact"/>
              <w:rPr>
                <w:sz w:val="20"/>
                <w:szCs w:val="20"/>
                <w:color w:val="auto"/>
              </w:rPr>
            </w:pPr>
            <w:r>
              <w:rPr>
                <w:rFonts w:ascii="Arial" w:cs="Arial" w:eastAsia="Arial" w:hAnsi="Arial"/>
                <w:sz w:val="11"/>
                <w:szCs w:val="11"/>
                <w:b w:val="1"/>
                <w:bCs w:val="1"/>
                <w:color w:val="auto"/>
                <w:w w:val="86"/>
              </w:rPr>
              <w:t>December 31, 2018</w:t>
            </w:r>
          </w:p>
        </w:tc>
        <w:tc>
          <w:tcPr>
            <w:tcW w:w="20" w:type="dxa"/>
            <w:vAlign w:val="bottom"/>
            <w:shd w:val="clear" w:color="auto" w:fill="000000"/>
          </w:tcPr>
          <w:p>
            <w:pPr>
              <w:spacing w:after="0"/>
              <w:rPr>
                <w:sz w:val="10"/>
                <w:szCs w:val="10"/>
                <w:color w:val="auto"/>
              </w:rPr>
            </w:pPr>
          </w:p>
        </w:tc>
        <w:tc>
          <w:tcPr>
            <w:tcW w:w="1040" w:type="dxa"/>
            <w:vAlign w:val="bottom"/>
            <w:gridSpan w:val="3"/>
          </w:tcPr>
          <w:p>
            <w:pPr>
              <w:ind w:left="60"/>
              <w:spacing w:after="0" w:line="115" w:lineRule="exact"/>
              <w:rPr>
                <w:sz w:val="20"/>
                <w:szCs w:val="20"/>
                <w:color w:val="auto"/>
              </w:rPr>
            </w:pPr>
            <w:r>
              <w:rPr>
                <w:rFonts w:ascii="Arial" w:cs="Arial" w:eastAsia="Arial" w:hAnsi="Arial"/>
                <w:sz w:val="11"/>
                <w:szCs w:val="11"/>
                <w:b w:val="1"/>
                <w:bCs w:val="1"/>
                <w:color w:val="auto"/>
                <w:w w:val="96"/>
              </w:rPr>
              <w:t>December 31, 2017</w:t>
            </w:r>
          </w:p>
        </w:tc>
        <w:tc>
          <w:tcPr>
            <w:tcW w:w="4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Change</w:t>
            </w:r>
          </w:p>
        </w:tc>
        <w:tc>
          <w:tcPr>
            <w:tcW w:w="92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gridSpan w:val="4"/>
          </w:tcPr>
          <w:p>
            <w:pPr>
              <w:ind w:left="240"/>
              <w:spacing w:after="0" w:line="115" w:lineRule="exact"/>
              <w:rPr>
                <w:sz w:val="20"/>
                <w:szCs w:val="20"/>
                <w:color w:val="auto"/>
              </w:rPr>
            </w:pPr>
            <w:r>
              <w:rPr>
                <w:rFonts w:ascii="Arial" w:cs="Arial" w:eastAsia="Arial" w:hAnsi="Arial"/>
                <w:sz w:val="11"/>
                <w:szCs w:val="11"/>
                <w:b w:val="1"/>
                <w:bCs w:val="1"/>
                <w:color w:val="auto"/>
              </w:rPr>
              <w:t>(dollars in thousands)</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auto"/>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Institutional</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103,971</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301,918</w:t>
            </w:r>
          </w:p>
        </w:tc>
        <w:tc>
          <w:tcPr>
            <w:tcW w:w="120" w:type="dxa"/>
            <w:vAlign w:val="bottom"/>
            <w:tcBorders>
              <w:left w:val="single" w:sz="8" w:color="auto"/>
            </w:tcBorders>
          </w:tcPr>
          <w:p>
            <w:pPr>
              <w:ind w:left="2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405,889</w:t>
            </w:r>
          </w:p>
        </w:tc>
        <w:tc>
          <w:tcPr>
            <w:tcW w:w="20" w:type="dxa"/>
            <w:vAlign w:val="bottom"/>
            <w:shd w:val="clear" w:color="auto" w:fill="000000"/>
          </w:tcPr>
          <w:p>
            <w:pPr>
              <w:spacing w:after="0"/>
              <w:rPr>
                <w:sz w:val="10"/>
                <w:szCs w:val="10"/>
                <w:color w:val="auto"/>
              </w:rPr>
            </w:pPr>
          </w:p>
        </w:tc>
        <w:tc>
          <w:tcPr>
            <w:tcW w:w="160" w:type="dxa"/>
            <w:vAlign w:val="bottom"/>
          </w:tcPr>
          <w:p>
            <w:pPr>
              <w:ind w:left="4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318,038</w:t>
            </w:r>
          </w:p>
        </w:tc>
        <w:tc>
          <w:tcPr>
            <w:tcW w:w="100" w:type="dxa"/>
            <w:vAlign w:val="bottom"/>
          </w:tcPr>
          <w:p>
            <w:pPr>
              <w:spacing w:after="0"/>
              <w:rPr>
                <w:sz w:val="10"/>
                <w:szCs w:val="10"/>
                <w:color w:val="auto"/>
              </w:rPr>
            </w:pPr>
          </w:p>
        </w:tc>
        <w:tc>
          <w:tcPr>
            <w:tcW w:w="400" w:type="dxa"/>
            <w:vAlign w:val="bottom"/>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87,851</w:t>
            </w:r>
          </w:p>
        </w:tc>
        <w:tc>
          <w:tcPr>
            <w:tcW w:w="1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27.6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Wholesale</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38,153</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99,028</w:t>
            </w:r>
          </w:p>
        </w:tc>
        <w:tc>
          <w:tcPr>
            <w:tcW w:w="120" w:type="dxa"/>
            <w:vAlign w:val="bottom"/>
            <w:tcBorders>
              <w:left w:val="single" w:sz="8" w:color="auto"/>
            </w:tcBorders>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137,181</w:t>
            </w:r>
          </w:p>
        </w:tc>
        <w:tc>
          <w:tcPr>
            <w:tcW w:w="20" w:type="dxa"/>
            <w:vAlign w:val="bottom"/>
            <w:shd w:val="clear" w:color="auto" w:fill="000000"/>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118,451</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18,730</w:t>
            </w: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Retail</w:t>
            </w:r>
          </w:p>
        </w:tc>
        <w:tc>
          <w:tcPr>
            <w:tcW w:w="14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19,780</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57,766</w:t>
            </w:r>
          </w:p>
        </w:tc>
        <w:tc>
          <w:tcPr>
            <w:tcW w:w="120" w:type="dxa"/>
            <w:vAlign w:val="bottom"/>
            <w:tcBorders>
              <w:left w:val="single" w:sz="8" w:color="auto"/>
            </w:tcBorders>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77,546</w:t>
            </w:r>
          </w:p>
        </w:tc>
        <w:tc>
          <w:tcPr>
            <w:tcW w:w="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70,857</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6,689</w:t>
            </w:r>
          </w:p>
        </w:tc>
        <w:tc>
          <w:tcPr>
            <w:tcW w:w="1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9.4</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Market Data</w:t>
            </w:r>
          </w:p>
        </w:tc>
        <w:tc>
          <w:tcPr>
            <w:tcW w:w="14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16,733</w:t>
            </w: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left w:val="single" w:sz="8" w:color="CCEEFF"/>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CCEEFF"/>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47,059</w:t>
            </w:r>
          </w:p>
        </w:tc>
        <w:tc>
          <w:tcPr>
            <w:tcW w:w="120" w:type="dxa"/>
            <w:vAlign w:val="bottom"/>
            <w:tcBorders>
              <w:left w:val="single" w:sz="8" w:color="auto"/>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63,792</w:t>
            </w:r>
          </w:p>
        </w:tc>
        <w:tc>
          <w:tcPr>
            <w:tcW w:w="20" w:type="dxa"/>
            <w:vAlign w:val="bottom"/>
            <w:tcBorders>
              <w:bottom w:val="single" w:sz="8" w:color="auto"/>
            </w:tcBorders>
            <w:shd w:val="clear" w:color="auto" w:fill="000000"/>
          </w:tcPr>
          <w:p>
            <w:pPr>
              <w:spacing w:after="0"/>
              <w:rPr>
                <w:sz w:val="10"/>
                <w:szCs w:val="10"/>
                <w:color w:val="auto"/>
              </w:rPr>
            </w:pPr>
          </w:p>
        </w:tc>
        <w:tc>
          <w:tcPr>
            <w:tcW w:w="160" w:type="dxa"/>
            <w:vAlign w:val="bottom"/>
            <w:tcBorders>
              <w:left w:val="single" w:sz="8" w:color="CCEEFF"/>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55,622</w:t>
            </w:r>
          </w:p>
        </w:tc>
        <w:tc>
          <w:tcPr>
            <w:tcW w:w="10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8,170</w:t>
            </w:r>
          </w:p>
        </w:tc>
        <w:tc>
          <w:tcPr>
            <w:tcW w:w="160" w:type="dxa"/>
            <w:vAlign w:val="bottom"/>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14.7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ind w:left="120"/>
              <w:spacing w:after="0" w:line="115" w:lineRule="exact"/>
              <w:rPr>
                <w:sz w:val="20"/>
                <w:szCs w:val="20"/>
                <w:color w:val="auto"/>
              </w:rPr>
            </w:pPr>
            <w:r>
              <w:rPr>
                <w:rFonts w:ascii="Arial" w:cs="Arial" w:eastAsia="Arial" w:hAnsi="Arial"/>
                <w:sz w:val="11"/>
                <w:szCs w:val="11"/>
                <w:color w:val="auto"/>
              </w:rPr>
              <w:t>Gross revenue</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178,637</w:t>
            </w:r>
          </w:p>
        </w:tc>
        <w:tc>
          <w:tcPr>
            <w:tcW w:w="80" w:type="dxa"/>
            <w:vAlign w:val="bottom"/>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ind w:left="60"/>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auto"/>
              </w:rPr>
              <w:t>505,771</w:t>
            </w:r>
          </w:p>
        </w:tc>
        <w:tc>
          <w:tcPr>
            <w:tcW w:w="120" w:type="dxa"/>
            <w:vAlign w:val="bottom"/>
            <w:tcBorders>
              <w:left w:val="single" w:sz="8" w:color="auto"/>
              <w:bottom w:val="single" w:sz="8" w:color="auto"/>
            </w:tcBorders>
          </w:tcPr>
          <w:p>
            <w:pPr>
              <w:ind w:left="20"/>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684,408</w:t>
            </w:r>
          </w:p>
        </w:tc>
        <w:tc>
          <w:tcPr>
            <w:tcW w:w="20" w:type="dxa"/>
            <w:vAlign w:val="bottom"/>
            <w:tcBorders>
              <w:bottom w:val="single" w:sz="8" w:color="auto"/>
            </w:tcBorders>
            <w:shd w:val="clear" w:color="auto" w:fill="000000"/>
          </w:tcPr>
          <w:p>
            <w:pPr>
              <w:spacing w:after="0"/>
              <w:rPr>
                <w:sz w:val="10"/>
                <w:szCs w:val="10"/>
                <w:color w:val="auto"/>
              </w:rPr>
            </w:pPr>
          </w:p>
        </w:tc>
        <w:tc>
          <w:tcPr>
            <w:tcW w:w="160" w:type="dxa"/>
            <w:vAlign w:val="bottom"/>
            <w:tcBorders>
              <w:bottom w:val="single" w:sz="8" w:color="auto"/>
            </w:tcBorders>
          </w:tcPr>
          <w:p>
            <w:pPr>
              <w:ind w:left="40"/>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562,968</w:t>
            </w:r>
          </w:p>
        </w:tc>
        <w:tc>
          <w:tcPr>
            <w:tcW w:w="100" w:type="dxa"/>
            <w:vAlign w:val="bottom"/>
          </w:tcPr>
          <w:p>
            <w:pPr>
              <w:spacing w:after="0"/>
              <w:rPr>
                <w:sz w:val="10"/>
                <w:szCs w:val="10"/>
                <w:color w:val="auto"/>
              </w:rPr>
            </w:pPr>
          </w:p>
        </w:tc>
        <w:tc>
          <w:tcPr>
            <w:tcW w:w="4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121,440</w:t>
            </w:r>
          </w:p>
        </w:tc>
        <w:tc>
          <w:tcPr>
            <w:tcW w:w="160" w:type="dxa"/>
            <w:vAlign w:val="bottom"/>
          </w:tcPr>
          <w:p>
            <w:pPr>
              <w:spacing w:after="0"/>
              <w:rPr>
                <w:sz w:val="10"/>
                <w:szCs w:val="10"/>
                <w:color w:val="auto"/>
              </w:rPr>
            </w:pPr>
          </w:p>
        </w:tc>
        <w:tc>
          <w:tcPr>
            <w:tcW w:w="9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7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$87.9 million or 27.6% to $405.9 million for the combined year ended December 31, 2018 from $318.0 million for the year ended December 31, 2017. The increase was derived primarily from increased Institutional transactional volumes for U.S. and European credit products, derivative products (led by European interest rate swaps, Dollar swaps and U.S. and European credit default indexes), U.S. and European ETF, European government bonds, U.S. treasury, European repurchase agreements and the product launch of China bonds.</w:t>
      </w:r>
    </w:p>
    <w:p>
      <w:pPr>
        <w:spacing w:after="0" w:line="193"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u w:val="single" w:color="auto"/>
          <w:color w:val="auto"/>
        </w:rPr>
        <w:t>Wholesale</w:t>
      </w:r>
      <w:r>
        <w:rPr>
          <w:rFonts w:ascii="Arial" w:cs="Arial" w:eastAsia="Arial" w:hAnsi="Arial"/>
          <w:sz w:val="17"/>
          <w:szCs w:val="17"/>
          <w:color w:val="auto"/>
        </w:rPr>
        <w:t>. Revenues from our Wholesale client sector increased by $18.7 million or 15.8% to $137.2 million for the combined year ended December 31, 2018 from $118.5 million for the year ended December 31, 2017. Revenue increased primarily due to higher trading volumes in U.S. credit products, repurchase agreements, U.S. ETF and U.S. treasury. The revenue increase was partially offset by lower municipal bond, ARM and specified pool trading volumes.</w:t>
      </w:r>
    </w:p>
    <w:p>
      <w:pPr>
        <w:spacing w:after="0" w:line="171" w:lineRule="exact"/>
        <w:rPr>
          <w:sz w:val="20"/>
          <w:szCs w:val="20"/>
          <w:color w:val="auto"/>
        </w:rPr>
      </w:pPr>
    </w:p>
    <w:p>
      <w:pPr>
        <w:jc w:val="both"/>
        <w:ind w:right="340" w:firstLine="360"/>
        <w:spacing w:after="0" w:line="264"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$6.7 million or 9.4% to $77.5 million for the combined year ended December 31, 2018 from $70.9 million for the year ended December 31, 2017 primarily due to strong middle markets trading volumes.</w:t>
      </w:r>
    </w:p>
    <w:p>
      <w:pPr>
        <w:spacing w:after="0" w:line="18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$8.2 million or 14.7% to $63.8 million for the combined year ended December 31, 2018 from $55.6 million for the year ended December 31, 2017 as a result of revenue from our APA reporting service launched in January 2018 in response to MiFID II, increased Refinitiv (formerly Thomson Reuters) license fees due to an increase in the number of market data feeds provided to Refinitiv and increased Gilt closing price revenues.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gross revenue by asset class for the 2018 Successor Period, the 2018 Predecessor Period, the combined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the year ended December 31, 2017, and the resulting dollar and percentage changes,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78"/>
              </w:rPr>
              <w:t>Successor</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restart"/>
          </w:tcPr>
          <w:p>
            <w:pPr>
              <w:jc w:val="center"/>
              <w:ind w:right="126"/>
              <w:spacing w:after="0"/>
              <w:rPr>
                <w:sz w:val="20"/>
                <w:szCs w:val="20"/>
                <w:color w:val="auto"/>
              </w:rPr>
            </w:pPr>
            <w:r>
              <w:rPr>
                <w:rFonts w:ascii="Arial" w:cs="Arial" w:eastAsia="Arial" w:hAnsi="Arial"/>
                <w:sz w:val="11"/>
                <w:szCs w:val="11"/>
                <w:b w:val="1"/>
                <w:bCs w:val="1"/>
                <w:color w:val="auto"/>
                <w:w w:val="84"/>
              </w:rPr>
              <w:t>Predecessor</w:t>
            </w:r>
          </w:p>
        </w:tc>
        <w:tc>
          <w:tcPr>
            <w:tcW w:w="140" w:type="dxa"/>
            <w:vAlign w:val="bottom"/>
          </w:tcPr>
          <w:p>
            <w:pPr>
              <w:spacing w:after="0"/>
              <w:rPr>
                <w:sz w:val="2"/>
                <w:szCs w:val="2"/>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85"/>
              </w:rPr>
              <w:t xml:space="preserve">Combined </w:t>
            </w:r>
            <w:r>
              <w:rPr>
                <w:rFonts w:ascii="Arial" w:cs="Arial" w:eastAsia="Arial" w:hAnsi="Arial"/>
                <w:sz w:val="11"/>
                <w:szCs w:val="11"/>
                <w:b w:val="1"/>
                <w:bCs w:val="1"/>
                <w:color w:val="auto"/>
                <w:w w:val="85"/>
                <w:vertAlign w:val="superscript"/>
              </w:rPr>
              <w:t>(1)</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90"/>
              </w:rPr>
              <w:t>Predecessor</w:t>
            </w: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160" w:type="dxa"/>
            <w:vAlign w:val="bottom"/>
            <w:gridSpan w:val="3"/>
            <w:vMerge w:val="restart"/>
          </w:tcPr>
          <w:p>
            <w:pPr>
              <w:jc w:val="right"/>
              <w:ind w:right="26"/>
              <w:spacing w:after="0"/>
              <w:rPr>
                <w:sz w:val="20"/>
                <w:szCs w:val="20"/>
                <w:color w:val="auto"/>
              </w:rPr>
            </w:pPr>
            <w:r>
              <w:rPr>
                <w:rFonts w:ascii="Arial" w:cs="Arial" w:eastAsia="Arial" w:hAnsi="Arial"/>
                <w:sz w:val="11"/>
                <w:szCs w:val="11"/>
                <w:b w:val="1"/>
                <w:bCs w:val="1"/>
                <w:color w:val="auto"/>
                <w:w w:val="87"/>
              </w:rPr>
              <w:t>Combined Year Ended December 31, 2018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40" w:type="dxa"/>
            <w:vAlign w:val="bottom"/>
            <w:tcBorders>
              <w:left w:val="single" w:sz="8" w:color="auto"/>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October 1, 2018 to</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center"/>
              <w:ind w:right="66"/>
              <w:spacing w:after="0"/>
              <w:rPr>
                <w:sz w:val="20"/>
                <w:szCs w:val="20"/>
                <w:color w:val="auto"/>
              </w:rPr>
            </w:pPr>
            <w:r>
              <w:rPr>
                <w:rFonts w:ascii="Arial" w:cs="Arial" w:eastAsia="Arial" w:hAnsi="Arial"/>
                <w:sz w:val="11"/>
                <w:szCs w:val="11"/>
                <w:b w:val="1"/>
                <w:bCs w:val="1"/>
                <w:color w:val="auto"/>
                <w:w w:val="90"/>
              </w:rPr>
              <w:t>January 1, 2018 to</w:t>
            </w:r>
          </w:p>
        </w:tc>
        <w:tc>
          <w:tcPr>
            <w:tcW w:w="140" w:type="dxa"/>
            <w:vAlign w:val="bottom"/>
            <w:tcBorders>
              <w:left w:val="single" w:sz="8" w:color="auto"/>
            </w:tcBorders>
          </w:tcPr>
          <w:p>
            <w:pPr>
              <w:spacing w:after="0"/>
              <w:rPr>
                <w:sz w:val="18"/>
                <w:szCs w:val="18"/>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Year Ended</w:t>
            </w:r>
          </w:p>
        </w:tc>
        <w:tc>
          <w:tcPr>
            <w:tcW w:w="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26"/>
              <w:spacing w:after="0"/>
              <w:rPr>
                <w:sz w:val="20"/>
                <w:szCs w:val="20"/>
                <w:color w:val="auto"/>
              </w:rPr>
            </w:pPr>
            <w:r>
              <w:rPr>
                <w:rFonts w:ascii="Arial" w:cs="Arial" w:eastAsia="Arial" w:hAnsi="Arial"/>
                <w:sz w:val="11"/>
                <w:szCs w:val="11"/>
                <w:b w:val="1"/>
                <w:bCs w:val="1"/>
                <w:color w:val="auto"/>
                <w:w w:val="99"/>
              </w:rPr>
              <w:t>Year Ended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gridSpan w:val="3"/>
          </w:tcPr>
          <w:p>
            <w:pPr>
              <w:jc w:val="right"/>
              <w:ind w:right="346"/>
              <w:spacing w:after="0"/>
              <w:rPr>
                <w:sz w:val="20"/>
                <w:szCs w:val="20"/>
                <w:color w:val="auto"/>
              </w:rPr>
            </w:pPr>
            <w:r>
              <w:rPr>
                <w:rFonts w:ascii="Arial" w:cs="Arial" w:eastAsia="Arial" w:hAnsi="Arial"/>
                <w:sz w:val="11"/>
                <w:szCs w:val="11"/>
                <w:b w:val="1"/>
                <w:bCs w:val="1"/>
                <w:color w:val="auto"/>
              </w:rPr>
              <w:t>Year Ended December 31, 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December 31, 2018</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jc w:val="center"/>
              <w:ind w:right="6"/>
              <w:spacing w:after="0"/>
              <w:rPr>
                <w:sz w:val="20"/>
                <w:szCs w:val="20"/>
                <w:color w:val="auto"/>
              </w:rPr>
            </w:pPr>
            <w:r>
              <w:rPr>
                <w:rFonts w:ascii="Arial" w:cs="Arial" w:eastAsia="Arial" w:hAnsi="Arial"/>
                <w:sz w:val="11"/>
                <w:szCs w:val="11"/>
                <w:b w:val="1"/>
                <w:bCs w:val="1"/>
                <w:color w:val="auto"/>
                <w:w w:val="87"/>
              </w:rPr>
              <w:t>September 30, 2018</w:t>
            </w:r>
          </w:p>
        </w:tc>
        <w:tc>
          <w:tcPr>
            <w:tcW w:w="940" w:type="dxa"/>
            <w:vAlign w:val="bottom"/>
            <w:tcBorders>
              <w:left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December 31, 2018</w:t>
            </w:r>
          </w:p>
        </w:tc>
        <w:tc>
          <w:tcPr>
            <w:tcW w:w="60" w:type="dxa"/>
            <w:vAlign w:val="bottom"/>
            <w:tcBorders>
              <w:left w:val="single" w:sz="8" w:color="auto"/>
            </w:tcBorders>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b w:val="1"/>
                <w:bCs w:val="1"/>
                <w:color w:val="auto"/>
                <w:w w:val="88"/>
              </w:rPr>
              <w:t>December 31, 2017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80"/>
              <w:spacing w:after="0"/>
              <w:rPr>
                <w:sz w:val="20"/>
                <w:szCs w:val="20"/>
                <w:color w:val="auto"/>
              </w:rPr>
            </w:pPr>
            <w:r>
              <w:rPr>
                <w:rFonts w:ascii="Arial" w:cs="Arial" w:eastAsia="Arial" w:hAnsi="Arial"/>
                <w:sz w:val="11"/>
                <w:szCs w:val="11"/>
                <w:b w:val="1"/>
                <w:bCs w:val="1"/>
                <w:color w:val="auto"/>
              </w:rPr>
              <w:t>$ Change</w:t>
            </w:r>
          </w:p>
        </w:tc>
        <w:tc>
          <w:tcPr>
            <w:tcW w:w="960" w:type="dxa"/>
            <w:vAlign w:val="bottom"/>
          </w:tcPr>
          <w:p>
            <w:pPr>
              <w:jc w:val="right"/>
              <w:ind w:right="186"/>
              <w:spacing w:after="0"/>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gridSpan w:val="3"/>
          </w:tcPr>
          <w:p>
            <w:pPr>
              <w:jc w:val="right"/>
              <w:ind w:right="486"/>
              <w:spacing w:after="0" w:line="115" w:lineRule="exact"/>
              <w:rPr>
                <w:sz w:val="20"/>
                <w:szCs w:val="20"/>
                <w:color w:val="auto"/>
              </w:rPr>
            </w:pPr>
            <w:r>
              <w:rPr>
                <w:rFonts w:ascii="Arial" w:cs="Arial" w:eastAsia="Arial" w:hAnsi="Arial"/>
                <w:sz w:val="11"/>
                <w:szCs w:val="11"/>
                <w:b w:val="1"/>
                <w:bCs w:val="1"/>
                <w:color w:val="auto"/>
              </w:rPr>
              <w:t>(dollars in thousands)</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auto"/>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line="122" w:lineRule="exact"/>
              <w:rPr>
                <w:sz w:val="20"/>
                <w:szCs w:val="20"/>
                <w:color w:val="auto"/>
              </w:rPr>
            </w:pPr>
            <w:r>
              <w:rPr>
                <w:rFonts w:ascii="Arial" w:cs="Arial" w:eastAsia="Arial" w:hAnsi="Arial"/>
                <w:sz w:val="11"/>
                <w:szCs w:val="11"/>
                <w:color w:val="auto"/>
              </w:rPr>
              <w:t>Rates</w:t>
            </w:r>
          </w:p>
        </w:tc>
        <w:tc>
          <w:tcPr>
            <w:tcW w:w="460" w:type="dxa"/>
            <w:vAlign w:val="bottom"/>
            <w:gridSpan w:val="2"/>
          </w:tcPr>
          <w:p>
            <w:pPr>
              <w:jc w:val="right"/>
              <w:ind w:right="48"/>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97,592</w:t>
            </w:r>
          </w:p>
        </w:tc>
        <w:tc>
          <w:tcPr>
            <w:tcW w:w="100" w:type="dxa"/>
            <w:vAlign w:val="bottom"/>
            <w:tcBorders>
              <w:right w:val="single" w:sz="8" w:color="auto"/>
            </w:tcBorders>
          </w:tcPr>
          <w:p>
            <w:pPr>
              <w:spacing w:after="0"/>
              <w:rPr>
                <w:sz w:val="10"/>
                <w:szCs w:val="10"/>
                <w:color w:val="auto"/>
              </w:rPr>
            </w:pPr>
          </w:p>
        </w:tc>
        <w:tc>
          <w:tcPr>
            <w:tcW w:w="1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6"/>
              <w:spacing w:after="0" w:line="122" w:lineRule="exact"/>
              <w:rPr>
                <w:sz w:val="20"/>
                <w:szCs w:val="20"/>
                <w:color w:val="auto"/>
              </w:rPr>
            </w:pPr>
            <w:r>
              <w:rPr>
                <w:rFonts w:ascii="Arial" w:cs="Arial" w:eastAsia="Arial" w:hAnsi="Arial"/>
                <w:sz w:val="11"/>
                <w:szCs w:val="11"/>
                <w:color w:val="auto"/>
              </w:rPr>
              <w:t>281,641</w:t>
            </w:r>
          </w:p>
        </w:tc>
        <w:tc>
          <w:tcPr>
            <w:tcW w:w="140" w:type="dxa"/>
            <w:vAlign w:val="bottom"/>
            <w:tcBorders>
              <w:left w:val="single" w:sz="8" w:color="auto"/>
            </w:tcBorders>
          </w:tcPr>
          <w:p>
            <w:pPr>
              <w:jc w:val="right"/>
              <w:ind w:right="6"/>
              <w:spacing w:after="0" w:line="122" w:lineRule="exact"/>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379,233</w:t>
            </w:r>
          </w:p>
        </w:tc>
        <w:tc>
          <w:tcPr>
            <w:tcW w:w="180" w:type="dxa"/>
            <w:vAlign w:val="bottom"/>
            <w:tcBorders>
              <w:left w:val="single" w:sz="8" w:color="auto"/>
            </w:tcBorders>
            <w:gridSpan w:val="2"/>
          </w:tcPr>
          <w:p>
            <w:pPr>
              <w:jc w:val="right"/>
              <w:ind w:right="9"/>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324,302</w:t>
            </w:r>
          </w:p>
        </w:tc>
        <w:tc>
          <w:tcPr>
            <w:tcW w:w="1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54,931</w:t>
            </w:r>
          </w:p>
        </w:tc>
        <w:tc>
          <w:tcPr>
            <w:tcW w:w="16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16.9</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Credit</w:t>
            </w: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37,204</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tcBorders>
              <w:right w:val="single" w:sz="8" w:color="CCEEFF"/>
            </w:tcBorders>
            <w:gridSpan w:val="2"/>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102,452</w:t>
            </w:r>
          </w:p>
        </w:tc>
        <w:tc>
          <w:tcPr>
            <w:tcW w:w="140" w:type="dxa"/>
            <w:vAlign w:val="bottom"/>
            <w:tcBorders>
              <w:left w:val="single" w:sz="8" w:color="auto"/>
            </w:tcBorders>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139,656</w:t>
            </w: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105,336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34,320</w:t>
            </w: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280" w:type="dxa"/>
            <w:vAlign w:val="bottom"/>
          </w:tcPr>
          <w:p>
            <w:pPr>
              <w:spacing w:after="0" w:line="122" w:lineRule="exact"/>
              <w:rPr>
                <w:sz w:val="20"/>
                <w:szCs w:val="20"/>
                <w:color w:val="auto"/>
              </w:rPr>
            </w:pPr>
            <w:r>
              <w:rPr>
                <w:rFonts w:ascii="Arial" w:cs="Arial" w:eastAsia="Arial" w:hAnsi="Arial"/>
                <w:sz w:val="11"/>
                <w:szCs w:val="11"/>
                <w:color w:val="auto"/>
              </w:rPr>
              <w:t>Equities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12,592</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right"/>
              <w:ind w:right="26"/>
              <w:spacing w:after="0" w:line="122" w:lineRule="exact"/>
              <w:rPr>
                <w:sz w:val="20"/>
                <w:szCs w:val="20"/>
                <w:color w:val="auto"/>
              </w:rPr>
            </w:pPr>
            <w:r>
              <w:rPr>
                <w:rFonts w:ascii="Arial" w:cs="Arial" w:eastAsia="Arial" w:hAnsi="Arial"/>
                <w:sz w:val="11"/>
                <w:szCs w:val="11"/>
                <w:color w:val="auto"/>
              </w:rPr>
              <w:t>28,347</w:t>
            </w:r>
          </w:p>
        </w:tc>
        <w:tc>
          <w:tcPr>
            <w:tcW w:w="140" w:type="dxa"/>
            <w:vAlign w:val="bottom"/>
            <w:tcBorders>
              <w:left w:val="single" w:sz="8" w:color="auto"/>
            </w:tcBorders>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40,939</w:t>
            </w:r>
          </w:p>
        </w:tc>
        <w:tc>
          <w:tcPr>
            <w:tcW w:w="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23,681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17,258</w:t>
            </w:r>
          </w:p>
        </w:tc>
        <w:tc>
          <w:tcPr>
            <w:tcW w:w="16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72.9</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Money Markets</w:t>
            </w: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9,493</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tcBorders>
              <w:right w:val="single" w:sz="8" w:color="CCEEFF"/>
            </w:tcBorders>
            <w:gridSpan w:val="2"/>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25,248</w:t>
            </w:r>
          </w:p>
        </w:tc>
        <w:tc>
          <w:tcPr>
            <w:tcW w:w="140" w:type="dxa"/>
            <w:vAlign w:val="bottom"/>
            <w:tcBorders>
              <w:left w:val="single" w:sz="8" w:color="auto"/>
            </w:tcBorders>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34,741</w:t>
            </w: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28,633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6,108</w:t>
            </w: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280" w:type="dxa"/>
            <w:vAlign w:val="bottom"/>
          </w:tcPr>
          <w:p>
            <w:pPr>
              <w:spacing w:after="0" w:line="122" w:lineRule="exact"/>
              <w:rPr>
                <w:sz w:val="20"/>
                <w:szCs w:val="20"/>
                <w:color w:val="auto"/>
              </w:rPr>
            </w:pPr>
            <w:r>
              <w:rPr>
                <w:rFonts w:ascii="Arial" w:cs="Arial" w:eastAsia="Arial" w:hAnsi="Arial"/>
                <w:sz w:val="11"/>
                <w:szCs w:val="11"/>
                <w:color w:val="auto"/>
              </w:rPr>
              <w:t>Market Data</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16,733</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right"/>
              <w:ind w:right="26"/>
              <w:spacing w:after="0" w:line="122" w:lineRule="exact"/>
              <w:rPr>
                <w:sz w:val="20"/>
                <w:szCs w:val="20"/>
                <w:color w:val="auto"/>
              </w:rPr>
            </w:pPr>
            <w:r>
              <w:rPr>
                <w:rFonts w:ascii="Arial" w:cs="Arial" w:eastAsia="Arial" w:hAnsi="Arial"/>
                <w:sz w:val="11"/>
                <w:szCs w:val="11"/>
                <w:color w:val="auto"/>
              </w:rPr>
              <w:t>47,059</w:t>
            </w:r>
          </w:p>
        </w:tc>
        <w:tc>
          <w:tcPr>
            <w:tcW w:w="140" w:type="dxa"/>
            <w:vAlign w:val="bottom"/>
            <w:tcBorders>
              <w:left w:val="single" w:sz="8" w:color="auto"/>
            </w:tcBorders>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63,792</w:t>
            </w:r>
          </w:p>
        </w:tc>
        <w:tc>
          <w:tcPr>
            <w:tcW w:w="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55,622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spacing w:after="0" w:line="122" w:lineRule="exact"/>
              <w:rPr>
                <w:sz w:val="20"/>
                <w:szCs w:val="20"/>
                <w:color w:val="auto"/>
              </w:rPr>
            </w:pPr>
            <w:r>
              <w:rPr>
                <w:rFonts w:ascii="Arial" w:cs="Arial" w:eastAsia="Arial" w:hAnsi="Arial"/>
                <w:sz w:val="11"/>
                <w:szCs w:val="11"/>
                <w:color w:val="auto"/>
              </w:rPr>
              <w:t>8,170</w:t>
            </w:r>
          </w:p>
        </w:tc>
        <w:tc>
          <w:tcPr>
            <w:tcW w:w="16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14.7</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 Fees</w:t>
            </w: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5,023</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tcBorders>
              <w:right w:val="single" w:sz="8" w:color="CCEEFF"/>
            </w:tcBorders>
            <w:gridSpan w:val="2"/>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21,024</w:t>
            </w:r>
          </w:p>
        </w:tc>
        <w:tc>
          <w:tcPr>
            <w:tcW w:w="140" w:type="dxa"/>
            <w:vAlign w:val="bottom"/>
            <w:tcBorders>
              <w:left w:val="single" w:sz="8" w:color="auto"/>
            </w:tcBorders>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26,047</w:t>
            </w:r>
          </w:p>
        </w:tc>
        <w:tc>
          <w:tcPr>
            <w:tcW w:w="60" w:type="dxa"/>
            <w:vAlign w:val="bottom"/>
            <w:tcBorders>
              <w:lef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25,394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653</w:t>
            </w: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280" w:type="dxa"/>
            <w:vAlign w:val="bottom"/>
          </w:tcPr>
          <w:p>
            <w:pPr>
              <w:ind w:left="120"/>
              <w:spacing w:after="0" w:line="115" w:lineRule="exact"/>
              <w:rPr>
                <w:sz w:val="20"/>
                <w:szCs w:val="20"/>
                <w:color w:val="auto"/>
              </w:rPr>
            </w:pPr>
            <w:r>
              <w:rPr>
                <w:rFonts w:ascii="Arial" w:cs="Arial" w:eastAsia="Arial" w:hAnsi="Arial"/>
                <w:sz w:val="11"/>
                <w:szCs w:val="11"/>
                <w:color w:val="auto"/>
              </w:rPr>
              <w:t>Gross revenue</w:t>
            </w:r>
          </w:p>
        </w:tc>
        <w:tc>
          <w:tcPr>
            <w:tcW w:w="3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178,637</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auto"/>
              </w:rPr>
              <w:t>505,771</w:t>
            </w:r>
          </w:p>
        </w:tc>
        <w:tc>
          <w:tcPr>
            <w:tcW w:w="140" w:type="dxa"/>
            <w:vAlign w:val="bottom"/>
            <w:tcBorders>
              <w:top w:val="single" w:sz="8" w:color="auto"/>
              <w:left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684,408</w:t>
            </w:r>
          </w:p>
        </w:tc>
        <w:tc>
          <w:tcPr>
            <w:tcW w:w="60" w:type="dxa"/>
            <w:vAlign w:val="bottom"/>
            <w:tcBorders>
              <w:left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562,968</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121,440</w:t>
            </w:r>
          </w:p>
        </w:tc>
        <w:tc>
          <w:tcPr>
            <w:tcW w:w="160" w:type="dxa"/>
            <w:vAlign w:val="bottom"/>
          </w:tcPr>
          <w:p>
            <w:pPr>
              <w:spacing w:after="0"/>
              <w:rPr>
                <w:sz w:val="10"/>
                <w:szCs w:val="10"/>
                <w:color w:val="auto"/>
              </w:rPr>
            </w:pP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variable and fixed revenues by asset class for the 2018 Successor Period, the 2018 Predecessor Period, the combined year ended December 31, 2018 and the year ended December 31, 2017, and the resulting dollar and percentage changes,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5"/>
            <w:vMerge w:val="restart"/>
          </w:tcPr>
          <w:p>
            <w:pPr>
              <w:jc w:val="right"/>
              <w:ind w:right="306"/>
              <w:spacing w:after="0"/>
              <w:rPr>
                <w:sz w:val="20"/>
                <w:szCs w:val="20"/>
                <w:color w:val="auto"/>
              </w:rPr>
            </w:pPr>
            <w:r>
              <w:rPr>
                <w:rFonts w:ascii="Arial" w:cs="Arial" w:eastAsia="Arial" w:hAnsi="Arial"/>
                <w:sz w:val="11"/>
                <w:szCs w:val="11"/>
                <w:b w:val="1"/>
                <w:bCs w:val="1"/>
                <w:color w:val="auto"/>
              </w:rPr>
              <w:t>Successor</w:t>
            </w: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84"/>
              </w:rPr>
              <w:t>Predecessor</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5"/>
            <w:vMerge w:val="restart"/>
          </w:tcPr>
          <w:p>
            <w:pPr>
              <w:jc w:val="center"/>
              <w:ind w:right="120"/>
              <w:spacing w:after="0"/>
              <w:rPr>
                <w:sz w:val="20"/>
                <w:szCs w:val="20"/>
                <w:color w:val="auto"/>
              </w:rPr>
            </w:pPr>
            <w:r>
              <w:rPr>
                <w:rFonts w:ascii="Arial" w:cs="Arial" w:eastAsia="Arial" w:hAnsi="Arial"/>
                <w:sz w:val="11"/>
                <w:szCs w:val="11"/>
                <w:b w:val="1"/>
                <w:bCs w:val="1"/>
                <w:color w:val="auto"/>
                <w:w w:val="85"/>
              </w:rPr>
              <w:t>Combined</w:t>
            </w:r>
            <w:r>
              <w:rPr>
                <w:rFonts w:ascii="Arial" w:cs="Arial" w:eastAsia="Arial" w:hAnsi="Arial"/>
                <w:sz w:val="11"/>
                <w:szCs w:val="11"/>
                <w:b w:val="1"/>
                <w:bCs w:val="1"/>
                <w:color w:val="auto"/>
                <w:w w:val="85"/>
                <w:vertAlign w:val="superscript"/>
              </w:rPr>
              <w:t>(1)</w:t>
            </w:r>
          </w:p>
        </w:tc>
        <w:tc>
          <w:tcPr>
            <w:tcW w:w="20" w:type="dxa"/>
            <w:vAlign w:val="bottom"/>
          </w:tcPr>
          <w:p>
            <w:pPr>
              <w:spacing w:after="0"/>
              <w:rPr>
                <w:sz w:val="2"/>
                <w:szCs w:val="2"/>
                <w:color w:val="auto"/>
              </w:rPr>
            </w:pPr>
          </w:p>
        </w:tc>
        <w:tc>
          <w:tcPr>
            <w:tcW w:w="1260" w:type="dxa"/>
            <w:vAlign w:val="bottom"/>
            <w:gridSpan w:val="5"/>
            <w:vMerge w:val="restart"/>
          </w:tcPr>
          <w:p>
            <w:pPr>
              <w:jc w:val="center"/>
              <w:ind w:right="60"/>
              <w:spacing w:after="0"/>
              <w:rPr>
                <w:sz w:val="20"/>
                <w:szCs w:val="20"/>
                <w:color w:val="auto"/>
              </w:rPr>
            </w:pPr>
            <w:r>
              <w:rPr>
                <w:rFonts w:ascii="Arial" w:cs="Arial" w:eastAsia="Arial" w:hAnsi="Arial"/>
                <w:sz w:val="11"/>
                <w:szCs w:val="11"/>
                <w:b w:val="1"/>
                <w:bCs w:val="1"/>
                <w:color w:val="auto"/>
                <w:w w:val="84"/>
              </w:rPr>
              <w:t>Predecessor</w:t>
            </w:r>
          </w:p>
        </w:tc>
        <w:tc>
          <w:tcPr>
            <w:tcW w:w="80" w:type="dxa"/>
            <w:vAlign w:val="bottom"/>
          </w:tcPr>
          <w:p>
            <w:pPr>
              <w:spacing w:after="0"/>
              <w:rPr>
                <w:sz w:val="2"/>
                <w:szCs w:val="2"/>
                <w:color w:val="auto"/>
              </w:rPr>
            </w:pPr>
          </w:p>
        </w:tc>
        <w:tc>
          <w:tcPr>
            <w:tcW w:w="2140" w:type="dxa"/>
            <w:vAlign w:val="bottom"/>
            <w:gridSpan w:val="9"/>
            <w:vMerge w:val="restart"/>
          </w:tcPr>
          <w:p>
            <w:pPr>
              <w:jc w:val="center"/>
              <w:spacing w:after="0"/>
              <w:rPr>
                <w:sz w:val="20"/>
                <w:szCs w:val="20"/>
                <w:color w:val="auto"/>
              </w:rPr>
            </w:pPr>
            <w:r>
              <w:rPr>
                <w:rFonts w:ascii="Arial" w:cs="Arial" w:eastAsia="Arial" w:hAnsi="Arial"/>
                <w:sz w:val="11"/>
                <w:szCs w:val="11"/>
                <w:b w:val="1"/>
                <w:bCs w:val="1"/>
                <w:color w:val="auto"/>
                <w:w w:val="88"/>
              </w:rPr>
              <w:t>Combined Year Ended December 31, 2018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5"/>
            <w:vMerge w:val="continue"/>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5"/>
          </w:tcPr>
          <w:p>
            <w:pPr>
              <w:jc w:val="right"/>
              <w:ind w:right="126"/>
              <w:spacing w:after="0" w:line="115" w:lineRule="exact"/>
              <w:rPr>
                <w:sz w:val="20"/>
                <w:szCs w:val="20"/>
                <w:color w:val="auto"/>
              </w:rPr>
            </w:pPr>
            <w:r>
              <w:rPr>
                <w:rFonts w:ascii="Arial" w:cs="Arial" w:eastAsia="Arial" w:hAnsi="Arial"/>
                <w:sz w:val="11"/>
                <w:szCs w:val="11"/>
                <w:b w:val="1"/>
                <w:bCs w:val="1"/>
                <w:color w:val="auto"/>
                <w:w w:val="88"/>
              </w:rPr>
              <w:t>October 1, 2018 to</w:t>
            </w:r>
          </w:p>
        </w:tc>
        <w:tc>
          <w:tcPr>
            <w:tcW w:w="80" w:type="dxa"/>
            <w:vAlign w:val="bottom"/>
            <w:tcBorders>
              <w:left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4"/>
          </w:tcPr>
          <w:p>
            <w:pPr>
              <w:jc w:val="center"/>
              <w:ind w:right="6"/>
              <w:spacing w:after="0" w:line="115" w:lineRule="exact"/>
              <w:rPr>
                <w:sz w:val="20"/>
                <w:szCs w:val="20"/>
                <w:color w:val="auto"/>
              </w:rPr>
            </w:pPr>
            <w:r>
              <w:rPr>
                <w:rFonts w:ascii="Arial" w:cs="Arial" w:eastAsia="Arial" w:hAnsi="Arial"/>
                <w:sz w:val="11"/>
                <w:szCs w:val="11"/>
                <w:b w:val="1"/>
                <w:bCs w:val="1"/>
                <w:color w:val="auto"/>
                <w:w w:val="90"/>
              </w:rPr>
              <w:t>January 1, 2018 to</w:t>
            </w: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4"/>
          </w:tcPr>
          <w:p>
            <w:pPr>
              <w:jc w:val="center"/>
              <w:spacing w:after="0" w:line="115" w:lineRule="exact"/>
              <w:rPr>
                <w:sz w:val="20"/>
                <w:szCs w:val="20"/>
                <w:color w:val="auto"/>
              </w:rPr>
            </w:pPr>
            <w:r>
              <w:rPr>
                <w:rFonts w:ascii="Arial" w:cs="Arial" w:eastAsia="Arial" w:hAnsi="Arial"/>
                <w:sz w:val="11"/>
                <w:szCs w:val="11"/>
                <w:b w:val="1"/>
                <w:bCs w:val="1"/>
                <w:color w:val="auto"/>
                <w:w w:val="89"/>
              </w:rPr>
              <w:t>Year Ended</w:t>
            </w: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1160" w:type="dxa"/>
            <w:vAlign w:val="bottom"/>
            <w:tcBorders>
              <w:top w:val="single" w:sz="8" w:color="auto"/>
            </w:tcBorders>
            <w:gridSpan w:val="4"/>
          </w:tcPr>
          <w:p>
            <w:pPr>
              <w:jc w:val="center"/>
              <w:spacing w:after="0" w:line="115" w:lineRule="exact"/>
              <w:rPr>
                <w:sz w:val="20"/>
                <w:szCs w:val="20"/>
                <w:color w:val="auto"/>
              </w:rPr>
            </w:pPr>
            <w:r>
              <w:rPr>
                <w:rFonts w:ascii="Arial" w:cs="Arial" w:eastAsia="Arial" w:hAnsi="Arial"/>
                <w:sz w:val="11"/>
                <w:szCs w:val="11"/>
                <w:b w:val="1"/>
                <w:bCs w:val="1"/>
                <w:color w:val="auto"/>
                <w:w w:val="92"/>
              </w:rPr>
              <w:t>Year Ended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Borders>
              <w:bottom w:val="single" w:sz="8" w:color="auto"/>
            </w:tcBorders>
            <w:gridSpan w:val="8"/>
          </w:tcPr>
          <w:p>
            <w:pPr>
              <w:jc w:val="center"/>
              <w:ind w:left="286"/>
              <w:spacing w:after="0" w:line="115" w:lineRule="exact"/>
              <w:rPr>
                <w:sz w:val="20"/>
                <w:szCs w:val="20"/>
                <w:color w:val="auto"/>
              </w:rPr>
            </w:pPr>
            <w:r>
              <w:rPr>
                <w:rFonts w:ascii="Arial" w:cs="Arial" w:eastAsia="Arial" w:hAnsi="Arial"/>
                <w:sz w:val="11"/>
                <w:szCs w:val="11"/>
                <w:b w:val="1"/>
                <w:bCs w:val="1"/>
                <w:color w:val="auto"/>
                <w:w w:val="88"/>
              </w:rPr>
              <w:t>Year Ended December 31, 2017</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5"/>
          </w:tcPr>
          <w:p>
            <w:pPr>
              <w:jc w:val="right"/>
              <w:ind w:right="106"/>
              <w:spacing w:after="0" w:line="115" w:lineRule="exact"/>
              <w:rPr>
                <w:sz w:val="20"/>
                <w:szCs w:val="20"/>
                <w:color w:val="auto"/>
              </w:rPr>
            </w:pPr>
            <w:r>
              <w:rPr>
                <w:rFonts w:ascii="Arial" w:cs="Arial" w:eastAsia="Arial" w:hAnsi="Arial"/>
                <w:sz w:val="11"/>
                <w:szCs w:val="11"/>
                <w:b w:val="1"/>
                <w:bCs w:val="1"/>
                <w:color w:val="auto"/>
                <w:w w:val="86"/>
              </w:rPr>
              <w:t>December 31, 2018</w:t>
            </w:r>
          </w:p>
        </w:tc>
        <w:tc>
          <w:tcPr>
            <w:tcW w:w="8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tcPr>
          <w:p>
            <w:pPr>
              <w:jc w:val="center"/>
              <w:ind w:right="140"/>
              <w:spacing w:after="0" w:line="115" w:lineRule="exact"/>
              <w:rPr>
                <w:sz w:val="20"/>
                <w:szCs w:val="20"/>
                <w:color w:val="auto"/>
              </w:rPr>
            </w:pPr>
            <w:r>
              <w:rPr>
                <w:rFonts w:ascii="Arial" w:cs="Arial" w:eastAsia="Arial" w:hAnsi="Arial"/>
                <w:sz w:val="11"/>
                <w:szCs w:val="11"/>
                <w:b w:val="1"/>
                <w:bCs w:val="1"/>
                <w:color w:val="auto"/>
                <w:w w:val="87"/>
              </w:rPr>
              <w:t>September 30, 2018</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5"/>
          </w:tcPr>
          <w:p>
            <w:pPr>
              <w:jc w:val="center"/>
              <w:ind w:right="140"/>
              <w:spacing w:after="0" w:line="115" w:lineRule="exact"/>
              <w:rPr>
                <w:sz w:val="20"/>
                <w:szCs w:val="20"/>
                <w:color w:val="auto"/>
              </w:rPr>
            </w:pPr>
            <w:r>
              <w:rPr>
                <w:rFonts w:ascii="Arial" w:cs="Arial" w:eastAsia="Arial" w:hAnsi="Arial"/>
                <w:sz w:val="11"/>
                <w:szCs w:val="11"/>
                <w:b w:val="1"/>
                <w:bCs w:val="1"/>
                <w:color w:val="auto"/>
                <w:w w:val="88"/>
              </w:rPr>
              <w:t>December 31, 2018</w:t>
            </w:r>
          </w:p>
        </w:tc>
        <w:tc>
          <w:tcPr>
            <w:tcW w:w="20" w:type="dxa"/>
            <w:vAlign w:val="bottom"/>
            <w:shd w:val="clear" w:color="auto" w:fill="000000"/>
          </w:tcPr>
          <w:p>
            <w:pPr>
              <w:spacing w:after="0"/>
              <w:rPr>
                <w:sz w:val="10"/>
                <w:szCs w:val="10"/>
                <w:color w:val="auto"/>
              </w:rPr>
            </w:pPr>
          </w:p>
        </w:tc>
        <w:tc>
          <w:tcPr>
            <w:tcW w:w="1260" w:type="dxa"/>
            <w:vAlign w:val="bottom"/>
            <w:gridSpan w:val="5"/>
          </w:tcPr>
          <w:p>
            <w:pPr>
              <w:jc w:val="center"/>
              <w:ind w:right="60"/>
              <w:spacing w:after="0" w:line="115" w:lineRule="exact"/>
              <w:rPr>
                <w:sz w:val="20"/>
                <w:szCs w:val="20"/>
                <w:color w:val="auto"/>
              </w:rPr>
            </w:pPr>
            <w:r>
              <w:rPr>
                <w:rFonts w:ascii="Arial" w:cs="Arial" w:eastAsia="Arial" w:hAnsi="Arial"/>
                <w:sz w:val="11"/>
                <w:szCs w:val="11"/>
                <w:b w:val="1"/>
                <w:bCs w:val="1"/>
                <w:color w:val="auto"/>
                <w:w w:val="88"/>
              </w:rPr>
              <w:t>December 31, 2017</w:t>
            </w:r>
          </w:p>
        </w:tc>
        <w:tc>
          <w:tcPr>
            <w:tcW w:w="80" w:type="dxa"/>
            <w:vAlign w:val="bottom"/>
          </w:tcPr>
          <w:p>
            <w:pPr>
              <w:spacing w:after="0"/>
              <w:rPr>
                <w:sz w:val="10"/>
                <w:szCs w:val="10"/>
                <w:color w:val="auto"/>
              </w:rPr>
            </w:pPr>
          </w:p>
        </w:tc>
        <w:tc>
          <w:tcPr>
            <w:tcW w:w="1140" w:type="dxa"/>
            <w:vAlign w:val="bottom"/>
            <w:gridSpan w:val="5"/>
          </w:tcPr>
          <w:p>
            <w:pPr>
              <w:ind w:left="260"/>
              <w:spacing w:after="0" w:line="115" w:lineRule="exact"/>
              <w:rPr>
                <w:sz w:val="20"/>
                <w:szCs w:val="20"/>
                <w:color w:val="auto"/>
              </w:rPr>
            </w:pPr>
            <w:r>
              <w:rPr>
                <w:rFonts w:ascii="Arial" w:cs="Arial" w:eastAsia="Arial" w:hAnsi="Arial"/>
                <w:sz w:val="11"/>
                <w:szCs w:val="11"/>
                <w:b w:val="1"/>
                <w:bCs w:val="1"/>
                <w:color w:val="auto"/>
              </w:rPr>
              <w:t>$ Change</w:t>
            </w:r>
          </w:p>
        </w:tc>
        <w:tc>
          <w:tcPr>
            <w:tcW w:w="1000" w:type="dxa"/>
            <w:vAlign w:val="bottom"/>
            <w:gridSpan w:val="4"/>
          </w:tcPr>
          <w:p>
            <w:pPr>
              <w:jc w:val="right"/>
              <w:ind w:right="206"/>
              <w:spacing w:after="0" w:line="115" w:lineRule="exact"/>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600" w:type="dxa"/>
            <w:vAlign w:val="bottom"/>
            <w:tcBorders>
              <w:top w:val="single" w:sz="8" w:color="auto"/>
            </w:tcBorders>
            <w:gridSpan w:val="4"/>
          </w:tcPr>
          <w:p>
            <w:pPr>
              <w:ind w:left="40"/>
              <w:spacing w:after="0" w:line="115" w:lineRule="exact"/>
              <w:rPr>
                <w:sz w:val="20"/>
                <w:szCs w:val="20"/>
                <w:color w:val="auto"/>
              </w:rPr>
            </w:pPr>
            <w:r>
              <w:rPr>
                <w:rFonts w:ascii="Arial" w:cs="Arial" w:eastAsia="Arial" w:hAnsi="Arial"/>
                <w:sz w:val="11"/>
                <w:szCs w:val="11"/>
                <w:b w:val="1"/>
                <w:bCs w:val="1"/>
                <w:color w:val="auto"/>
              </w:rPr>
              <w:t>Variable</w:t>
            </w: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w w:val="90"/>
              </w:rPr>
              <w:t>Fixed</w:t>
            </w:r>
          </w:p>
        </w:tc>
        <w:tc>
          <w:tcPr>
            <w:tcW w:w="80" w:type="dxa"/>
            <w:vAlign w:val="bottom"/>
            <w:tcBorders>
              <w:left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83"/>
              </w:rPr>
              <w:t>Variable</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7"/>
              </w:rPr>
              <w:t>Fixed</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Variable</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7"/>
              </w:rPr>
              <w:t>Fixed</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6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1"/>
                <w:szCs w:val="11"/>
                <w:b w:val="1"/>
                <w:bCs w:val="1"/>
                <w:color w:val="auto"/>
              </w:rPr>
              <w:t>Variable</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7"/>
              </w:rPr>
              <w:t>Fixed</w:t>
            </w:r>
          </w:p>
        </w:tc>
        <w:tc>
          <w:tcPr>
            <w:tcW w:w="100" w:type="dxa"/>
            <w:vAlign w:val="bottom"/>
          </w:tcPr>
          <w:p>
            <w:pPr>
              <w:spacing w:after="0"/>
              <w:rPr>
                <w:sz w:val="10"/>
                <w:szCs w:val="10"/>
                <w:color w:val="auto"/>
              </w:rPr>
            </w:pPr>
          </w:p>
        </w:tc>
        <w:tc>
          <w:tcPr>
            <w:tcW w:w="60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1"/>
                <w:szCs w:val="11"/>
                <w:b w:val="1"/>
                <w:bCs w:val="1"/>
                <w:color w:val="auto"/>
              </w:rPr>
              <w:t>Variable</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0"/>
              </w:rPr>
              <w:t>Fixed</w:t>
            </w: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8"/>
              </w:rPr>
              <w:t>Variable</w:t>
            </w: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w w:val="90"/>
              </w:rPr>
              <w:t>Fixed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6"/>
          </w:tcPr>
          <w:p>
            <w:pPr>
              <w:ind w:left="20"/>
              <w:spacing w:after="0" w:line="115" w:lineRule="exact"/>
              <w:rPr>
                <w:sz w:val="20"/>
                <w:szCs w:val="20"/>
                <w:color w:val="auto"/>
              </w:rPr>
            </w:pPr>
            <w:r>
              <w:rPr>
                <w:rFonts w:ascii="Arial" w:cs="Arial" w:eastAsia="Arial" w:hAnsi="Arial"/>
                <w:sz w:val="11"/>
                <w:szCs w:val="11"/>
                <w:b w:val="1"/>
                <w:bCs w:val="1"/>
                <w:color w:val="auto"/>
                <w:w w:val="99"/>
              </w:rPr>
              <w:t>(dollars in thousands)</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line="122" w:lineRule="exact"/>
              <w:rPr>
                <w:sz w:val="20"/>
                <w:szCs w:val="20"/>
                <w:color w:val="auto"/>
              </w:rPr>
            </w:pPr>
            <w:r>
              <w:rPr>
                <w:rFonts w:ascii="Arial" w:cs="Arial" w:eastAsia="Arial" w:hAnsi="Arial"/>
                <w:sz w:val="11"/>
                <w:szCs w:val="11"/>
                <w:color w:val="auto"/>
              </w:rPr>
              <w:t>Rates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47,868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ind w:right="46"/>
              <w:spacing w:after="0" w:line="122" w:lineRule="exact"/>
              <w:rPr>
                <w:sz w:val="20"/>
                <w:szCs w:val="20"/>
                <w:color w:val="auto"/>
              </w:rPr>
            </w:pPr>
            <w:r>
              <w:rPr>
                <w:rFonts w:ascii="Arial" w:cs="Arial" w:eastAsia="Arial" w:hAnsi="Arial"/>
                <w:sz w:val="11"/>
                <w:szCs w:val="11"/>
                <w:color w:val="auto"/>
                <w:w w:val="94"/>
              </w:rPr>
              <w:t>49,724</w:t>
            </w:r>
          </w:p>
        </w:tc>
        <w:tc>
          <w:tcPr>
            <w:tcW w:w="140" w:type="dxa"/>
            <w:vAlign w:val="bottom"/>
            <w:tcBorders>
              <w:left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w w:val="95"/>
              </w:rPr>
              <w:t>133,183</w:t>
            </w:r>
          </w:p>
        </w:tc>
        <w:tc>
          <w:tcPr>
            <w:tcW w:w="1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90"/>
              </w:rPr>
              <w:t>148,458</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w w:val="95"/>
              </w:rPr>
              <w:t>181,051</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90"/>
              </w:rPr>
              <w:t>198,182</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w w:val="97"/>
              </w:rPr>
              <w:t>$ 143,840</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90"/>
              </w:rPr>
              <w:t>180,462</w:t>
            </w:r>
          </w:p>
        </w:tc>
        <w:tc>
          <w:tcPr>
            <w:tcW w:w="1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37,211</w:t>
            </w:r>
          </w:p>
        </w:tc>
        <w:tc>
          <w:tcPr>
            <w:tcW w:w="1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17,720</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25.9</w:t>
            </w:r>
          </w:p>
        </w:tc>
        <w:tc>
          <w:tcPr>
            <w:tcW w:w="180" w:type="dxa"/>
            <w:vAlign w:val="bottom"/>
          </w:tcPr>
          <w:p>
            <w:pPr>
              <w:jc w:val="right"/>
              <w:ind w:right="26"/>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9.8</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Credit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31,976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5,228</w:t>
            </w:r>
          </w:p>
        </w:tc>
        <w:tc>
          <w:tcPr>
            <w:tcW w:w="80" w:type="dxa"/>
            <w:vAlign w:val="bottom"/>
            <w:tcBorders>
              <w:lef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87,241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15,211</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5"/>
              </w:rPr>
              <w:t>119,217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20,439</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90,846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14,490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28,371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5,949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31.2</w:t>
            </w:r>
          </w:p>
        </w:tc>
        <w:tc>
          <w:tcPr>
            <w:tcW w:w="1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840" w:type="dxa"/>
            <w:vAlign w:val="bottom"/>
          </w:tcPr>
          <w:p>
            <w:pPr>
              <w:spacing w:after="0" w:line="122" w:lineRule="exact"/>
              <w:rPr>
                <w:sz w:val="20"/>
                <w:szCs w:val="20"/>
                <w:color w:val="auto"/>
              </w:rPr>
            </w:pPr>
            <w:r>
              <w:rPr>
                <w:rFonts w:ascii="Arial" w:cs="Arial" w:eastAsia="Arial" w:hAnsi="Arial"/>
                <w:sz w:val="11"/>
                <w:szCs w:val="11"/>
                <w:color w:val="auto"/>
              </w:rPr>
              <w:t>Equities</w:t>
            </w:r>
          </w:p>
        </w:tc>
        <w:tc>
          <w:tcPr>
            <w:tcW w:w="8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10,949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1,643</w:t>
            </w:r>
          </w:p>
        </w:tc>
        <w:tc>
          <w:tcPr>
            <w:tcW w:w="8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23,494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4,853</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34,443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6,496</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19,150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4,531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15,293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1,965</w:t>
            </w: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79.9</w:t>
            </w:r>
          </w:p>
        </w:tc>
        <w:tc>
          <w:tcPr>
            <w:tcW w:w="180" w:type="dxa"/>
            <w:vAlign w:val="bottom"/>
          </w:tcPr>
          <w:p>
            <w:pPr>
              <w:jc w:val="right"/>
              <w:ind w:right="26"/>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43.4</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Money Markets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6,040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3,453</w:t>
            </w:r>
          </w:p>
        </w:tc>
        <w:tc>
          <w:tcPr>
            <w:tcW w:w="80" w:type="dxa"/>
            <w:vAlign w:val="bottom"/>
            <w:tcBorders>
              <w:lef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14,803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10,445</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20,843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13,898</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15,055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13,578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5,788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38.4</w:t>
            </w:r>
          </w:p>
        </w:tc>
        <w:tc>
          <w:tcPr>
            <w:tcW w:w="1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840" w:type="dxa"/>
            <w:vAlign w:val="bottom"/>
          </w:tcPr>
          <w:p>
            <w:pPr>
              <w:spacing w:after="0" w:line="122" w:lineRule="exact"/>
              <w:rPr>
                <w:sz w:val="20"/>
                <w:szCs w:val="20"/>
                <w:color w:val="auto"/>
              </w:rPr>
            </w:pPr>
            <w:r>
              <w:rPr>
                <w:rFonts w:ascii="Arial" w:cs="Arial" w:eastAsia="Arial" w:hAnsi="Arial"/>
                <w:sz w:val="11"/>
                <w:szCs w:val="11"/>
                <w:color w:val="auto"/>
              </w:rPr>
              <w:t>Market Data</w:t>
            </w:r>
          </w:p>
        </w:tc>
        <w:tc>
          <w:tcPr>
            <w:tcW w:w="80" w:type="dxa"/>
            <w:vAlign w:val="bottom"/>
          </w:tcPr>
          <w:p>
            <w:pPr>
              <w:spacing w:after="0"/>
              <w:rPr>
                <w:sz w:val="10"/>
                <w:szCs w:val="10"/>
                <w:color w:val="auto"/>
              </w:rPr>
            </w:pPr>
          </w:p>
        </w:tc>
        <w:tc>
          <w:tcPr>
            <w:tcW w:w="52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40" w:type="dxa"/>
            <w:vAlign w:val="bottom"/>
          </w:tcPr>
          <w:p>
            <w:pPr>
              <w:jc w:val="right"/>
              <w:ind w:right="46"/>
              <w:spacing w:after="0" w:line="122" w:lineRule="exact"/>
              <w:rPr>
                <w:sz w:val="20"/>
                <w:szCs w:val="20"/>
                <w:color w:val="auto"/>
              </w:rPr>
            </w:pPr>
            <w:r>
              <w:rPr>
                <w:rFonts w:ascii="Arial" w:cs="Arial" w:eastAsia="Arial" w:hAnsi="Arial"/>
                <w:sz w:val="11"/>
                <w:szCs w:val="11"/>
                <w:color w:val="auto"/>
                <w:w w:val="94"/>
              </w:rPr>
              <w:t>16,733</w:t>
            </w:r>
          </w:p>
        </w:tc>
        <w:tc>
          <w:tcPr>
            <w:tcW w:w="8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47,059</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63,792</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55,622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8,170</w:t>
            </w:r>
          </w:p>
        </w:tc>
        <w:tc>
          <w:tcPr>
            <w:tcW w:w="100" w:type="dxa"/>
            <w:vAlign w:val="bottom"/>
          </w:tcPr>
          <w:p>
            <w:pPr>
              <w:spacing w:after="0"/>
              <w:rPr>
                <w:sz w:val="10"/>
                <w:szCs w:val="10"/>
                <w:color w:val="auto"/>
              </w:rPr>
            </w:pPr>
          </w:p>
        </w:tc>
        <w:tc>
          <w:tcPr>
            <w:tcW w:w="64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 %</w:t>
            </w: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14.7 %</w:t>
            </w:r>
          </w:p>
        </w:tc>
        <w:tc>
          <w:tcPr>
            <w:tcW w:w="0" w:type="dxa"/>
            <w:vAlign w:val="bottom"/>
          </w:tcPr>
          <w:p>
            <w:pPr>
              <w:spacing w:after="0"/>
              <w:rPr>
                <w:sz w:val="1"/>
                <w:szCs w:val="1"/>
                <w:color w:val="auto"/>
              </w:rPr>
            </w:pPr>
          </w:p>
        </w:tc>
      </w:tr>
      <w:tr>
        <w:trPr>
          <w:trHeight w:val="122"/>
        </w:trPr>
        <w:tc>
          <w:tcPr>
            <w:tcW w:w="18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5,023</w:t>
            </w:r>
          </w:p>
        </w:tc>
        <w:tc>
          <w:tcPr>
            <w:tcW w:w="80" w:type="dxa"/>
            <w:vAlign w:val="bottom"/>
            <w:tcBorders>
              <w:lef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20,984</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26,007</w:t>
            </w: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25,358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649</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11.1</w:t>
            </w:r>
          </w:p>
        </w:tc>
        <w:tc>
          <w:tcPr>
            <w:tcW w:w="1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1840" w:type="dxa"/>
            <w:vAlign w:val="bottom"/>
          </w:tcPr>
          <w:p>
            <w:pPr>
              <w:spacing w:after="0" w:line="115" w:lineRule="exact"/>
              <w:rPr>
                <w:sz w:val="20"/>
                <w:szCs w:val="20"/>
                <w:color w:val="auto"/>
              </w:rPr>
            </w:pPr>
            <w:r>
              <w:rPr>
                <w:rFonts w:ascii="Arial" w:cs="Arial" w:eastAsia="Arial" w:hAnsi="Arial"/>
                <w:sz w:val="11"/>
                <w:szCs w:val="11"/>
                <w:color w:val="auto"/>
              </w:rPr>
              <w:t>Gross revenue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96,833</w:t>
            </w:r>
          </w:p>
        </w:tc>
        <w:tc>
          <w:tcPr>
            <w:tcW w:w="4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ind w:right="46"/>
              <w:spacing w:after="0" w:line="115" w:lineRule="exact"/>
              <w:rPr>
                <w:sz w:val="20"/>
                <w:szCs w:val="20"/>
                <w:color w:val="auto"/>
              </w:rPr>
            </w:pPr>
            <w:r>
              <w:rPr>
                <w:rFonts w:ascii="Arial" w:cs="Arial" w:eastAsia="Arial" w:hAnsi="Arial"/>
                <w:sz w:val="11"/>
                <w:szCs w:val="11"/>
                <w:color w:val="auto"/>
                <w:w w:val="94"/>
              </w:rPr>
              <w:t>81,804</w:t>
            </w:r>
          </w:p>
        </w:tc>
        <w:tc>
          <w:tcPr>
            <w:tcW w:w="80" w:type="dxa"/>
            <w:vAlign w:val="bottom"/>
            <w:tcBorders>
              <w:left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5"/>
              </w:rPr>
              <w:t>258,761</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247,010</w:t>
            </w: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5"/>
              </w:rPr>
              <w:t>355,594</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328,814</w:t>
            </w:r>
          </w:p>
        </w:tc>
        <w:tc>
          <w:tcPr>
            <w:tcW w:w="8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7"/>
              </w:rPr>
              <w:t>$ 268,927</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294,041</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86,667</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34,773</w:t>
            </w:r>
          </w:p>
        </w:tc>
        <w:tc>
          <w:tcPr>
            <w:tcW w:w="10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32.2</w:t>
            </w:r>
          </w:p>
        </w:tc>
        <w:tc>
          <w:tcPr>
            <w:tcW w:w="180" w:type="dxa"/>
            <w:vAlign w:val="bottom"/>
          </w:tcPr>
          <w:p>
            <w:pPr>
              <w:jc w:val="right"/>
              <w:ind w:right="26"/>
              <w:spacing w:after="0" w:line="115" w:lineRule="exact"/>
              <w:rPr>
                <w:sz w:val="20"/>
                <w:szCs w:val="20"/>
                <w:color w:val="auto"/>
              </w:rPr>
            </w:pPr>
            <w:r>
              <w:rPr>
                <w:rFonts w:ascii="Arial" w:cs="Arial" w:eastAsia="Arial" w:hAnsi="Arial"/>
                <w:sz w:val="11"/>
                <w:szCs w:val="11"/>
                <w:color w:val="auto"/>
                <w:w w:val="81"/>
              </w:rPr>
              <w:t>%</w:t>
            </w:r>
          </w:p>
        </w:tc>
        <w:tc>
          <w:tcPr>
            <w:tcW w:w="6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11.8</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77"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u w:val="single" w:color="auto"/>
          <w:color w:val="auto"/>
        </w:rPr>
        <w:t>Rates</w:t>
      </w:r>
      <w:r>
        <w:rPr>
          <w:rFonts w:ascii="Arial" w:cs="Arial" w:eastAsia="Arial" w:hAnsi="Arial"/>
          <w:sz w:val="16"/>
          <w:szCs w:val="16"/>
          <w:color w:val="auto"/>
        </w:rPr>
        <w:t>. Revenues from our Rates asset class increased by $54.9 million or 16.9% to $379.2 million for the combined year ended December 31, 2018 from $324.3 million for the year ended December 31, 2017 primarily due to increased Institutional transactional volumes in European interest rate swaps, Dollar swaps, U.S. treasury and European governments.</w:t>
      </w:r>
    </w:p>
    <w:p>
      <w:pPr>
        <w:spacing w:after="0" w:line="147" w:lineRule="exact"/>
        <w:rPr>
          <w:sz w:val="20"/>
          <w:szCs w:val="20"/>
          <w:color w:val="auto"/>
        </w:rPr>
      </w:pPr>
    </w:p>
    <w:p>
      <w:pPr>
        <w:ind w:right="160" w:firstLine="360"/>
        <w:spacing w:after="0" w:line="276" w:lineRule="auto"/>
        <w:rPr>
          <w:sz w:val="20"/>
          <w:szCs w:val="20"/>
          <w:color w:val="auto"/>
        </w:rPr>
      </w:pPr>
      <w:r>
        <w:rPr>
          <w:rFonts w:ascii="Arial" w:cs="Arial" w:eastAsia="Arial" w:hAnsi="Arial"/>
          <w:sz w:val="17"/>
          <w:szCs w:val="17"/>
          <w:u w:val="single" w:color="auto"/>
          <w:color w:val="auto"/>
        </w:rPr>
        <w:t>Credit</w:t>
      </w:r>
      <w:r>
        <w:rPr>
          <w:rFonts w:ascii="Arial" w:cs="Arial" w:eastAsia="Arial" w:hAnsi="Arial"/>
          <w:sz w:val="17"/>
          <w:szCs w:val="17"/>
          <w:color w:val="auto"/>
        </w:rPr>
        <w:t>. Revenues from our Credit asset class increased by $34.3 million or 32.6% to $139.7 million for the combined year ended December 31, 2018 from $105.3 million for the year ended December 31, 2017 primarily due to increased Institutional and Wholesale transactional volumes for U.S. credit products, increased Institutional transaction volumes for U.S. and European credit default indexes, European credit products and the product launch of China bonds. The revenue increase was partially offset by lower Wholesale municipal bond volumes.</w:t>
      </w:r>
    </w:p>
    <w:p>
      <w:pPr>
        <w:spacing w:after="0" w:line="173" w:lineRule="exact"/>
        <w:rPr>
          <w:sz w:val="20"/>
          <w:szCs w:val="20"/>
          <w:color w:val="auto"/>
        </w:rPr>
      </w:pPr>
    </w:p>
    <w:p>
      <w:pPr>
        <w:ind w:right="640" w:firstLine="360"/>
        <w:spacing w:after="0" w:line="264"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$17.3 million or 72.9% to $40.9 million for the combined year ended December 31, 2018 from $23.7 million for the year ended December 31, 2017 primarily due to increased Institutional transactional volumes for U.S. and European ETF.</w:t>
      </w:r>
    </w:p>
    <w:p>
      <w:pPr>
        <w:spacing w:after="0" w:line="18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increased by $6.1 million or 21.3% to $34.7 million for the combined year ended December 31, 2018 from $28.6 million for the year ended December 31, 2017 primarily due to increased Wholesale transactional volumes for repurchase agreements and higher Institutional transactional volumes for European repurchase agreements.</w:t>
      </w:r>
    </w:p>
    <w:p>
      <w:pPr>
        <w:spacing w:after="0" w:line="187"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u w:val="single" w:color="auto"/>
          <w:color w:val="auto"/>
        </w:rPr>
        <w:t>Market Data</w:t>
      </w:r>
      <w:r>
        <w:rPr>
          <w:rFonts w:ascii="Arial" w:cs="Arial" w:eastAsia="Arial" w:hAnsi="Arial"/>
          <w:sz w:val="16"/>
          <w:szCs w:val="16"/>
          <w:color w:val="auto"/>
        </w:rPr>
        <w:t>. Revenues from Market Data increased by $8.2 million or 14.7% to $63.8 million for the combined year ended December 31, 2018 from $55.6 million for the year ended December 31, 2017 as a result of revenue from our APA reporting service launched in January 2018 in response to MiFID II, increased Refinitiv (formerly Thomson Reuters) license fees due to an increase in the number of market data feeds provided to Refinitiv and increased Gilt closing price revenues.</w:t>
      </w:r>
    </w:p>
    <w:p>
      <w:pPr>
        <w:spacing w:after="0" w:line="154"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$0.7 million or 2.6% to $26.0 million for the combined year ended December 31, 2018 from $25.4 million for the year ended December 31, 2017 primarily due to increased Retail fees for software development and implementation.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A significant percentage of our revenues are tied directly to overall trading volumes in the rates, credit, money markets and equities asset classes. The average daily volumes and total volumes on our trading platforms by asset class for the years ended December 31, 2018 and 2017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ADV</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jc w:val="right"/>
              <w:ind w:right="428"/>
              <w:spacing w:after="0" w:line="142" w:lineRule="exact"/>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ind w:right="348"/>
              <w:spacing w:after="0" w:line="142" w:lineRule="exact"/>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ADV</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Volume</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ADV</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Volume</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Rates</w:t>
            </w:r>
          </w:p>
        </w:tc>
        <w:tc>
          <w:tcPr>
            <w:tcW w:w="15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354,023</w:t>
            </w:r>
          </w:p>
        </w:tc>
        <w:tc>
          <w:tcPr>
            <w:tcW w:w="38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88,625,615</w:t>
            </w:r>
          </w:p>
        </w:tc>
        <w:tc>
          <w:tcPr>
            <w:tcW w:w="4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253,432</w:t>
            </w:r>
          </w:p>
        </w:tc>
        <w:tc>
          <w:tcPr>
            <w:tcW w:w="3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63,475,383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39.7</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Credit</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12,658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3,186,209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7,554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1,864,700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67.6</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Equities</w:t>
            </w:r>
          </w:p>
        </w:tc>
        <w:tc>
          <w:tcPr>
            <w:tcW w:w="1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1,962,566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1,214,081</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Money Markets</w:t>
            </w:r>
          </w:p>
        </w:tc>
        <w:tc>
          <w:tcPr>
            <w:tcW w:w="13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173,743</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43,462,916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132,105</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33,060,749</w:t>
            </w:r>
          </w:p>
        </w:tc>
        <w:tc>
          <w:tcPr>
            <w:tcW w:w="86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31.5</w:t>
            </w:r>
          </w:p>
        </w:tc>
        <w:tc>
          <w:tcPr>
            <w:tcW w:w="160" w:type="dxa"/>
            <w:vAlign w:val="bottom"/>
            <w:tcBorders>
              <w:bottom w:val="single" w:sz="8" w:color="CCEEFF"/>
            </w:tcBorders>
            <w:gridSpan w:val="2"/>
          </w:tcPr>
          <w:p>
            <w:pPr>
              <w:jc w:val="right"/>
              <w:ind w:right="20"/>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1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548,222</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137,237,306</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397,908</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99,614,913</w:t>
            </w:r>
          </w:p>
        </w:tc>
        <w:tc>
          <w:tcPr>
            <w:tcW w:w="86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37.8</w:t>
            </w:r>
          </w:p>
        </w:tc>
        <w:tc>
          <w:tcPr>
            <w:tcW w:w="160" w:type="dxa"/>
            <w:vAlign w:val="bottom"/>
            <w:tcBorders>
              <w:bottom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We believe the increases in average daily volumes in the year ended December 31, 2018 can be attributed to various factors, including increased volatility, further electronification of trading activities, increase in market share, new products and new clients. In addition, we believe that certain trading volumes increased in the year ended December 31, 2018 as customers adapted to electronic trading in order to comply with obligations pursuant to MiFID II, which was implemented by regulatory bodies in Europe in January 2018. Rates ADV increased due mainly to higher trading activity in interest rate swaps, U.S. treasuries and mortgages. Credit ADV increased due mainly to higher trading activity in credit default swaps, U.S. high-grade credit, European credit and Chinese bonds. Equities ADV increased due mainly to higher trading activity in U.S. and European ETFs and equity futures. Money Markets ADV increased due to the continued growth of bilateral electronic trading in repurchase agreements.</w:t>
      </w:r>
    </w:p>
    <w:p>
      <w:pPr>
        <w:spacing w:after="0" w:line="182"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years ended December 31, 2018 and 2017 are summarized below. There are three potential drivers of quarterly fluctuations in our average variable fees per million: (1) volume discounts, (2) the mix of cash and derivatives products traded, and (3) the mix of protocols underpinning cash and derivatives products.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23.2% for the year ended December 31, 2018 while gross revenue for our Credit asset class increased 32.6% over the same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December 31,</w:t>
            </w:r>
          </w:p>
        </w:tc>
        <w:tc>
          <w:tcPr>
            <w:tcW w:w="20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Rates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(0.23)</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4780" w:type="dxa"/>
            <w:vAlign w:val="bottom"/>
          </w:tcPr>
          <w:p>
            <w:pPr>
              <w:ind w:left="120"/>
              <w:spacing w:after="0" w:line="149" w:lineRule="exact"/>
              <w:rPr>
                <w:sz w:val="20"/>
                <w:szCs w:val="20"/>
                <w:color w:val="auto"/>
              </w:rPr>
            </w:pPr>
            <w:r>
              <w:rPr>
                <w:rFonts w:ascii="Arial" w:cs="Arial" w:eastAsia="Arial" w:hAnsi="Arial"/>
                <w:sz w:val="14"/>
                <w:szCs w:val="14"/>
                <w:color w:val="auto"/>
              </w:rPr>
              <w:t>Rates - excluding short-tenor swaps (less than 1 year)</w:t>
            </w:r>
          </w:p>
        </w:tc>
        <w:tc>
          <w:tcPr>
            <w:tcW w:w="7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3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3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(0.19)</w:t>
            </w:r>
          </w:p>
        </w:tc>
        <w:tc>
          <w:tcPr>
            <w:tcW w:w="2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w:t>
            </w:r>
          </w:p>
        </w:tc>
        <w:tc>
          <w:tcPr>
            <w:tcW w:w="7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37.42</w:t>
            </w:r>
          </w:p>
        </w:tc>
        <w:tc>
          <w:tcPr>
            <w:tcW w:w="3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48.72</w:t>
            </w:r>
          </w:p>
        </w:tc>
        <w:tc>
          <w:tcPr>
            <w:tcW w:w="3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color w:val="auto"/>
              </w:rPr>
              <w:t>Equities</w:t>
            </w:r>
          </w:p>
        </w:tc>
        <w:tc>
          <w:tcPr>
            <w:tcW w:w="7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17.55</w:t>
            </w:r>
          </w:p>
        </w:tc>
        <w:tc>
          <w:tcPr>
            <w:tcW w:w="3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15.77</w:t>
            </w:r>
          </w:p>
        </w:tc>
        <w:tc>
          <w:tcPr>
            <w:tcW w:w="3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2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11.3 %</w:t>
            </w: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Money Markets</w:t>
            </w:r>
          </w:p>
        </w:tc>
        <w:tc>
          <w:tcPr>
            <w:tcW w:w="7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0.48</w:t>
            </w:r>
          </w:p>
        </w:tc>
        <w:tc>
          <w:tcPr>
            <w:tcW w:w="3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0.46</w:t>
            </w:r>
          </w:p>
        </w:tc>
        <w:tc>
          <w:tcPr>
            <w:tcW w:w="3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color w:val="auto"/>
              </w:rPr>
              <w:t>Total Fees per Million</w:t>
            </w:r>
          </w:p>
        </w:tc>
        <w:tc>
          <w:tcPr>
            <w:tcW w:w="7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3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3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2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4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Fees per Million - excluding short-tenor swaps (less than 1 year)</w:t>
            </w:r>
          </w:p>
        </w:tc>
        <w:tc>
          <w:tcPr>
            <w:tcW w:w="7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3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3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Rates average variable fees per million was impacted by volume discounts in both cash and derivatives products. Credit average variable fees per million was impacted by a mix shift in volumes towards derivatives products and away from cash products, as well as a shift in volumes towards electronically processed institutional cash products. Equities average variable fees per million was impacted by a mix shift towards institutional derivatives protocols and away from wholesale derivatives protocols. Money Markets average variable fees per million was impacted by a mix shift towards repurchase agreements and away from other lower variable fee capture Money Markets products.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Our gross revenue by geography (based on client location) for the 2018 Successor Period, the 2018 Predecessor Period, the combined year ended December 31, 2018 and the year ended December 31, 2017, and the resulting dollar and percentage changes,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w w:val="87"/>
              </w:rPr>
              <w:t>Predecessor</w:t>
            </w:r>
          </w:p>
        </w:tc>
        <w:tc>
          <w:tcPr>
            <w:tcW w:w="120" w:type="dxa"/>
            <w:vAlign w:val="bottom"/>
          </w:tcPr>
          <w:p>
            <w:pPr>
              <w:spacing w:after="0"/>
              <w:rPr>
                <w:sz w:val="2"/>
                <w:szCs w:val="2"/>
                <w:color w:val="auto"/>
              </w:rPr>
            </w:pPr>
          </w:p>
        </w:tc>
        <w:tc>
          <w:tcPr>
            <w:tcW w:w="7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1"/>
              </w:rPr>
              <w:t xml:space="preserve">Combined </w:t>
            </w:r>
            <w:r>
              <w:rPr>
                <w:rFonts w:ascii="Arial" w:cs="Arial" w:eastAsia="Arial" w:hAnsi="Arial"/>
                <w:sz w:val="11"/>
                <w:szCs w:val="11"/>
                <w:b w:val="1"/>
                <w:bCs w:val="1"/>
                <w:color w:val="auto"/>
                <w:w w:val="91"/>
                <w:vertAlign w:val="superscript"/>
              </w:rPr>
              <w:t>(1)</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87"/>
              </w:rPr>
              <w:t>Predecessor</w:t>
            </w:r>
          </w:p>
        </w:tc>
        <w:tc>
          <w:tcPr>
            <w:tcW w:w="1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w w:val="88"/>
              </w:rPr>
              <w:t>Combined Year Ended December 31, 2018 vs</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20" w:type="dxa"/>
            <w:vAlign w:val="bottom"/>
            <w:tcBorders>
              <w:left w:val="single" w:sz="8" w:color="auto"/>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October 1, 2018 to</w:t>
            </w:r>
          </w:p>
        </w:tc>
        <w:tc>
          <w:tcPr>
            <w:tcW w:w="20" w:type="dxa"/>
            <w:vAlign w:val="bottom"/>
            <w:shd w:val="clear" w:color="auto" w:fill="000000"/>
          </w:tcPr>
          <w:p>
            <w:pPr>
              <w:spacing w:after="0"/>
              <w:rPr>
                <w:sz w:val="18"/>
                <w:szCs w:val="18"/>
                <w:color w:val="auto"/>
              </w:rPr>
            </w:pPr>
          </w:p>
        </w:tc>
        <w:tc>
          <w:tcPr>
            <w:tcW w:w="102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w w:val="96"/>
              </w:rPr>
              <w:t>January 1, 2018 to</w:t>
            </w:r>
          </w:p>
        </w:tc>
        <w:tc>
          <w:tcPr>
            <w:tcW w:w="120" w:type="dxa"/>
            <w:vAlign w:val="bottom"/>
            <w:tcBorders>
              <w:left w:val="single" w:sz="8" w:color="auto"/>
            </w:tcBorders>
          </w:tcPr>
          <w:p>
            <w:pPr>
              <w:spacing w:after="0"/>
              <w:rPr>
                <w:sz w:val="18"/>
                <w:szCs w:val="18"/>
                <w:color w:val="auto"/>
              </w:rPr>
            </w:pPr>
          </w:p>
        </w:tc>
        <w:tc>
          <w:tcPr>
            <w:tcW w:w="780" w:type="dxa"/>
            <w:vAlign w:val="bottom"/>
          </w:tcPr>
          <w:p>
            <w:pPr>
              <w:jc w:val="right"/>
              <w:ind w:right="126"/>
              <w:spacing w:after="0"/>
              <w:rPr>
                <w:sz w:val="20"/>
                <w:szCs w:val="20"/>
                <w:color w:val="auto"/>
              </w:rPr>
            </w:pPr>
            <w:r>
              <w:rPr>
                <w:rFonts w:ascii="Arial" w:cs="Arial" w:eastAsia="Arial" w:hAnsi="Arial"/>
                <w:sz w:val="11"/>
                <w:szCs w:val="11"/>
                <w:b w:val="1"/>
                <w:bCs w:val="1"/>
                <w:color w:val="auto"/>
                <w:w w:val="95"/>
              </w:rPr>
              <w:t>Year Ended</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5"/>
              </w:rPr>
              <w:t>Year Ended</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right"/>
              <w:ind w:right="306"/>
              <w:spacing w:after="0"/>
              <w:rPr>
                <w:sz w:val="20"/>
                <w:szCs w:val="20"/>
                <w:color w:val="auto"/>
              </w:rPr>
            </w:pPr>
            <w:r>
              <w:rPr>
                <w:rFonts w:ascii="Arial" w:cs="Arial" w:eastAsia="Arial" w:hAnsi="Arial"/>
                <w:sz w:val="11"/>
                <w:szCs w:val="11"/>
                <w:b w:val="1"/>
                <w:bCs w:val="1"/>
                <w:color w:val="auto"/>
                <w:w w:val="99"/>
              </w:rPr>
              <w:t>Year Ended December 31, 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December 31, 2018</w:t>
            </w:r>
          </w:p>
        </w:tc>
        <w:tc>
          <w:tcPr>
            <w:tcW w:w="20" w:type="dxa"/>
            <w:vAlign w:val="bottom"/>
            <w:shd w:val="clear" w:color="auto" w:fill="000000"/>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w w:val="89"/>
              </w:rPr>
              <w:t>September 30, 2018</w:t>
            </w:r>
          </w:p>
        </w:tc>
        <w:tc>
          <w:tcPr>
            <w:tcW w:w="900" w:type="dxa"/>
            <w:vAlign w:val="bottom"/>
            <w:tcBorders>
              <w:lef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6"/>
              </w:rPr>
              <w:t>December 31, 2018</w:t>
            </w:r>
          </w:p>
        </w:tc>
        <w:tc>
          <w:tcPr>
            <w:tcW w:w="20" w:type="dxa"/>
            <w:vAlign w:val="bottom"/>
            <w:shd w:val="clear" w:color="auto" w:fill="000000"/>
          </w:tcPr>
          <w:p>
            <w:pPr>
              <w:spacing w:after="0"/>
              <w:rPr>
                <w:sz w:val="11"/>
                <w:szCs w:val="11"/>
                <w:color w:val="auto"/>
              </w:rPr>
            </w:pP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w w:val="96"/>
              </w:rPr>
              <w:t>December 31, 2017</w:t>
            </w:r>
          </w:p>
        </w:tc>
        <w:tc>
          <w:tcPr>
            <w:tcW w:w="20" w:type="dxa"/>
            <w:vAlign w:val="bottom"/>
            <w:shd w:val="clear" w:color="auto" w:fill="000000"/>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Change</w:t>
            </w:r>
          </w:p>
        </w:tc>
        <w:tc>
          <w:tcPr>
            <w:tcW w:w="920" w:type="dxa"/>
            <w:vAlign w:val="bottom"/>
          </w:tcPr>
          <w:p>
            <w:pPr>
              <w:jc w:val="right"/>
              <w:ind w:right="166"/>
              <w:spacing w:after="0"/>
              <w:rPr>
                <w:sz w:val="20"/>
                <w:szCs w:val="20"/>
                <w:color w:val="auto"/>
              </w:rPr>
            </w:pPr>
            <w:r>
              <w:rPr>
                <w:rFonts w:ascii="Arial" w:cs="Arial" w:eastAsia="Arial" w:hAnsi="Arial"/>
                <w:sz w:val="11"/>
                <w:szCs w:val="11"/>
                <w:b w:val="1"/>
                <w:bCs w:val="1"/>
                <w:color w:val="auto"/>
              </w:rPr>
              <w:t>% Change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gridSpan w:val="4"/>
          </w:tcPr>
          <w:p>
            <w:pPr>
              <w:ind w:left="240"/>
              <w:spacing w:after="0" w:line="115" w:lineRule="exact"/>
              <w:rPr>
                <w:sz w:val="20"/>
                <w:szCs w:val="20"/>
                <w:color w:val="auto"/>
              </w:rPr>
            </w:pPr>
            <w:r>
              <w:rPr>
                <w:rFonts w:ascii="Arial" w:cs="Arial" w:eastAsia="Arial" w:hAnsi="Arial"/>
                <w:sz w:val="11"/>
                <w:szCs w:val="11"/>
                <w:b w:val="1"/>
                <w:bCs w:val="1"/>
                <w:color w:val="auto"/>
              </w:rPr>
              <w:t>(dollars in thousands)</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Revenues</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left w:val="single" w:sz="8" w:color="auto"/>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22" w:lineRule="exact"/>
              <w:rPr>
                <w:sz w:val="20"/>
                <w:szCs w:val="20"/>
                <w:color w:val="auto"/>
              </w:rPr>
            </w:pPr>
            <w:r>
              <w:rPr>
                <w:rFonts w:ascii="Arial" w:cs="Arial" w:eastAsia="Arial" w:hAnsi="Arial"/>
                <w:sz w:val="11"/>
                <w:szCs w:val="11"/>
                <w:color w:val="auto"/>
              </w:rPr>
              <w:t>U.S.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115,907</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324,304</w:t>
            </w:r>
          </w:p>
        </w:tc>
        <w:tc>
          <w:tcPr>
            <w:tcW w:w="120" w:type="dxa"/>
            <w:vAlign w:val="bottom"/>
            <w:tcBorders>
              <w:left w:val="single" w:sz="8" w:color="auto"/>
            </w:tcBorders>
          </w:tcPr>
          <w:p>
            <w:pPr>
              <w:ind w:left="2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440,211</w:t>
            </w:r>
          </w:p>
        </w:tc>
        <w:tc>
          <w:tcPr>
            <w:tcW w:w="20" w:type="dxa"/>
            <w:vAlign w:val="bottom"/>
            <w:shd w:val="clear" w:color="auto" w:fill="000000"/>
          </w:tcPr>
          <w:p>
            <w:pPr>
              <w:spacing w:after="0"/>
              <w:rPr>
                <w:sz w:val="10"/>
                <w:szCs w:val="10"/>
                <w:color w:val="auto"/>
              </w:rPr>
            </w:pPr>
          </w:p>
        </w:tc>
        <w:tc>
          <w:tcPr>
            <w:tcW w:w="160" w:type="dxa"/>
            <w:vAlign w:val="bottom"/>
          </w:tcPr>
          <w:p>
            <w:pPr>
              <w:ind w:left="4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385,176</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55,035</w:t>
            </w:r>
          </w:p>
        </w:tc>
        <w:tc>
          <w:tcPr>
            <w:tcW w:w="16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14.3</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International</w:t>
            </w:r>
          </w:p>
        </w:tc>
        <w:tc>
          <w:tcPr>
            <w:tcW w:w="14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62,730</w:t>
            </w: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181,467</w:t>
            </w:r>
          </w:p>
        </w:tc>
        <w:tc>
          <w:tcPr>
            <w:tcW w:w="120" w:type="dxa"/>
            <w:vAlign w:val="bottom"/>
            <w:tcBorders>
              <w:left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244,197</w:t>
            </w:r>
          </w:p>
        </w:tc>
        <w:tc>
          <w:tcPr>
            <w:tcW w:w="20" w:type="dxa"/>
            <w:vAlign w:val="bottom"/>
            <w:tcBorders>
              <w:bottom w:val="single" w:sz="8" w:color="auto"/>
            </w:tcBorders>
            <w:shd w:val="clear" w:color="auto" w:fill="000000"/>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177,792</w:t>
            </w:r>
          </w:p>
        </w:tc>
        <w:tc>
          <w:tcPr>
            <w:tcW w:w="10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66,405</w:t>
            </w:r>
          </w:p>
        </w:tc>
        <w:tc>
          <w:tcPr>
            <w:tcW w:w="160" w:type="dxa"/>
            <w:vAlign w:val="bottom"/>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37.3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line="115" w:lineRule="exact"/>
              <w:rPr>
                <w:sz w:val="20"/>
                <w:szCs w:val="20"/>
                <w:color w:val="auto"/>
              </w:rPr>
            </w:pPr>
            <w:r>
              <w:rPr>
                <w:rFonts w:ascii="Arial" w:cs="Arial" w:eastAsia="Arial" w:hAnsi="Arial"/>
                <w:sz w:val="11"/>
                <w:szCs w:val="11"/>
                <w:color w:val="auto"/>
              </w:rPr>
              <w:t>Gross revenue</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178,637</w:t>
            </w:r>
          </w:p>
        </w:tc>
        <w:tc>
          <w:tcPr>
            <w:tcW w:w="80" w:type="dxa"/>
            <w:vAlign w:val="bottom"/>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80" w:type="dxa"/>
            <w:vAlign w:val="bottom"/>
            <w:tcBorders>
              <w:bottom w:val="single" w:sz="8" w:color="auto"/>
            </w:tcBorders>
          </w:tcPr>
          <w:p>
            <w:pPr>
              <w:ind w:left="60"/>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auto"/>
              </w:rPr>
              <w:t>505,771</w:t>
            </w:r>
          </w:p>
        </w:tc>
        <w:tc>
          <w:tcPr>
            <w:tcW w:w="120" w:type="dxa"/>
            <w:vAlign w:val="bottom"/>
            <w:tcBorders>
              <w:left w:val="single" w:sz="8" w:color="auto"/>
              <w:bottom w:val="single" w:sz="8" w:color="auto"/>
            </w:tcBorders>
          </w:tcPr>
          <w:p>
            <w:pPr>
              <w:ind w:left="20"/>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684,408</w:t>
            </w:r>
          </w:p>
        </w:tc>
        <w:tc>
          <w:tcPr>
            <w:tcW w:w="20" w:type="dxa"/>
            <w:vAlign w:val="bottom"/>
            <w:tcBorders>
              <w:bottom w:val="single" w:sz="8" w:color="auto"/>
            </w:tcBorders>
            <w:shd w:val="clear" w:color="auto" w:fill="000000"/>
          </w:tcPr>
          <w:p>
            <w:pPr>
              <w:spacing w:after="0"/>
              <w:rPr>
                <w:sz w:val="10"/>
                <w:szCs w:val="10"/>
                <w:color w:val="auto"/>
              </w:rPr>
            </w:pPr>
          </w:p>
        </w:tc>
        <w:tc>
          <w:tcPr>
            <w:tcW w:w="160" w:type="dxa"/>
            <w:vAlign w:val="bottom"/>
            <w:tcBorders>
              <w:bottom w:val="single" w:sz="8" w:color="auto"/>
            </w:tcBorders>
          </w:tcPr>
          <w:p>
            <w:pPr>
              <w:ind w:left="40"/>
              <w:spacing w:after="0" w:line="115"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562,968</w:t>
            </w:r>
          </w:p>
        </w:tc>
        <w:tc>
          <w:tcPr>
            <w:tcW w:w="100" w:type="dxa"/>
            <w:vAlign w:val="bottom"/>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121,440</w:t>
            </w:r>
          </w:p>
        </w:tc>
        <w:tc>
          <w:tcPr>
            <w:tcW w:w="160" w:type="dxa"/>
            <w:vAlign w:val="bottom"/>
          </w:tcPr>
          <w:p>
            <w:pPr>
              <w:spacing w:after="0"/>
              <w:rPr>
                <w:sz w:val="10"/>
                <w:szCs w:val="10"/>
                <w:color w:val="auto"/>
              </w:rPr>
            </w:pPr>
          </w:p>
        </w:tc>
        <w:tc>
          <w:tcPr>
            <w:tcW w:w="9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260" w:hanging="333"/>
        <w:spacing w:after="0" w:line="256" w:lineRule="auto"/>
        <w:tabs>
          <w:tab w:leader="none" w:pos="6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7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u w:val="single" w:color="auto"/>
          <w:color w:val="auto"/>
        </w:rPr>
        <w:t>U.S.</w:t>
      </w:r>
      <w:r>
        <w:rPr>
          <w:rFonts w:ascii="Arial" w:cs="Arial" w:eastAsia="Arial" w:hAnsi="Arial"/>
          <w:sz w:val="16"/>
          <w:szCs w:val="16"/>
          <w:color w:val="auto"/>
        </w:rPr>
        <w:t xml:space="preserve"> Revenues from U.S. clients increased by $55.0 million or 14.3% to $440.2 million for the combined year ended December 31, 2018 from $385.2 million for the year ended December 31, 2017 primarily due to increased transactional volumes from our Institutional client sector for U.S. credit products, U.S. ETF and U.S. treasury, higher trading volumes from our Wholesale client sector, which saw an increase in volumes for U.S. credit, U.S. treasury and repurchase agreements and higher trading volumes for our Retail client sector, which saw an increase in middle markets trading volumes.</w:t>
      </w:r>
    </w:p>
    <w:p>
      <w:pPr>
        <w:spacing w:after="0" w:line="158"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u w:val="single" w:color="auto"/>
          <w:color w:val="auto"/>
        </w:rPr>
        <w:t>International</w:t>
      </w:r>
      <w:r>
        <w:rPr>
          <w:rFonts w:ascii="Arial" w:cs="Arial" w:eastAsia="Arial" w:hAnsi="Arial"/>
          <w:sz w:val="18"/>
          <w:szCs w:val="18"/>
          <w:color w:val="auto"/>
        </w:rPr>
        <w:t>. Revenues from International clients increased by $66.4 million or 37.3% to $244.2 million for the combined year ended December 31, 2018 from $177.8 million for the year ended December 31, 2017 primarily due to increased transactional volumes from our Institutional client sector for European interest rate swaps, European credit default indexes, European ETF, European governments and European credit products. Fluctuations in foreign currency rates increased our International gross revenue by $9.1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Our expenses for the 2018 Successor Period, the 2018 Predecessor Period and the year ended December 31, 2017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line="20" w:lineRule="exact"/>
              <w:rPr>
                <w:sz w:val="1"/>
                <w:szCs w:val="1"/>
                <w:color w:val="auto"/>
              </w:rPr>
            </w:pPr>
          </w:p>
        </w:tc>
      </w:tr>
      <w:tr>
        <w:trPr>
          <w:trHeight w:val="149"/>
        </w:trPr>
        <w:tc>
          <w:tcPr>
            <w:tcW w:w="2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October 1, 2018 to</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January 1, 2018 to</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right"/>
              <w:ind w:right="169"/>
              <w:spacing w:after="0" w:line="119"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w:t>
            </w:r>
            <w:r>
              <w:rPr>
                <w:rFonts w:ascii="Arial" w:cs="Arial" w:eastAsia="Arial" w:hAnsi="Arial"/>
                <w:sz w:val="14"/>
                <w:szCs w:val="14"/>
                <w:color w:val="auto"/>
                <w:vertAlign w:val="superscript"/>
              </w:rPr>
              <w:t>(1)</w:t>
            </w:r>
          </w:p>
        </w:tc>
        <w:tc>
          <w:tcPr>
            <w:tcW w:w="20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80,436</w:t>
            </w: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209,053</w:t>
            </w:r>
          </w:p>
        </w:tc>
        <w:tc>
          <w:tcPr>
            <w:tcW w:w="26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248,963</w:t>
            </w:r>
          </w:p>
        </w:tc>
        <w:tc>
          <w:tcPr>
            <w:tcW w:w="0" w:type="dxa"/>
            <w:vAlign w:val="bottom"/>
          </w:tcPr>
          <w:p>
            <w:pPr>
              <w:spacing w:after="0"/>
              <w:rPr>
                <w:sz w:val="1"/>
                <w:szCs w:val="1"/>
                <w:color w:val="auto"/>
              </w:rPr>
            </w:pPr>
          </w:p>
        </w:tc>
      </w:tr>
      <w:tr>
        <w:trPr>
          <w:trHeight w:val="149"/>
        </w:trPr>
        <w:tc>
          <w:tcPr>
            <w:tcW w:w="510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33,020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48,808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68,615</w:t>
            </w:r>
          </w:p>
        </w:tc>
        <w:tc>
          <w:tcPr>
            <w:tcW w:w="0" w:type="dxa"/>
            <w:vAlign w:val="bottom"/>
          </w:tcPr>
          <w:p>
            <w:pPr>
              <w:spacing w:after="0"/>
              <w:rPr>
                <w:sz w:val="1"/>
                <w:szCs w:val="1"/>
                <w:color w:val="auto"/>
              </w:rPr>
            </w:pPr>
          </w:p>
        </w:tc>
      </w:tr>
      <w:tr>
        <w:trPr>
          <w:trHeight w:val="149"/>
        </w:trPr>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Technology and communications</w:t>
            </w:r>
            <w:r>
              <w:rPr>
                <w:rFonts w:ascii="Arial" w:cs="Arial" w:eastAsia="Arial" w:hAnsi="Arial"/>
                <w:sz w:val="14"/>
                <w:szCs w:val="14"/>
                <w:color w:val="auto"/>
                <w:vertAlign w:val="superscript"/>
              </w:rPr>
              <w:t>(1)</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9,907</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30,013</w:t>
            </w:r>
          </w:p>
        </w:tc>
        <w:tc>
          <w:tcPr>
            <w:tcW w:w="0" w:type="dxa"/>
            <w:vAlign w:val="bottom"/>
          </w:tcPr>
          <w:p>
            <w:pPr>
              <w:spacing w:after="0"/>
              <w:rPr>
                <w:sz w:val="1"/>
                <w:szCs w:val="1"/>
                <w:color w:val="auto"/>
              </w:rPr>
            </w:pPr>
          </w:p>
        </w:tc>
      </w:tr>
      <w:tr>
        <w:trPr>
          <w:trHeight w:val="149"/>
        </w:trPr>
        <w:tc>
          <w:tcPr>
            <w:tcW w:w="5100" w:type="dxa"/>
            <w:vAlign w:val="bottom"/>
            <w:gridSpan w:val="2"/>
          </w:tcPr>
          <w:p>
            <w:pPr>
              <w:spacing w:after="0" w:line="149"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4"/>
                <w:szCs w:val="14"/>
                <w:color w:val="auto"/>
                <w:vertAlign w:val="superscript"/>
              </w:rPr>
              <w:t>(1)</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11,837</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23,056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33,973</w:t>
            </w:r>
          </w:p>
        </w:tc>
        <w:tc>
          <w:tcPr>
            <w:tcW w:w="0" w:type="dxa"/>
            <w:vAlign w:val="bottom"/>
          </w:tcPr>
          <w:p>
            <w:pPr>
              <w:spacing w:after="0"/>
              <w:rPr>
                <w:sz w:val="1"/>
                <w:szCs w:val="1"/>
                <w:color w:val="auto"/>
              </w:rPr>
            </w:pPr>
          </w:p>
        </w:tc>
      </w:tr>
      <w:tr>
        <w:trPr>
          <w:trHeight w:val="149"/>
        </w:trPr>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r>
              <w:rPr>
                <w:rFonts w:ascii="Arial" w:cs="Arial" w:eastAsia="Arial" w:hAnsi="Arial"/>
                <w:sz w:val="14"/>
                <w:szCs w:val="14"/>
                <w:color w:val="auto"/>
                <w:vertAlign w:val="superscript"/>
              </w:rPr>
              <w:t>(1)</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8,197</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20,360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19,351</w:t>
            </w:r>
          </w:p>
        </w:tc>
        <w:tc>
          <w:tcPr>
            <w:tcW w:w="0" w:type="dxa"/>
            <w:vAlign w:val="bottom"/>
          </w:tcPr>
          <w:p>
            <w:pPr>
              <w:spacing w:after="0"/>
              <w:rPr>
                <w:sz w:val="1"/>
                <w:szCs w:val="1"/>
                <w:color w:val="auto"/>
              </w:rPr>
            </w:pPr>
          </w:p>
        </w:tc>
      </w:tr>
      <w:tr>
        <w:trPr>
          <w:trHeight w:val="149"/>
        </w:trPr>
        <w:tc>
          <w:tcPr>
            <w:tcW w:w="510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Occupancy</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3,308</w:t>
            </w: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10,732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14,441</w:t>
            </w:r>
          </w:p>
        </w:tc>
        <w:tc>
          <w:tcPr>
            <w:tcW w:w="0" w:type="dxa"/>
            <w:vAlign w:val="bottom"/>
          </w:tcPr>
          <w:p>
            <w:pPr>
              <w:spacing w:after="0"/>
              <w:rPr>
                <w:sz w:val="1"/>
                <w:szCs w:val="1"/>
                <w:color w:val="auto"/>
              </w:rPr>
            </w:pPr>
          </w:p>
        </w:tc>
      </w:tr>
      <w:tr>
        <w:trPr>
          <w:trHeight w:val="149"/>
        </w:trPr>
        <w:tc>
          <w:tcPr>
            <w:tcW w:w="510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Expenses</w:t>
            </w: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146,705</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338,607</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415,356</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80" w:hanging="333"/>
        <w:spacing w:after="0" w:line="253"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change in basis resulting from the Refinitiv Transaction and the application of pushdown accounting did not impact these operating expense accounts.</w:t>
      </w:r>
    </w:p>
    <w:p>
      <w:pPr>
        <w:spacing w:after="0" w:line="178"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Employee compensation and benefits expense for the 2018 Successor Period and the 2018 Predecessor Period was $80.4 million and $209.1 million, respectively. Employee compensation and benefits expense increased by $40.5 million or 16.3% to $289.5 million for the combined year ended December 31, 2018 from $249.0 million for the year ended December 31, 2017. The increase was due to a $14.1 million increase in salaries and benefits, due to an increase in employee headcount, and an increase in annual incentive compensation of $26.0 million, which is based on operating performance, primarily due to our financial results. Total employee headcount increased to 919 as of December 31, 2018 from 857 as of December 31, 2017.</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for the 2018 Successor Period and the 2018 Predecessor Period was $33.0 million and $48.8 million, respectively. Depreciation and amortization expense was $68.6 million for the year ended December 31, 2017. As a result of the Refinitiv Transaction and the application of pushdown accounting, we adjusted our assets and liabilities to their estimated fair market values as of October 1, 2018, which resulted in an increase in depreciation of tangible assets and amortization of our intangible assets. The impact of such adjustments increased depreciation and amortization expense during the 2018 Successor Period by $15.9 million.</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General and administrative expense for the 2018 Successor Period and the 2018</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Predecessor Period was $11.8 million and $23.1 million, respectively. General and administrative expense increased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$0.9 million or 2.7% to $34.9 million for the combined year ended December 31, 2018 from $34.0 million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The increase was primarily a result of $1.0 million in recruiting and expatriate expense, $0.9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in marketing expense due to increased marketing efforts for key growth, client acquisition and regulatory initiatives,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$0.5 million increase in value-added taxes and $0.8 million increase in other administrative fees, partially offset by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reduction in foreign exchange losses of $2.4 million.</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for the 2018 Successor Period and the 2018 Predecessor Period was $9.9 million and $26.6 million, respectively. Technology and communications expense increased by $6.5 million or 21.6% to $36.5 million for the combined year ended December 31, 2018 from $30.0 million for the year ended December 31, 2017. The increase was primarily due to an increase in third-party software and technology maintenance and support as a result of certain cybersecurity and infrastructure initiatives and increased clearance fees as a result of higher trading volumes.</w:t>
      </w:r>
    </w:p>
    <w:p>
      <w:pPr>
        <w:spacing w:after="0" w:line="193"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u w:val="single" w:color="auto"/>
          <w:color w:val="auto"/>
        </w:rPr>
        <w:t>Professional Fees</w:t>
      </w:r>
      <w:r>
        <w:rPr>
          <w:rFonts w:ascii="Arial" w:cs="Arial" w:eastAsia="Arial" w:hAnsi="Arial"/>
          <w:sz w:val="16"/>
          <w:szCs w:val="16"/>
          <w:color w:val="auto"/>
        </w:rPr>
        <w:t>. Professional fees for the 2018 Successor Period and the 2018 Predecessor Period was $8.2 million and $20.4 million, respectively. Professional fees increased by $9.2 million or 47.6% to $28.6 million for the combined year ended December 31, 2018 from $19.4 million for the year ended December 31, 2017. The increase was primarily due to higher investment banking advisory, legal and audit fees, including fees incurred in connection with the IPO.</w:t>
      </w:r>
    </w:p>
    <w:p>
      <w:pPr>
        <w:spacing w:after="0" w:line="154"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u w:val="single" w:color="auto"/>
          <w:color w:val="auto"/>
        </w:rPr>
        <w:t>Occupancy</w:t>
      </w:r>
      <w:r>
        <w:rPr>
          <w:rFonts w:ascii="Arial" w:cs="Arial" w:eastAsia="Arial" w:hAnsi="Arial"/>
          <w:sz w:val="16"/>
          <w:szCs w:val="16"/>
          <w:color w:val="auto"/>
        </w:rPr>
        <w:t>. Occupancy expense for the 2018 Successor Period and the 2018 Predecessor Period was $3.3 million and $10.7 million, respectively. Occupancy expense for the year ended December 31, 2017 was $14.4 million. As a result of the Refinitiv Transaction and the application of pushdown accounting, at October 1, 2018, we established a leasehold interest liability, which resulted in a $0.1 million decrease in occupancy expense in the 2018 Successor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jc w:val="both"/>
        <w:ind w:right="160" w:firstLine="360"/>
        <w:spacing w:after="0" w:line="302" w:lineRule="auto"/>
        <w:rPr>
          <w:sz w:val="20"/>
          <w:szCs w:val="20"/>
          <w:color w:val="auto"/>
        </w:rPr>
      </w:pPr>
      <w:r>
        <w:rPr>
          <w:rFonts w:ascii="Arial" w:cs="Arial" w:eastAsia="Arial" w:hAnsi="Arial"/>
          <w:sz w:val="16"/>
          <w:szCs w:val="16"/>
          <w:color w:val="auto"/>
        </w:rPr>
        <w:t>Net interest income for the 2018 Successor Period and the 2018 Predecessor Period was $0.8 million and $1.7 million, respectively. Net interest income for the year ended December 31, 2017 was $0.7 million. Net interest income for the 2018 Successor Period and the 2018 Predecessor Period was impacted by an increase in interest rates. Net interest income for the year ended December 31, 2017 was impacted by the conversion of our former convertible notes into equity in May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Provision for income taxes for the 2018 Successor Period and the 2018 Predecessor Period was $3.4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$11.9 million, respectively. Provision for income taxes for the year ended December 31, 2017 was $6.1 million. Provision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taxes for the 2018 Successor Period and the 2018 Predecessor Period was impacted by increased earnings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resulted in higher tax expense in certain jurisdictions. Provision for income taxes for the 2018 Predecessor Period was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impacted by a $3.3 million adjustment related to an uncertain tax position during the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quarterly results have been and will continue to be affected by changes in trading volumes due to market conditions, changes in the number of trading days during certain quarters and seasonal effects caused by slow-downs in trading activity during certain periods. As a result of these and other factors, our financial results for any single quarter or for periods of less than a year are not necessarily indicative of the results that may be achieved for a full fiscal year or any future periods. For our quarterly results of operations for the years ended December 31, 2019 and 2018, see Note 21—Quarterly Results of Operations to our audited consolidated financial statements included elsewhere in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availability under the Revolving Credit Facility and their sufficiency to fund our operating and investing activities.</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primary cash needs are for day to day operations, working capital requirements, capital expenditures, primarily for software and equipment, and our expected dividend payments. In addition, we are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Total amounts due to the Continuing LLC Owners as of December 31, 2019 under the Tax Receivable Agreement were $240.8 million.</w:t>
      </w:r>
    </w:p>
    <w:p>
      <w:pPr>
        <w:spacing w:after="0" w:line="178"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We expect to fund our liquidity requirements through cash and cash equivalents and cash flows from operations. While historically we have generated significant and adequate cash flows from operations, in the event of an unexpected event in the future or otherwise, we may fund our liquidity requirements through borrowings under the Revolving Credit Facility.</w:t>
      </w:r>
    </w:p>
    <w:p>
      <w:pPr>
        <w:spacing w:after="0" w:line="147"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6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As of December 31, 2019 and 2018, we had cash and cash equivalents of approximately $460.7 million and $410.1 million, respectively. All cash and cash equivalents were held in accounts with banks such that the funds are immediately available or in fixed term deposits with a maximum maturity of three months.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 As discussed below, our ability to pay these quarterly cash dividends on our Class A common stock and Class B common stock will depend on distributions to us from TWM LLC. Dividends declared and paid to Class A and B common stockholders during the year ended December 31, 2019 amounted to $35.9 million.</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83"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 See “Risk Factors — Risks Relating to the Company and Our Organizational Structure</w:t>
      </w:r>
    </w:p>
    <w:p>
      <w:pPr>
        <w:spacing w:after="0" w:line="2"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 Our principal asset is our equity interest in TWM LLC, and, accordingly, we depend on distributions from TWM LLC to pay our taxes and expenses, including payments under the Tax Receivable Agreement” and “Risk Factors — Risks Relating to Ownership of our Class A common stock — We intend to pay regular dividends on our Class A common stock and Class B common stock, but our ability to do so may be limited.”</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Cash Distributions</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In March and April 2019, TWM LLC made pre-IPO cash distributions to the Original LLC Owners in aggregate amounts of $20.0 million and $100.0 million, respectively.</w:t>
      </w:r>
    </w:p>
    <w:p>
      <w:pPr>
        <w:spacing w:after="0" w:line="170"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In May, September and December 2019, TWM LLC made quarterly cash distributions to its equityholders, including Tradeweb Markets Inc., in aggregate amounts of $33.4 million, $33.0 million and $45.8 million, respectively.</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Cash Dividends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June, September and December 2019, Tradeweb Markets Inc. paid quarterly cash dividends to the holders of Class A common stock and Class B common stock in aggregate amounts of $11.4 million, $11.4 million and $13.1 million, respectively.</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On February 11, 2020, our board of directors declared a cash dividend of $0.08 per share of Class A common stock and Class B common stock for the first quarter of 2020. This dividend will be payable on March 16, 2020 to stockholders of record as of March 2,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2019 and 2018, we had no outstanding indebtedness.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Historically, the Company has only issued debt in connection with significant investment transactions and all debt issued by the Company has been issued to subsidiaries of Thomson Reuters. In 2013, we issued $29.3 million of convertible notes to a subsidiary of Thomson Reuters in connection with the acquisition of BondDesk Group LLC and subsidiaries. During 2017, Thomson Reuters converted all outstanding convertible notes into equity.</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April 8, 2019, TWM LLC entered into the Revolving Credit Facility with a syndicate of banks. The Revolving Credit Facility provides borrowing capacity to be used to fund our ongoing working capital needs, letters of credit and for general corporate purposes, including potential future acquisitions and expansions.</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November 7, 2019, TWM LLC entered into an amendment to the Revolving Credit Facility among TWM LLC and the lenders party thereto, which revised the Revolving Credit Facility to permit the pending LSEG Transaction. The amendment did not otherwise impact the terms of the Revolving Credit Facility and did not impact the amount of borrowings available to TWM LLC under the Revolving Credit Facility.</w:t>
      </w:r>
    </w:p>
    <w:p>
      <w:pPr>
        <w:spacing w:after="0" w:line="18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TWM LLC is the borrower under the Revolving Credit Facility. 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58"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As of December 31, 2019, there were no amounts outstanding under the Revolving Credit Facility and we had availability of $500.0 million.</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 1.0% and (iii) one month LIBOR plus 1.0%, in each case plus 0.75%, or (b) LIBOR plus 1.75%, subject to a 0.00% floor. The credit agreement also requires that we pay a commitment fee of 0.25% for available but unborrowed amounts. We are also required to pay customary letter of credit fees and agency fees.</w:t>
      </w:r>
    </w:p>
    <w:p>
      <w:pPr>
        <w:spacing w:after="0" w:line="19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the option to voluntarily repay outstanding loans at any time without premium or penalty other than customary “breakage” costs with respect to LIBOR loans.</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There will be no scheduled amortization under the Revolving Credit Facility. The principal amount outstanding will be due and payable in full at maturity.</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8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43" w:lineRule="exact"/>
        <w:rPr>
          <w:sz w:val="20"/>
          <w:szCs w:val="20"/>
          <w:color w:val="auto"/>
        </w:rPr>
      </w:pPr>
    </w:p>
    <w:p>
      <w:pPr>
        <w:ind w:left="660" w:hanging="333"/>
        <w:spacing w:after="0"/>
        <w:tabs>
          <w:tab w:leader="none" w:pos="66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incur additional indebtedness and guarantee indebtedness;</w:t>
      </w:r>
    </w:p>
    <w:p>
      <w:pPr>
        <w:spacing w:after="0" w:line="139" w:lineRule="exact"/>
        <w:rPr>
          <w:rFonts w:ascii="Arial" w:cs="Arial" w:eastAsia="Arial" w:hAnsi="Arial"/>
          <w:sz w:val="29"/>
          <w:szCs w:val="29"/>
          <w:color w:val="auto"/>
          <w:vertAlign w:val="superscript"/>
        </w:rPr>
      </w:pPr>
    </w:p>
    <w:p>
      <w:pPr>
        <w:ind w:left="660" w:hanging="333"/>
        <w:spacing w:after="0" w:line="210" w:lineRule="auto"/>
        <w:tabs>
          <w:tab w:leader="none" w:pos="66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create or incur liens;</w:t>
      </w:r>
    </w:p>
    <w:p>
      <w:pPr>
        <w:spacing w:after="0" w:line="140" w:lineRule="exact"/>
        <w:rPr>
          <w:rFonts w:ascii="Arial" w:cs="Arial" w:eastAsia="Arial" w:hAnsi="Arial"/>
          <w:sz w:val="29"/>
          <w:szCs w:val="29"/>
          <w:color w:val="auto"/>
          <w:vertAlign w:val="superscript"/>
        </w:rPr>
      </w:pPr>
    </w:p>
    <w:p>
      <w:pPr>
        <w:ind w:left="660" w:hanging="333"/>
        <w:spacing w:after="0" w:line="210" w:lineRule="auto"/>
        <w:tabs>
          <w:tab w:leader="none" w:pos="66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pay dividends and distributions or repurchase capital stock;</w:t>
      </w:r>
    </w:p>
    <w:p>
      <w:pPr>
        <w:spacing w:after="0" w:line="140" w:lineRule="exact"/>
        <w:rPr>
          <w:rFonts w:ascii="Arial" w:cs="Arial" w:eastAsia="Arial" w:hAnsi="Arial"/>
          <w:sz w:val="29"/>
          <w:szCs w:val="29"/>
          <w:color w:val="auto"/>
          <w:vertAlign w:val="superscript"/>
        </w:rPr>
      </w:pPr>
    </w:p>
    <w:p>
      <w:pPr>
        <w:ind w:left="660" w:hanging="333"/>
        <w:spacing w:after="0" w:line="210" w:lineRule="auto"/>
        <w:tabs>
          <w:tab w:leader="none" w:pos="66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make investments, loans and advances; and</w:t>
      </w:r>
    </w:p>
    <w:p>
      <w:pPr>
        <w:spacing w:after="0" w:line="140" w:lineRule="exact"/>
        <w:rPr>
          <w:rFonts w:ascii="Arial" w:cs="Arial" w:eastAsia="Arial" w:hAnsi="Arial"/>
          <w:sz w:val="29"/>
          <w:szCs w:val="29"/>
          <w:color w:val="auto"/>
          <w:vertAlign w:val="superscript"/>
        </w:rPr>
      </w:pPr>
    </w:p>
    <w:p>
      <w:pPr>
        <w:ind w:left="660" w:hanging="333"/>
        <w:spacing w:after="0" w:line="210" w:lineRule="auto"/>
        <w:tabs>
          <w:tab w:leader="none" w:pos="660" w:val="left"/>
        </w:tabs>
        <w:numPr>
          <w:ilvl w:val="0"/>
          <w:numId w:val="61"/>
        </w:numPr>
        <w:rPr>
          <w:rFonts w:ascii="Arial" w:cs="Arial" w:eastAsia="Arial" w:hAnsi="Arial"/>
          <w:sz w:val="29"/>
          <w:szCs w:val="29"/>
          <w:color w:val="auto"/>
          <w:vertAlign w:val="superscript"/>
        </w:rPr>
      </w:pPr>
      <w:r>
        <w:rPr>
          <w:rFonts w:ascii="Arial" w:cs="Arial" w:eastAsia="Arial" w:hAnsi="Arial"/>
          <w:sz w:val="18"/>
          <w:szCs w:val="18"/>
          <w:color w:val="auto"/>
        </w:rPr>
        <w:t>enter into certain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17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credit agreement that governs the Revolving Credit Facility also contains certain affirmative covenants and events of default customary for facilities of this type, including relating to a change of control. If an event of default occurs, the lenders under the Revolving Credit Facility will be entitled to take various actions, including the acceleration of amounts due under the Revolving Credit Facility and all actions permitted to be taken by secured creditors under applicable law.</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2019, we were in compliance with all the covenants set forth in the Revolving Credit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December 31, 2019 and 2018, each of our regulated subsidiaries had maintained sufficient net capital or financial resources to at least satisfy their minimum requirements which in aggregate were $53.2 million and $41.7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Fails to Deliver/Fails to Receive</w:t>
      </w:r>
    </w:p>
    <w:p>
      <w:pPr>
        <w:spacing w:after="0" w:line="225"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lease liability, payable to affiliates and tax receivable agreement liability. Changes in working capital, which impact our cash flows provided by operating activities, can vary depending on factors such as delays in the collection of receivables, changes in our operating performance, changes in trading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patterns, changes in client billing terms and other changes in the demand for our platforms and solutions. Our working capital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4"/>
                <w:szCs w:val="14"/>
                <w:color w:val="auto"/>
              </w:rPr>
            </w:pPr>
          </w:p>
        </w:tc>
        <w:tc>
          <w:tcPr>
            <w:tcW w:w="820" w:type="dxa"/>
            <w:vAlign w:val="bottom"/>
          </w:tcPr>
          <w:p>
            <w:pPr>
              <w:jc w:val="center"/>
              <w:ind w:right="52"/>
              <w:spacing w:after="0"/>
              <w:rPr>
                <w:sz w:val="20"/>
                <w:szCs w:val="20"/>
                <w:color w:val="auto"/>
              </w:rPr>
            </w:pPr>
            <w:r>
              <w:rPr>
                <w:rFonts w:ascii="Arial" w:cs="Arial" w:eastAsia="Arial" w:hAnsi="Arial"/>
                <w:sz w:val="14"/>
                <w:szCs w:val="14"/>
                <w:b w:val="1"/>
                <w:bCs w:val="1"/>
                <w:color w:val="auto"/>
                <w:w w:val="84"/>
              </w:rPr>
              <w:t>Successor</w:t>
            </w:r>
          </w:p>
        </w:tc>
      </w:tr>
      <w:tr>
        <w:trPr>
          <w:trHeight w:val="119"/>
        </w:trPr>
        <w:tc>
          <w:tcPr>
            <w:tcW w:w="57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c>
          <w:tcPr>
            <w:tcW w:w="9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r>
      <w:tr>
        <w:trPr>
          <w:trHeight w:val="171"/>
        </w:trPr>
        <w:tc>
          <w:tcPr>
            <w:tcW w:w="57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2018</w:t>
            </w:r>
          </w:p>
        </w:tc>
      </w:tr>
      <w:tr>
        <w:trPr>
          <w:trHeight w:val="142"/>
        </w:trPr>
        <w:tc>
          <w:tcPr>
            <w:tcW w:w="57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0" w:type="dxa"/>
            <w:vAlign w:val="bottom"/>
            <w:gridSpan w:val="4"/>
            <w:shd w:val="clear" w:color="auto" w:fill="CCEEFF"/>
          </w:tcPr>
          <w:p>
            <w:pPr>
              <w:jc w:val="right"/>
              <w:ind w:right="312"/>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460,711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410,104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Receivable from brokers and dealers and clearing organizations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174,591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clearing organizations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Accounts receivable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87,192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affiliates</w:t>
            </w:r>
          </w:p>
        </w:tc>
        <w:tc>
          <w:tcPr>
            <w:tcW w:w="1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r>
      <w:tr>
        <w:trPr>
          <w:trHeight w:val="210"/>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assets</w:t>
            </w:r>
          </w:p>
        </w:tc>
        <w:tc>
          <w:tcPr>
            <w:tcW w:w="1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597,415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687,757</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171,214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Accrued compensation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119,415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120,158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42,548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Employee equity compensation payable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Lease liability</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r>
      <w:tr>
        <w:trPr>
          <w:trHeight w:val="216"/>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receivable agreement liability</w:t>
            </w:r>
          </w:p>
        </w:tc>
        <w:tc>
          <w:tcPr>
            <w:tcW w:w="1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224,710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390,999</w:t>
            </w:r>
          </w:p>
        </w:tc>
      </w:tr>
      <w:tr>
        <w:trPr>
          <w:trHeight w:val="217"/>
        </w:trPr>
        <w:tc>
          <w:tcPr>
            <w:tcW w:w="5760" w:type="dxa"/>
            <w:vAlign w:val="bottom"/>
          </w:tcPr>
          <w:p>
            <w:pPr>
              <w:spacing w:after="0"/>
              <w:rPr>
                <w:sz w:val="20"/>
                <w:szCs w:val="20"/>
                <w:color w:val="auto"/>
              </w:rPr>
            </w:pPr>
            <w:r>
              <w:rPr>
                <w:rFonts w:ascii="Arial" w:cs="Arial" w:eastAsia="Arial" w:hAnsi="Arial"/>
                <w:sz w:val="18"/>
                <w:szCs w:val="18"/>
                <w:color w:val="auto"/>
              </w:rPr>
              <w:t>Working capital</w:t>
            </w:r>
          </w:p>
        </w:tc>
        <w:tc>
          <w:tcPr>
            <w:tcW w:w="1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372,705</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296,758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Current assets decreased to $597.4 million as of December 31, 2019 from $687.8 million as of December 31, 2018 due to a decrease in receivable from brokers and dealers and clearing organizations resulting from a lower number of fails to deliver from unsettled wholesale platform transactions, offset by higher cash and cash equivalents as a result of an increase in gross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Current liabilities decreased to $224.7 million as of December 31, 2019 from $391.0 million as of December 31, 2018 due to a decrease in payable to brokers and dealers and clearing organizations resulting from a lower number of fails to receive from unsettled wholesale platform transactions and a decrease in employee equity compensation payable as a result of payments of cash-settled PRSUs.</w:t>
      </w:r>
    </w:p>
    <w:p>
      <w:pPr>
        <w:spacing w:after="0" w:line="18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See “— Liquidity and Capital Resources — Factors Influencing Our Liquidity and Capital Resources — Capital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cash flows for the year ended December 31, 2019, the 2018 Successor Period, the 2018 Predecessor Period and the year ended December 31, 2017 were as follows:</w:t>
      </w:r>
    </w:p>
    <w:p>
      <w:pPr>
        <w:spacing w:after="0" w:line="185" w:lineRule="exact"/>
        <w:rPr>
          <w:sz w:val="20"/>
          <w:szCs w:val="20"/>
          <w:color w:val="auto"/>
        </w:rPr>
      </w:pPr>
    </w:p>
    <w:tbl>
      <w:tblPr>
        <w:tblLayout w:type="fixed"/>
        <w:tblInd w:w="440" w:type="dxa"/>
        <w:tblCellMar>
          <w:top w:w="0" w:type="dxa"/>
          <w:left w:w="0" w:type="dxa"/>
          <w:bottom w:w="0" w:type="dxa"/>
          <w:right w:w="0" w:type="dxa"/>
        </w:tblCellMar>
      </w:tblPr>
      <w:tr>
        <w:trPr>
          <w:trHeight w:val="135"/>
        </w:trPr>
        <w:tc>
          <w:tcPr>
            <w:tcW w:w="3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78"/>
              </w:rPr>
              <w:t>Successor</w:t>
            </w:r>
          </w:p>
        </w:tc>
        <w:tc>
          <w:tcPr>
            <w:tcW w:w="120" w:type="dxa"/>
            <w:vAlign w:val="bottom"/>
          </w:tcPr>
          <w:p>
            <w:pPr>
              <w:spacing w:after="0"/>
              <w:rPr>
                <w:sz w:val="11"/>
                <w:szCs w:val="11"/>
                <w:color w:val="auto"/>
              </w:rPr>
            </w:pPr>
          </w:p>
        </w:tc>
        <w:tc>
          <w:tcPr>
            <w:tcW w:w="12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Predecessor</w:t>
            </w:r>
          </w:p>
        </w:tc>
        <w:tc>
          <w:tcPr>
            <w:tcW w:w="60" w:type="dxa"/>
            <w:vAlign w:val="bottom"/>
          </w:tcPr>
          <w:p>
            <w:pPr>
              <w:spacing w:after="0"/>
              <w:rPr>
                <w:sz w:val="11"/>
                <w:szCs w:val="11"/>
                <w:color w:val="auto"/>
              </w:rPr>
            </w:pPr>
          </w:p>
        </w:tc>
        <w:tc>
          <w:tcPr>
            <w:tcW w:w="620" w:type="dxa"/>
            <w:vAlign w:val="bottom"/>
          </w:tcPr>
          <w:p>
            <w:pPr>
              <w:jc w:val="center"/>
              <w:ind w:right="6"/>
              <w:spacing w:after="0"/>
              <w:rPr>
                <w:sz w:val="20"/>
                <w:szCs w:val="20"/>
                <w:color w:val="auto"/>
              </w:rPr>
            </w:pPr>
            <w:r>
              <w:rPr>
                <w:rFonts w:ascii="Arial" w:cs="Arial" w:eastAsia="Arial" w:hAnsi="Arial"/>
                <w:sz w:val="11"/>
                <w:szCs w:val="11"/>
                <w:b w:val="1"/>
                <w:bCs w:val="1"/>
                <w:color w:val="auto"/>
                <w:w w:val="84"/>
              </w:rPr>
              <w:t>Predecessor</w:t>
            </w:r>
          </w:p>
        </w:tc>
      </w:tr>
      <w:tr>
        <w:trPr>
          <w:trHeight w:val="101"/>
        </w:trPr>
        <w:tc>
          <w:tcPr>
            <w:tcW w:w="3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jc w:val="center"/>
              <w:ind w:right="166"/>
              <w:spacing w:after="0" w:line="102" w:lineRule="exact"/>
              <w:rPr>
                <w:sz w:val="20"/>
                <w:szCs w:val="20"/>
                <w:color w:val="auto"/>
              </w:rPr>
            </w:pPr>
            <w:r>
              <w:rPr>
                <w:rFonts w:ascii="Arial" w:cs="Arial" w:eastAsia="Arial" w:hAnsi="Arial"/>
                <w:sz w:val="11"/>
                <w:szCs w:val="11"/>
                <w:b w:val="1"/>
                <w:bCs w:val="1"/>
                <w:color w:val="auto"/>
                <w:w w:val="89"/>
              </w:rPr>
              <w:t>Year Ended</w:t>
            </w:r>
          </w:p>
        </w:tc>
        <w:tc>
          <w:tcPr>
            <w:tcW w:w="120" w:type="dxa"/>
            <w:vAlign w:val="bottom"/>
            <w:tcBorders>
              <w:right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jc w:val="center"/>
              <w:ind w:right="66"/>
              <w:spacing w:after="0" w:line="102" w:lineRule="exact"/>
              <w:rPr>
                <w:sz w:val="20"/>
                <w:szCs w:val="20"/>
                <w:color w:val="auto"/>
              </w:rPr>
            </w:pPr>
            <w:r>
              <w:rPr>
                <w:rFonts w:ascii="Arial" w:cs="Arial" w:eastAsia="Arial" w:hAnsi="Arial"/>
                <w:sz w:val="11"/>
                <w:szCs w:val="11"/>
                <w:b w:val="1"/>
                <w:bCs w:val="1"/>
                <w:color w:val="auto"/>
                <w:w w:val="92"/>
              </w:rPr>
              <w:t>October 1, 2018</w:t>
            </w:r>
          </w:p>
        </w:tc>
        <w:tc>
          <w:tcPr>
            <w:tcW w:w="120" w:type="dxa"/>
            <w:vAlign w:val="bottom"/>
            <w:tcBorders>
              <w:right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26"/>
              <w:spacing w:after="0" w:line="102" w:lineRule="exact"/>
              <w:rPr>
                <w:sz w:val="20"/>
                <w:szCs w:val="20"/>
                <w:color w:val="auto"/>
              </w:rPr>
            </w:pPr>
            <w:r>
              <w:rPr>
                <w:rFonts w:ascii="Arial" w:cs="Arial" w:eastAsia="Arial" w:hAnsi="Arial"/>
                <w:sz w:val="11"/>
                <w:szCs w:val="11"/>
                <w:b w:val="1"/>
                <w:bCs w:val="1"/>
                <w:color w:val="auto"/>
                <w:w w:val="90"/>
              </w:rPr>
              <w:t>January 1, 2018</w:t>
            </w: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center"/>
              <w:ind w:right="26"/>
              <w:spacing w:after="0" w:line="102" w:lineRule="exact"/>
              <w:rPr>
                <w:sz w:val="20"/>
                <w:szCs w:val="20"/>
                <w:color w:val="auto"/>
              </w:rPr>
            </w:pPr>
            <w:r>
              <w:rPr>
                <w:rFonts w:ascii="Arial" w:cs="Arial" w:eastAsia="Arial" w:hAnsi="Arial"/>
                <w:sz w:val="11"/>
                <w:szCs w:val="11"/>
                <w:b w:val="1"/>
                <w:bCs w:val="1"/>
                <w:color w:val="auto"/>
                <w:w w:val="89"/>
              </w:rPr>
              <w:t>Year Ended</w:t>
            </w:r>
          </w:p>
        </w:tc>
      </w:tr>
      <w:tr>
        <w:trPr>
          <w:trHeight w:val="122"/>
        </w:trPr>
        <w:tc>
          <w:tcPr>
            <w:tcW w:w="3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right w:val="single" w:sz="8" w:color="auto"/>
            </w:tcBorders>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20" w:type="dxa"/>
            <w:vAlign w:val="bottom"/>
          </w:tcPr>
          <w:p>
            <w:pPr>
              <w:spacing w:after="0"/>
              <w:rPr>
                <w:sz w:val="10"/>
                <w:szCs w:val="10"/>
                <w:color w:val="auto"/>
              </w:rPr>
            </w:pPr>
          </w:p>
        </w:tc>
        <w:tc>
          <w:tcPr>
            <w:tcW w:w="1280" w:type="dxa"/>
            <w:vAlign w:val="bottom"/>
            <w:tcBorders>
              <w:right w:val="single" w:sz="8" w:color="auto"/>
            </w:tcBorders>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To</w:t>
            </w:r>
          </w:p>
        </w:tc>
        <w:tc>
          <w:tcPr>
            <w:tcW w:w="8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76"/>
              </w:rPr>
              <w:t>to</w:t>
            </w:r>
          </w:p>
        </w:tc>
        <w:tc>
          <w:tcPr>
            <w:tcW w:w="6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December 31,</w:t>
            </w:r>
          </w:p>
        </w:tc>
      </w:tr>
      <w:tr>
        <w:trPr>
          <w:trHeight w:val="135"/>
        </w:trPr>
        <w:tc>
          <w:tcPr>
            <w:tcW w:w="3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right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88"/>
              </w:rPr>
              <w:t>December 31, 2018</w:t>
            </w:r>
          </w:p>
        </w:tc>
        <w:tc>
          <w:tcPr>
            <w:tcW w:w="9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w w:val="87"/>
              </w:rPr>
              <w:t>September 30, 2018</w:t>
            </w: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2017</w:t>
            </w:r>
          </w:p>
        </w:tc>
      </w:tr>
      <w:tr>
        <w:trPr>
          <w:trHeight w:val="115"/>
        </w:trPr>
        <w:tc>
          <w:tcPr>
            <w:tcW w:w="3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ind w:left="340"/>
              <w:spacing w:after="0" w:line="115" w:lineRule="exact"/>
              <w:rPr>
                <w:sz w:val="20"/>
                <w:szCs w:val="20"/>
                <w:color w:val="auto"/>
              </w:rPr>
            </w:pPr>
            <w:r>
              <w:rPr>
                <w:rFonts w:ascii="Arial" w:cs="Arial" w:eastAsia="Arial" w:hAnsi="Arial"/>
                <w:sz w:val="11"/>
                <w:szCs w:val="11"/>
                <w:b w:val="1"/>
                <w:bCs w:val="1"/>
                <w:color w:val="auto"/>
              </w:rPr>
              <w:t>(in thousands)</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31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cash flows provided by operating activities</w:t>
            </w:r>
          </w:p>
        </w:tc>
        <w:tc>
          <w:tcPr>
            <w:tcW w:w="740" w:type="dxa"/>
            <w:vAlign w:val="bottom"/>
            <w:gridSpan w:val="2"/>
            <w:shd w:val="clear" w:color="auto" w:fill="CCEEFF"/>
          </w:tcPr>
          <w:p>
            <w:pPr>
              <w:jc w:val="right"/>
              <w:ind w:right="91"/>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311,003</w:t>
            </w:r>
          </w:p>
        </w:tc>
        <w:tc>
          <w:tcPr>
            <w:tcW w:w="12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1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112,556</w:t>
            </w: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164,828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224,580</w:t>
            </w:r>
          </w:p>
        </w:tc>
      </w:tr>
      <w:tr>
        <w:trPr>
          <w:trHeight w:val="122"/>
        </w:trPr>
        <w:tc>
          <w:tcPr>
            <w:tcW w:w="3180" w:type="dxa"/>
            <w:vAlign w:val="bottom"/>
          </w:tcPr>
          <w:p>
            <w:pPr>
              <w:spacing w:after="0" w:line="122" w:lineRule="exact"/>
              <w:rPr>
                <w:sz w:val="20"/>
                <w:szCs w:val="20"/>
                <w:color w:val="auto"/>
              </w:rPr>
            </w:pPr>
            <w:r>
              <w:rPr>
                <w:rFonts w:ascii="Arial" w:cs="Arial" w:eastAsia="Arial" w:hAnsi="Arial"/>
                <w:sz w:val="11"/>
                <w:szCs w:val="11"/>
                <w:color w:val="auto"/>
              </w:rPr>
              <w:t>Net cash flows (used in) investing activities</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spacing w:after="0" w:line="122" w:lineRule="exact"/>
              <w:rPr>
                <w:sz w:val="20"/>
                <w:szCs w:val="20"/>
                <w:color w:val="auto"/>
              </w:rPr>
            </w:pPr>
            <w:r>
              <w:rPr>
                <w:rFonts w:ascii="Arial" w:cs="Arial" w:eastAsia="Arial" w:hAnsi="Arial"/>
                <w:sz w:val="11"/>
                <w:szCs w:val="11"/>
                <w:color w:val="auto"/>
              </w:rPr>
              <w:t>(44,462)</w:t>
            </w: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right w:val="single" w:sz="8" w:color="auto"/>
            </w:tcBorders>
            <w:gridSpan w:val="2"/>
          </w:tcPr>
          <w:p>
            <w:pPr>
              <w:jc w:val="right"/>
              <w:ind w:right="120"/>
              <w:spacing w:after="0" w:line="122" w:lineRule="exact"/>
              <w:rPr>
                <w:sz w:val="20"/>
                <w:szCs w:val="20"/>
                <w:color w:val="auto"/>
              </w:rPr>
            </w:pPr>
            <w:r>
              <w:rPr>
                <w:rFonts w:ascii="Arial" w:cs="Arial" w:eastAsia="Arial" w:hAnsi="Arial"/>
                <w:sz w:val="11"/>
                <w:szCs w:val="11"/>
                <w:color w:val="auto"/>
              </w:rPr>
              <w:t>(16,246)</w:t>
            </w:r>
          </w:p>
        </w:tc>
        <w:tc>
          <w:tcPr>
            <w:tcW w:w="80" w:type="dxa"/>
            <w:vAlign w:val="bottom"/>
          </w:tcPr>
          <w:p>
            <w:pPr>
              <w:spacing w:after="0"/>
              <w:rPr>
                <w:sz w:val="10"/>
                <w:szCs w:val="10"/>
                <w:color w:val="auto"/>
              </w:rPr>
            </w:pPr>
          </w:p>
        </w:tc>
        <w:tc>
          <w:tcPr>
            <w:tcW w:w="8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(25,850)</w:t>
            </w: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(45,552)</w:t>
            </w:r>
          </w:p>
        </w:tc>
      </w:tr>
      <w:tr>
        <w:trPr>
          <w:trHeight w:val="122"/>
        </w:trPr>
        <w:tc>
          <w:tcPr>
            <w:tcW w:w="31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cash flows (used in) financing activities</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(218,142)</w:t>
            </w:r>
          </w:p>
        </w:tc>
        <w:tc>
          <w:tcPr>
            <w:tcW w:w="12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tcBorders>
              <w:right w:val="single" w:sz="8" w:color="auto"/>
            </w:tcBorders>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(36,000)</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(139,350)</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(153,461)</w:t>
            </w:r>
          </w:p>
        </w:tc>
      </w:tr>
      <w:tr>
        <w:trPr>
          <w:trHeight w:val="122"/>
        </w:trPr>
        <w:tc>
          <w:tcPr>
            <w:tcW w:w="3180" w:type="dxa"/>
            <w:vAlign w:val="bottom"/>
          </w:tcPr>
          <w:p>
            <w:pPr>
              <w:spacing w:after="0" w:line="122" w:lineRule="exact"/>
              <w:rPr>
                <w:sz w:val="20"/>
                <w:szCs w:val="20"/>
                <w:color w:val="auto"/>
              </w:rPr>
            </w:pPr>
            <w:r>
              <w:rPr>
                <w:rFonts w:ascii="Arial" w:cs="Arial" w:eastAsia="Arial" w:hAnsi="Arial"/>
                <w:sz w:val="11"/>
                <w:szCs w:val="11"/>
                <w:color w:val="auto"/>
              </w:rPr>
              <w:t>Effect of exchange rate changes on cash and cash equivalents</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spacing w:after="0" w:line="122" w:lineRule="exact"/>
              <w:rPr>
                <w:sz w:val="20"/>
                <w:szCs w:val="20"/>
                <w:color w:val="auto"/>
              </w:rPr>
            </w:pPr>
            <w:r>
              <w:rPr>
                <w:rFonts w:ascii="Arial" w:cs="Arial" w:eastAsia="Arial" w:hAnsi="Arial"/>
                <w:sz w:val="11"/>
                <w:szCs w:val="11"/>
                <w:color w:val="auto"/>
              </w:rPr>
              <w:t>2,008</w:t>
            </w: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right w:val="single" w:sz="8" w:color="auto"/>
            </w:tcBorders>
            <w:gridSpan w:val="2"/>
          </w:tcPr>
          <w:p>
            <w:pPr>
              <w:jc w:val="right"/>
              <w:ind w:right="120"/>
              <w:spacing w:after="0" w:line="122" w:lineRule="exact"/>
              <w:rPr>
                <w:sz w:val="20"/>
                <w:szCs w:val="20"/>
                <w:color w:val="auto"/>
              </w:rPr>
            </w:pPr>
            <w:r>
              <w:rPr>
                <w:rFonts w:ascii="Arial" w:cs="Arial" w:eastAsia="Arial" w:hAnsi="Arial"/>
                <w:sz w:val="11"/>
                <w:szCs w:val="11"/>
                <w:color w:val="auto"/>
              </w:rPr>
              <w:t>(389)</w:t>
            </w:r>
          </w:p>
        </w:tc>
        <w:tc>
          <w:tcPr>
            <w:tcW w:w="80" w:type="dxa"/>
            <w:vAlign w:val="bottom"/>
          </w:tcPr>
          <w:p>
            <w:pPr>
              <w:spacing w:after="0"/>
              <w:rPr>
                <w:sz w:val="10"/>
                <w:szCs w:val="10"/>
                <w:color w:val="auto"/>
              </w:rPr>
            </w:pPr>
          </w:p>
        </w:tc>
        <w:tc>
          <w:tcPr>
            <w:tcW w:w="8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(2,043)</w:t>
            </w: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3,157</w:t>
            </w:r>
          </w:p>
        </w:tc>
      </w:tr>
      <w:tr>
        <w:trPr>
          <w:trHeight w:val="122"/>
        </w:trPr>
        <w:tc>
          <w:tcPr>
            <w:tcW w:w="31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Net increase (decrease) in cash and cash equivalents</w:t>
            </w:r>
          </w:p>
        </w:tc>
        <w:tc>
          <w:tcPr>
            <w:tcW w:w="54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50,407</w:t>
            </w:r>
          </w:p>
        </w:tc>
        <w:tc>
          <w:tcPr>
            <w:tcW w:w="1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11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59,921</w:t>
            </w:r>
          </w:p>
        </w:tc>
        <w:tc>
          <w:tcPr>
            <w:tcW w:w="12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(2,415)</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28,724</w:t>
            </w: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expense and contingent consideration. Cash flows from operating activities can fluctuate significantly from period-to-period as working capital needs and the timing of payments for accrued compensation (primarily in the first quarter) and other items impact reported cash flows.</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Net cash provided by operating activities for the year ended December 31, 2019 was $311.0 million and primarily driven by an increase in gross revenue.</w:t>
      </w:r>
    </w:p>
    <w:p>
      <w:pPr>
        <w:spacing w:after="0" w:line="17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Net cash provided by operating activities for the 2018 Successor Period and the 2018 Predecessor Period was $112.6 million and $164.8 million, respectively, which was primarily driven by increased gross revenue partially offset in the 2018 Predecessor Period by an increase in accounts receivable due to changes to the billing process associated with MiFID II resulting in less billings annually in advance and more billings monthly in arrears.</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Net cash provided by operating activities for the year ended December 31, 2017 was $224.6 million, which was primarily driven by an increase in gross revenue and an improvement in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Net cash used in investing activities was $44.5 million for the year ended December 31, 2019, which consisted of $28.7 million of capitalized software development costs and $15.8 million of purchases of furniture, equipment, purchased software and leasehold improvements. For the year ending December 31, 2020, we expect capital expenditures and capitalization of software of $45 million to $50 million.</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Net cash used in investing activities was $16.2 million for the 2018 Successor Period, which consisted of $7.2 million of capitalized software development costs and $9.1 million of purchases of furniture, equipment, purchased software and leasehold improvements. Net cash used in investing activities was $25.9 million for the 2018 Predecessor Period, which consisted of $19.5 million of capitalized software development costs and $6.3 million of purchases of furniture, equipment, purchased software and leasehold improvements.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Net cash used in investing activities was $45.6 million for the year ended December 31, 2017, which consisted of $27.2 million of capitalized software development costs, $13.5 million of purchase of furniture, equipment, purchased software and leasehold improvements and $5.0 million of purchase of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Financing activities consist of purchases of LLC Interests, cash dividends to our Class A common stockholders and Class B common stockholders during the post-IPO period and cash distributions from TWM LLC to the Original LLC Owners during the pre-IPO period.</w:t>
      </w:r>
    </w:p>
    <w:p>
      <w:pPr>
        <w:spacing w:after="0" w:line="181"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Net cash used in financing activities for the year ended December 31, 2019 was $218.1 million, which consisted of purchases of LLC Interests and shares of Class A common stock of $1,971.2 million from certain of the Bank Stockholders and members of management using the net proceeds from the IPO and the October 2019 follow-on offering, as applicable, cash dividends to our Class A and Class B common stockholders of $35.9 million, capital distributions to non-controlling interests of $38.3 million and pre-IPO capital distributions of $120.0 million, which includes a one-time distribution of $100.0 million paid to the Original LLC Owners in connection with the IPO.</w:t>
      </w:r>
    </w:p>
    <w:p>
      <w:pPr>
        <w:spacing w:after="0" w:line="178"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Net cash used in financing activities for the 2018 Successor Period and the 2018 Predecessor Period was $36.0 million and $139.4 million, respectively, which consisted of capital distributions to the Original LLC Owners.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Net cash used in financing activities was $153.5 million for the year ended December 31, 2017, which consisted of capital distributions to the Original LLC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181"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6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93"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year ended December 31, 2019, the 2018 Successor Period, the 2018 Predecessor Period and the year ended December 31,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78"/>
              </w:rPr>
              <w:t>Successor</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78"/>
              </w:rPr>
              <w:t>Successor</w:t>
            </w:r>
          </w:p>
        </w:tc>
        <w:tc>
          <w:tcPr>
            <w:tcW w:w="60" w:type="dxa"/>
            <w:vAlign w:val="bottom"/>
          </w:tcPr>
          <w:p>
            <w:pPr>
              <w:spacing w:after="0"/>
              <w:rPr>
                <w:sz w:val="11"/>
                <w:szCs w:val="11"/>
                <w:color w:val="auto"/>
              </w:rPr>
            </w:pPr>
          </w:p>
        </w:tc>
        <w:tc>
          <w:tcPr>
            <w:tcW w:w="880" w:type="dxa"/>
            <w:vAlign w:val="bottom"/>
          </w:tcPr>
          <w:p>
            <w:pPr>
              <w:jc w:val="center"/>
              <w:ind w:left="83"/>
              <w:spacing w:after="0"/>
              <w:rPr>
                <w:sz w:val="20"/>
                <w:szCs w:val="20"/>
                <w:color w:val="auto"/>
              </w:rPr>
            </w:pPr>
            <w:r>
              <w:rPr>
                <w:rFonts w:ascii="Arial" w:cs="Arial" w:eastAsia="Arial" w:hAnsi="Arial"/>
                <w:sz w:val="11"/>
                <w:szCs w:val="11"/>
                <w:b w:val="1"/>
                <w:bCs w:val="1"/>
                <w:color w:val="auto"/>
                <w:w w:val="81"/>
              </w:rPr>
              <w:t>Predecessor</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82"/>
              <w:spacing w:after="0"/>
              <w:rPr>
                <w:sz w:val="20"/>
                <w:szCs w:val="20"/>
                <w:color w:val="auto"/>
              </w:rPr>
            </w:pPr>
            <w:r>
              <w:rPr>
                <w:rFonts w:ascii="Arial" w:cs="Arial" w:eastAsia="Arial" w:hAnsi="Arial"/>
                <w:sz w:val="11"/>
                <w:szCs w:val="11"/>
                <w:b w:val="1"/>
                <w:bCs w:val="1"/>
                <w:color w:val="auto"/>
                <w:w w:val="81"/>
              </w:rPr>
              <w:t>Predecessor</w:t>
            </w:r>
          </w:p>
        </w:tc>
      </w:tr>
      <w:tr>
        <w:trPr>
          <w:trHeight w:val="101"/>
        </w:trPr>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center"/>
              <w:ind w:right="62"/>
              <w:spacing w:after="0" w:line="102" w:lineRule="exact"/>
              <w:rPr>
                <w:sz w:val="20"/>
                <w:szCs w:val="20"/>
                <w:color w:val="auto"/>
              </w:rPr>
            </w:pPr>
            <w:r>
              <w:rPr>
                <w:rFonts w:ascii="Arial" w:cs="Arial" w:eastAsia="Arial" w:hAnsi="Arial"/>
                <w:sz w:val="11"/>
                <w:szCs w:val="11"/>
                <w:b w:val="1"/>
                <w:bCs w:val="1"/>
                <w:color w:val="auto"/>
                <w:w w:val="83"/>
              </w:rPr>
              <w:t>Year</w:t>
            </w: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62"/>
              <w:spacing w:after="0" w:line="102" w:lineRule="exact"/>
              <w:rPr>
                <w:sz w:val="20"/>
                <w:szCs w:val="20"/>
                <w:color w:val="auto"/>
              </w:rPr>
            </w:pPr>
            <w:r>
              <w:rPr>
                <w:rFonts w:ascii="Arial" w:cs="Arial" w:eastAsia="Arial" w:hAnsi="Arial"/>
                <w:sz w:val="11"/>
                <w:szCs w:val="11"/>
                <w:b w:val="1"/>
                <w:bCs w:val="1"/>
                <w:color w:val="auto"/>
                <w:w w:val="87"/>
              </w:rPr>
              <w:t>October 1, 2018</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Borders>
              <w:top w:val="single" w:sz="8" w:color="auto"/>
            </w:tcBorders>
          </w:tcPr>
          <w:p>
            <w:pPr>
              <w:jc w:val="center"/>
              <w:ind w:left="83"/>
              <w:spacing w:after="0" w:line="102" w:lineRule="exact"/>
              <w:rPr>
                <w:sz w:val="20"/>
                <w:szCs w:val="20"/>
                <w:color w:val="auto"/>
              </w:rPr>
            </w:pPr>
            <w:r>
              <w:rPr>
                <w:rFonts w:ascii="Arial" w:cs="Arial" w:eastAsia="Arial" w:hAnsi="Arial"/>
                <w:sz w:val="11"/>
                <w:szCs w:val="11"/>
                <w:b w:val="1"/>
                <w:bCs w:val="1"/>
                <w:color w:val="auto"/>
                <w:w w:val="90"/>
              </w:rPr>
              <w:t>January 1, 2018</w:t>
            </w:r>
          </w:p>
        </w:tc>
        <w:tc>
          <w:tcPr>
            <w:tcW w:w="1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center"/>
              <w:ind w:right="82"/>
              <w:spacing w:after="0" w:line="102" w:lineRule="exact"/>
              <w:rPr>
                <w:sz w:val="20"/>
                <w:szCs w:val="20"/>
                <w:color w:val="auto"/>
              </w:rPr>
            </w:pPr>
            <w:r>
              <w:rPr>
                <w:rFonts w:ascii="Arial" w:cs="Arial" w:eastAsia="Arial" w:hAnsi="Arial"/>
                <w:sz w:val="11"/>
                <w:szCs w:val="11"/>
                <w:b w:val="1"/>
                <w:bCs w:val="1"/>
                <w:color w:val="auto"/>
                <w:w w:val="92"/>
              </w:rPr>
              <w:t>Year</w:t>
            </w:r>
          </w:p>
        </w:tc>
      </w:tr>
      <w:tr>
        <w:trPr>
          <w:trHeight w:val="122"/>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76"/>
              </w:rPr>
              <w:t>to</w:t>
            </w:r>
          </w:p>
        </w:tc>
        <w:tc>
          <w:tcPr>
            <w:tcW w:w="60" w:type="dxa"/>
            <w:vAlign w:val="bottom"/>
          </w:tcPr>
          <w:p>
            <w:pPr>
              <w:spacing w:after="0"/>
              <w:rPr>
                <w:sz w:val="10"/>
                <w:szCs w:val="10"/>
                <w:color w:val="auto"/>
              </w:rPr>
            </w:pPr>
          </w:p>
        </w:tc>
        <w:tc>
          <w:tcPr>
            <w:tcW w:w="880" w:type="dxa"/>
            <w:vAlign w:val="bottom"/>
          </w:tcPr>
          <w:p>
            <w:pPr>
              <w:jc w:val="center"/>
              <w:ind w:left="83"/>
              <w:spacing w:after="0" w:line="122" w:lineRule="exact"/>
              <w:rPr>
                <w:sz w:val="20"/>
                <w:szCs w:val="20"/>
                <w:color w:val="auto"/>
              </w:rPr>
            </w:pPr>
            <w:r>
              <w:rPr>
                <w:rFonts w:ascii="Arial" w:cs="Arial" w:eastAsia="Arial" w:hAnsi="Arial"/>
                <w:sz w:val="11"/>
                <w:szCs w:val="11"/>
                <w:b w:val="1"/>
                <w:bCs w:val="1"/>
                <w:color w:val="auto"/>
                <w:w w:val="95"/>
              </w:rPr>
              <w:t>to</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82"/>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2"/>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12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60" w:type="dxa"/>
            <w:vAlign w:val="bottom"/>
          </w:tcPr>
          <w:p>
            <w:pPr>
              <w:spacing w:after="0"/>
              <w:rPr>
                <w:sz w:val="10"/>
                <w:szCs w:val="10"/>
                <w:color w:val="auto"/>
              </w:rPr>
            </w:pPr>
          </w:p>
        </w:tc>
        <w:tc>
          <w:tcPr>
            <w:tcW w:w="880" w:type="dxa"/>
            <w:vAlign w:val="bottom"/>
          </w:tcPr>
          <w:p>
            <w:pPr>
              <w:jc w:val="center"/>
              <w:ind w:left="83"/>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102"/>
              <w:spacing w:after="0" w:line="122" w:lineRule="exact"/>
              <w:rPr>
                <w:sz w:val="20"/>
                <w:szCs w:val="20"/>
                <w:color w:val="auto"/>
              </w:rPr>
            </w:pPr>
            <w:r>
              <w:rPr>
                <w:rFonts w:ascii="Arial" w:cs="Arial" w:eastAsia="Arial" w:hAnsi="Arial"/>
                <w:sz w:val="11"/>
                <w:szCs w:val="11"/>
                <w:b w:val="1"/>
                <w:bCs w:val="1"/>
                <w:color w:val="auto"/>
                <w:w w:val="89"/>
              </w:rPr>
              <w:t>December 31,</w:t>
            </w:r>
          </w:p>
        </w:tc>
      </w:tr>
      <w:tr>
        <w:trPr>
          <w:trHeight w:val="135"/>
        </w:trPr>
        <w:tc>
          <w:tcPr>
            <w:tcW w:w="43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81"/>
              </w:rPr>
              <w:t>2019</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81"/>
              </w:rPr>
              <w:t>2018</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center"/>
              <w:ind w:left="83"/>
              <w:spacing w:after="0"/>
              <w:rPr>
                <w:sz w:val="20"/>
                <w:szCs w:val="20"/>
                <w:color w:val="auto"/>
              </w:rPr>
            </w:pPr>
            <w:r>
              <w:rPr>
                <w:rFonts w:ascii="Arial" w:cs="Arial" w:eastAsia="Arial" w:hAnsi="Arial"/>
                <w:sz w:val="11"/>
                <w:szCs w:val="11"/>
                <w:b w:val="1"/>
                <w:bCs w:val="1"/>
                <w:color w:val="auto"/>
                <w:w w:val="89"/>
              </w:rPr>
              <w:t>2018</w:t>
            </w: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1"/>
                <w:szCs w:val="11"/>
                <w:b w:val="1"/>
                <w:bCs w:val="1"/>
                <w:color w:val="auto"/>
                <w:w w:val="89"/>
              </w:rPr>
              <w:t>2017</w:t>
            </w:r>
          </w:p>
        </w:tc>
      </w:tr>
      <w:tr>
        <w:trPr>
          <w:trHeight w:val="129"/>
        </w:trPr>
        <w:tc>
          <w:tcPr>
            <w:tcW w:w="4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flow from operating activities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311,003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112,556</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23"/>
              <w:spacing w:after="0" w:line="129"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85"/>
              </w:rPr>
              <w:t>164,828</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224,580</w:t>
            </w:r>
          </w:p>
        </w:tc>
      </w:tr>
      <w:tr>
        <w:trPr>
          <w:trHeight w:val="135"/>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Less: Capitalization of software development costs</w:t>
            </w: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(28,681)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(7,156)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0"/>
              </w:rPr>
              <w:t>(19,523)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(27,157)</w:t>
            </w: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Less: Purchases of furniture, equipment and leasehold improvements</w:t>
            </w: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(15,781)</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(9,090)</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(6,327)</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(13,461)</w:t>
            </w:r>
          </w:p>
        </w:tc>
      </w:tr>
      <w:tr>
        <w:trPr>
          <w:trHeight w:val="136"/>
        </w:trPr>
        <w:tc>
          <w:tcPr>
            <w:tcW w:w="4460" w:type="dxa"/>
            <w:vAlign w:val="bottom"/>
            <w:gridSpan w:val="2"/>
          </w:tcPr>
          <w:p>
            <w:pPr>
              <w:spacing w:after="0" w:line="129" w:lineRule="exact"/>
              <w:rPr>
                <w:sz w:val="20"/>
                <w:szCs w:val="20"/>
                <w:color w:val="auto"/>
              </w:rPr>
            </w:pPr>
            <w:r>
              <w:rPr>
                <w:rFonts w:ascii="Arial" w:cs="Arial" w:eastAsia="Arial" w:hAnsi="Arial"/>
                <w:sz w:val="13"/>
                <w:szCs w:val="13"/>
                <w:color w:val="auto"/>
              </w:rPr>
              <w:t>Free Cash Flow</w:t>
            </w: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266,541</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96,310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bottom w:val="single" w:sz="8" w:color="auto"/>
            </w:tcBorders>
          </w:tcPr>
          <w:p>
            <w:pPr>
              <w:jc w:val="right"/>
              <w:ind w:right="723"/>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w w:val="85"/>
              </w:rPr>
              <w:t>138,978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183,962</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Diluted EPS as measures of our profitability.</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Adjusted EBITDA is defined as net income before contingent consideration, net interest income, provision for income taxes and depreciation and amortization, adjusted for the impact of certain other items, including certain stock-based compensation expense and payroll taxes associated with certain option exercises, tax receivable agreement liability adjustments and gains and losses from outstanding foreign exchange forward contracts and the revaluation of foreign denominated cash. Adjusted EBIT is defined as net income before contingent consideration, net interest income and provision for income taxes, adjusted for the impact of certain other items, including certain stock-based compensation expense and payroll taxes associated with certain option exercises, tax receivable agreement liability adjustments, acquisition and Refinitiv Transaction-related depreciation and amortization and gains and losses from outstanding foreign exchange forward contracts and the revaluation of foreign denominated cash. Adjusted EBITDA margin and Adjusted EBIT margin are defined as Adjusted EBITDA and Adjusted EBIT, respectively, divided by gross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revenue for the applicable period. 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We also exclude non-cash stock-based compensation expense associated with the Special Option Award discussed below under “— Critical Accounting Policies and Estimates — Stock-Based Compensation” and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We do not expect to exclude any non-cash stock-based compensation expense associated with options that may be awarded to management and other employees during 2020.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38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19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in each case adjusted for contingent consideration, certain stock-based compensation expense and payroll taxes associated with certain option exercises, tax receivable liability adjustments, acquisition and Refinitiv Transaction related depreciation and amortization and gains and losses from outstanding foreign exchange forward 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use Adjusted Net Income and Adjusted Diluted EPS as supplemental metrics to evaluate our business performance in a way that also considers our ability to generate profit without the impact of certain items. We exclude contingent consideration, stock-based compensation expense associated with the Special Option Award and the post-IPO option awards in 2019 and payroll taxes associated with exercises of such options, tax receivable liability adjustments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8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set forth below presents a reconciliation of net income to Adjusted EBITDA, Adjusted EBITDA margin,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Adjusted EBIT and Adjusted EBIT margin for the year ended December 31, 2019, the 2018 Successor Period, the 2018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Predecessor Period and the year ended December 31, 2017: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2"/>
              <w:spacing w:after="0"/>
              <w:rPr>
                <w:sz w:val="20"/>
                <w:szCs w:val="20"/>
                <w:color w:val="auto"/>
              </w:rPr>
            </w:pPr>
            <w:r>
              <w:rPr>
                <w:rFonts w:ascii="Arial" w:cs="Arial" w:eastAsia="Arial" w:hAnsi="Arial"/>
                <w:sz w:val="13"/>
                <w:szCs w:val="13"/>
                <w:b w:val="1"/>
                <w:bCs w:val="1"/>
                <w:color w:val="auto"/>
                <w:w w:val="79"/>
              </w:rPr>
              <w:t>Successor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right w:val="single" w:sz="8" w:color="auto"/>
            </w:tcBorders>
            <w:gridSpan w:val="2"/>
          </w:tcPr>
          <w:p>
            <w:pPr>
              <w:jc w:val="right"/>
              <w:ind w:right="353"/>
              <w:spacing w:after="0"/>
              <w:rPr>
                <w:sz w:val="20"/>
                <w:szCs w:val="20"/>
                <w:color w:val="auto"/>
              </w:rPr>
            </w:pPr>
            <w:r>
              <w:rPr>
                <w:rFonts w:ascii="Arial" w:cs="Arial" w:eastAsia="Arial" w:hAnsi="Arial"/>
                <w:sz w:val="13"/>
                <w:szCs w:val="13"/>
                <w:b w:val="1"/>
                <w:bCs w:val="1"/>
                <w:color w:val="auto"/>
                <w:w w:val="88"/>
              </w:rPr>
              <w:t>Successor</w:t>
            </w:r>
          </w:p>
        </w:tc>
        <w:tc>
          <w:tcPr>
            <w:tcW w:w="4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81"/>
              </w:rPr>
              <w:t>Predecessor</w:t>
            </w:r>
          </w:p>
        </w:tc>
        <w:tc>
          <w:tcPr>
            <w:tcW w:w="20" w:type="dxa"/>
            <w:vAlign w:val="bottom"/>
          </w:tcPr>
          <w:p>
            <w:pPr>
              <w:spacing w:after="0"/>
              <w:rPr>
                <w:sz w:val="15"/>
                <w:szCs w:val="15"/>
                <w:color w:val="auto"/>
              </w:rPr>
            </w:pPr>
          </w:p>
        </w:tc>
        <w:tc>
          <w:tcPr>
            <w:tcW w:w="960" w:type="dxa"/>
            <w:vAlign w:val="bottom"/>
            <w:gridSpan w:val="3"/>
          </w:tcPr>
          <w:p>
            <w:pPr>
              <w:jc w:val="right"/>
              <w:ind w:right="262"/>
              <w:spacing w:after="0"/>
              <w:rPr>
                <w:sz w:val="20"/>
                <w:szCs w:val="20"/>
                <w:color w:val="auto"/>
              </w:rPr>
            </w:pPr>
            <w:r>
              <w:rPr>
                <w:rFonts w:ascii="Arial" w:cs="Arial" w:eastAsia="Arial" w:hAnsi="Arial"/>
                <w:sz w:val="13"/>
                <w:szCs w:val="13"/>
                <w:b w:val="1"/>
                <w:bCs w:val="1"/>
                <w:color w:val="auto"/>
                <w:w w:val="79"/>
              </w:rPr>
              <w:t>Predecessor</w:t>
            </w: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ind w:right="38"/>
              <w:spacing w:after="0" w:line="91" w:lineRule="exact"/>
              <w:rPr>
                <w:sz w:val="20"/>
                <w:szCs w:val="20"/>
                <w:color w:val="auto"/>
              </w:rPr>
            </w:pPr>
            <w:r>
              <w:rPr>
                <w:rFonts w:ascii="Arial" w:cs="Arial" w:eastAsia="Arial" w:hAnsi="Arial"/>
                <w:sz w:val="9"/>
                <w:szCs w:val="9"/>
                <w:b w:val="1"/>
                <w:bCs w:val="1"/>
                <w:color w:val="auto"/>
              </w:rPr>
              <w:t>Year</w:t>
            </w: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2"/>
          </w:tcPr>
          <w:p>
            <w:pPr>
              <w:jc w:val="center"/>
              <w:spacing w:after="0" w:line="91" w:lineRule="exact"/>
              <w:rPr>
                <w:sz w:val="20"/>
                <w:szCs w:val="20"/>
                <w:color w:val="auto"/>
              </w:rPr>
            </w:pPr>
            <w:r>
              <w:rPr>
                <w:rFonts w:ascii="Arial" w:cs="Arial" w:eastAsia="Arial" w:hAnsi="Arial"/>
                <w:sz w:val="9"/>
                <w:szCs w:val="9"/>
                <w:b w:val="1"/>
                <w:bCs w:val="1"/>
                <w:color w:val="auto"/>
              </w:rPr>
              <w:t>October 1, 2018</w:t>
            </w:r>
          </w:p>
        </w:tc>
        <w:tc>
          <w:tcPr>
            <w:tcW w:w="180" w:type="dxa"/>
            <w:vAlign w:val="bottom"/>
            <w:tcBorders>
              <w:right w:val="single" w:sz="8" w:color="auto"/>
            </w:tcBorders>
          </w:tcPr>
          <w:p>
            <w:pPr>
              <w:spacing w:after="0"/>
              <w:rPr>
                <w:sz w:val="7"/>
                <w:szCs w:val="7"/>
                <w:color w:val="auto"/>
              </w:rPr>
            </w:pPr>
          </w:p>
        </w:tc>
        <w:tc>
          <w:tcPr>
            <w:tcW w:w="900" w:type="dxa"/>
            <w:vAlign w:val="bottom"/>
            <w:tcBorders>
              <w:top w:val="single" w:sz="8" w:color="auto"/>
            </w:tcBorders>
            <w:gridSpan w:val="2"/>
          </w:tcPr>
          <w:p>
            <w:pPr>
              <w:jc w:val="center"/>
              <w:spacing w:after="0" w:line="91" w:lineRule="exact"/>
              <w:rPr>
                <w:sz w:val="20"/>
                <w:szCs w:val="20"/>
                <w:color w:val="auto"/>
              </w:rPr>
            </w:pPr>
            <w:r>
              <w:rPr>
                <w:rFonts w:ascii="Arial" w:cs="Arial" w:eastAsia="Arial" w:hAnsi="Arial"/>
                <w:sz w:val="9"/>
                <w:szCs w:val="9"/>
                <w:b w:val="1"/>
                <w:bCs w:val="1"/>
                <w:color w:val="auto"/>
              </w:rPr>
              <w:t>January 1, 2018</w:t>
            </w:r>
          </w:p>
        </w:tc>
        <w:tc>
          <w:tcPr>
            <w:tcW w:w="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ind w:right="98"/>
              <w:spacing w:after="0" w:line="91" w:lineRule="exact"/>
              <w:rPr>
                <w:sz w:val="20"/>
                <w:szCs w:val="20"/>
                <w:color w:val="auto"/>
              </w:rPr>
            </w:pPr>
            <w:r>
              <w:rPr>
                <w:rFonts w:ascii="Arial" w:cs="Arial" w:eastAsia="Arial" w:hAnsi="Arial"/>
                <w:sz w:val="9"/>
                <w:szCs w:val="9"/>
                <w:b w:val="1"/>
                <w:bCs w:val="1"/>
                <w:color w:val="auto"/>
              </w:rPr>
              <w:t>Year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2"/>
              <w:spacing w:after="0" w:line="135" w:lineRule="exact"/>
              <w:rPr>
                <w:sz w:val="20"/>
                <w:szCs w:val="20"/>
                <w:color w:val="auto"/>
              </w:rPr>
            </w:pPr>
            <w:r>
              <w:rPr>
                <w:rFonts w:ascii="Arial" w:cs="Arial" w:eastAsia="Arial" w:hAnsi="Arial"/>
                <w:sz w:val="13"/>
                <w:szCs w:val="13"/>
                <w:b w:val="1"/>
                <w:bCs w:val="1"/>
                <w:color w:val="auto"/>
                <w:w w:val="85"/>
              </w:rPr>
              <w:t>Ended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213"/>
              <w:spacing w:after="0" w:line="135" w:lineRule="exact"/>
              <w:rPr>
                <w:sz w:val="20"/>
                <w:szCs w:val="20"/>
                <w:color w:val="auto"/>
              </w:rPr>
            </w:pPr>
            <w:r>
              <w:rPr>
                <w:rFonts w:ascii="Arial" w:cs="Arial" w:eastAsia="Arial" w:hAnsi="Arial"/>
                <w:sz w:val="13"/>
                <w:szCs w:val="13"/>
                <w:b w:val="1"/>
                <w:bCs w:val="1"/>
                <w:color w:val="auto"/>
                <w:w w:val="81"/>
              </w:rPr>
              <w:t>to</w:t>
            </w:r>
          </w:p>
        </w:tc>
        <w:tc>
          <w:tcPr>
            <w:tcW w:w="40" w:type="dxa"/>
            <w:vAlign w:val="bottom"/>
          </w:tcPr>
          <w:p>
            <w:pPr>
              <w:spacing w:after="0"/>
              <w:rPr>
                <w:sz w:val="11"/>
                <w:szCs w:val="11"/>
                <w:color w:val="auto"/>
              </w:rPr>
            </w:pPr>
          </w:p>
        </w:tc>
        <w:tc>
          <w:tcPr>
            <w:tcW w:w="9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to</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02"/>
              <w:spacing w:after="0" w:line="135"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213"/>
              <w:spacing w:after="0" w:line="135" w:lineRule="exact"/>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1"/>
                <w:szCs w:val="11"/>
                <w:color w:val="auto"/>
              </w:rPr>
            </w:pPr>
          </w:p>
        </w:tc>
        <w:tc>
          <w:tcPr>
            <w:tcW w:w="9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20" w:type="dxa"/>
            <w:vAlign w:val="bottom"/>
          </w:tcPr>
          <w:p>
            <w:pPr>
              <w:spacing w:after="0"/>
              <w:rPr>
                <w:sz w:val="11"/>
                <w:szCs w:val="11"/>
                <w:color w:val="auto"/>
              </w:rPr>
            </w:pPr>
          </w:p>
        </w:tc>
        <w:tc>
          <w:tcPr>
            <w:tcW w:w="960" w:type="dxa"/>
            <w:vAlign w:val="bottom"/>
            <w:gridSpan w:val="3"/>
          </w:tcPr>
          <w:p>
            <w:pPr>
              <w:jc w:val="center"/>
              <w:ind w:right="82"/>
              <w:spacing w:after="0" w:line="135" w:lineRule="exact"/>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2018</w:t>
            </w:r>
          </w:p>
        </w:tc>
        <w:tc>
          <w:tcPr>
            <w:tcW w:w="180" w:type="dxa"/>
            <w:vAlign w:val="bottom"/>
            <w:tcBorders>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82"/>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80" w:type="dxa"/>
            <w:vAlign w:val="bottom"/>
            <w:vMerge w:val="restart"/>
          </w:tcPr>
          <w:p>
            <w:pPr>
              <w:spacing w:after="0"/>
              <w:rPr>
                <w:sz w:val="11"/>
                <w:szCs w:val="11"/>
                <w:color w:val="auto"/>
              </w:rPr>
            </w:pPr>
          </w:p>
        </w:tc>
        <w:tc>
          <w:tcPr>
            <w:tcW w:w="1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vMerge w:val="continue"/>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62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173,024</w:t>
            </w:r>
          </w:p>
        </w:tc>
        <w:tc>
          <w:tcPr>
            <w:tcW w:w="2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29,307</w:t>
            </w:r>
          </w:p>
        </w:tc>
        <w:tc>
          <w:tcPr>
            <w:tcW w:w="1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130,160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55"/>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83,648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Contingent consideration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right w:val="single" w:sz="8" w:color="auto"/>
            </w:tcBorders>
            <w:gridSpan w:val="2"/>
          </w:tcPr>
          <w:p>
            <w:pPr>
              <w:jc w:val="right"/>
              <w:ind w:right="193"/>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26,830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58,520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Interest income, net</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(2,373)</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(787)</w:t>
            </w:r>
          </w:p>
        </w:tc>
        <w:tc>
          <w:tcPr>
            <w:tcW w:w="1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3540" w:type="dxa"/>
            <w:vAlign w:val="bottom"/>
            <w:gridSpan w:val="2"/>
          </w:tcPr>
          <w:p>
            <w:pPr>
              <w:spacing w:after="0" w:line="108" w:lineRule="exact"/>
              <w:rPr>
                <w:sz w:val="20"/>
                <w:szCs w:val="20"/>
                <w:color w:val="auto"/>
              </w:rPr>
            </w:pPr>
            <w:r>
              <w:rPr>
                <w:rFonts w:ascii="Arial" w:cs="Arial" w:eastAsia="Arial" w:hAnsi="Arial"/>
                <w:sz w:val="12"/>
                <w:szCs w:val="12"/>
                <w:color w:val="auto"/>
              </w:rPr>
              <w:t>Depreciation and amortization</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2"/>
                <w:szCs w:val="12"/>
                <w:color w:val="auto"/>
              </w:rPr>
              <w:t>139,330</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Arial" w:cs="Arial" w:eastAsia="Arial" w:hAnsi="Arial"/>
                <w:sz w:val="12"/>
                <w:szCs w:val="12"/>
                <w:color w:val="auto"/>
              </w:rPr>
              <w:t>33,020</w:t>
            </w:r>
          </w:p>
        </w:tc>
        <w:tc>
          <w:tcPr>
            <w:tcW w:w="1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2"/>
                <w:szCs w:val="12"/>
                <w:color w:val="auto"/>
              </w:rPr>
              <w:t>48,808</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2"/>
                <w:szCs w:val="12"/>
                <w:color w:val="auto"/>
              </w:rPr>
              <w:t>68,615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40" w:type="dxa"/>
            <w:vAlign w:val="bottom"/>
            <w:gridSpan w:val="2"/>
          </w:tcPr>
          <w:p>
            <w:pPr>
              <w:spacing w:after="0" w:line="148" w:lineRule="exact"/>
              <w:rPr>
                <w:sz w:val="20"/>
                <w:szCs w:val="20"/>
                <w:color w:val="auto"/>
              </w:rPr>
            </w:pPr>
            <w:r>
              <w:rPr>
                <w:rFonts w:ascii="Arial" w:cs="Arial" w:eastAsia="Arial" w:hAnsi="Arial"/>
                <w:sz w:val="13"/>
                <w:szCs w:val="13"/>
                <w:color w:val="auto"/>
              </w:rPr>
              <w:t>Stock-based compensation expense</w:t>
            </w:r>
            <w:r>
              <w:rPr>
                <w:rFonts w:ascii="Arial" w:cs="Arial" w:eastAsia="Arial" w:hAnsi="Arial"/>
                <w:sz w:val="14"/>
                <w:szCs w:val="14"/>
                <w:color w:val="auto"/>
                <w:vertAlign w:val="superscript"/>
              </w:rPr>
              <w:t>(1)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25,098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Borders>
              <w:right w:val="single" w:sz="8" w:color="auto"/>
            </w:tcBorders>
            <w:gridSpan w:val="2"/>
          </w:tcPr>
          <w:p>
            <w:pPr>
              <w:jc w:val="right"/>
              <w:ind w:right="193"/>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96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2"/>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Provision for income taxes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52,302</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3,415</w:t>
            </w: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11,900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6,129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3540" w:type="dxa"/>
            <w:vAlign w:val="bottom"/>
            <w:gridSpan w:val="2"/>
          </w:tcPr>
          <w:p>
            <w:pPr>
              <w:spacing w:after="0" w:line="123" w:lineRule="exact"/>
              <w:rPr>
                <w:sz w:val="20"/>
                <w:szCs w:val="20"/>
                <w:color w:val="auto"/>
              </w:rPr>
            </w:pPr>
            <w:r>
              <w:rPr>
                <w:rFonts w:ascii="Arial" w:cs="Arial" w:eastAsia="Arial" w:hAnsi="Arial"/>
                <w:sz w:val="13"/>
                <w:szCs w:val="13"/>
                <w:color w:val="auto"/>
              </w:rPr>
              <w:t>Unrealized foreign exchange (gains) / losses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3"/>
                <w:szCs w:val="13"/>
                <w:color w:val="auto"/>
              </w:rPr>
              <w:t>(2,310)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3"/>
                <w:szCs w:val="13"/>
                <w:color w:val="auto"/>
              </w:rPr>
              <w:t>263</w:t>
            </w:r>
          </w:p>
        </w:tc>
        <w:tc>
          <w:tcPr>
            <w:tcW w:w="1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3"/>
                <w:szCs w:val="13"/>
                <w:color w:val="auto"/>
              </w:rPr>
              <w:t>(960)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3"/>
                <w:szCs w:val="13"/>
                <w:color w:val="auto"/>
              </w:rPr>
              <w:t>(364)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(Gain) / loss from revaluation of foreign denominated cash</w:t>
            </w:r>
            <w:r>
              <w:rPr>
                <w:rFonts w:ascii="Arial" w:cs="Arial" w:eastAsia="Arial" w:hAnsi="Arial"/>
                <w:sz w:val="14"/>
                <w:szCs w:val="14"/>
                <w:color w:val="auto"/>
                <w:vertAlign w:val="superscript"/>
              </w:rPr>
              <w:t>(2)</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1,225</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90</w:t>
            </w: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(921)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3540" w:type="dxa"/>
            <w:vAlign w:val="bottom"/>
            <w:gridSpan w:val="2"/>
          </w:tcPr>
          <w:p>
            <w:pPr>
              <w:spacing w:after="0" w:line="148" w:lineRule="exact"/>
              <w:rPr>
                <w:sz w:val="20"/>
                <w:szCs w:val="20"/>
                <w:color w:val="auto"/>
              </w:rPr>
            </w:pPr>
            <w:r>
              <w:rPr>
                <w:rFonts w:ascii="Arial" w:cs="Arial" w:eastAsia="Arial" w:hAnsi="Arial"/>
                <w:sz w:val="13"/>
                <w:szCs w:val="13"/>
                <w:color w:val="auto"/>
              </w:rPr>
              <w:t>Tax receivable agreement liability adjustment</w:t>
            </w:r>
            <w:r>
              <w:rPr>
                <w:rFonts w:ascii="Arial" w:cs="Arial" w:eastAsia="Arial" w:hAnsi="Arial"/>
                <w:sz w:val="14"/>
                <w:szCs w:val="14"/>
                <w:color w:val="auto"/>
                <w:vertAlign w:val="superscript"/>
              </w:rPr>
              <w:t>(3)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(33,134)</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right w:val="single" w:sz="8" w:color="auto"/>
            </w:tcBorders>
            <w:gridSpan w:val="2"/>
          </w:tcPr>
          <w:p>
            <w:pPr>
              <w:jc w:val="right"/>
              <w:ind w:right="193"/>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96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82"/>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3540" w:type="dxa"/>
            <w:vAlign w:val="bottom"/>
            <w:gridSpan w:val="2"/>
          </w:tcPr>
          <w:p>
            <w:pPr>
              <w:spacing w:after="0" w:line="133" w:lineRule="exact"/>
              <w:rPr>
                <w:sz w:val="20"/>
                <w:szCs w:val="20"/>
                <w:color w:val="auto"/>
              </w:rPr>
            </w:pPr>
            <w:r>
              <w:rPr>
                <w:rFonts w:ascii="Arial" w:cs="Arial" w:eastAsia="Arial" w:hAnsi="Arial"/>
                <w:sz w:val="13"/>
                <w:szCs w:val="13"/>
                <w:color w:val="auto"/>
              </w:rPr>
              <w:t>Adjusted EBITDA</w:t>
            </w:r>
          </w:p>
        </w:tc>
        <w:tc>
          <w:tcPr>
            <w:tcW w:w="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353,162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65,308</w:t>
            </w:r>
          </w:p>
        </w:tc>
        <w:tc>
          <w:tcPr>
            <w:tcW w:w="180" w:type="dxa"/>
            <w:vAlign w:val="bottom"/>
            <w:tcBorders>
              <w:right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214,091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215,185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3540" w:type="dxa"/>
            <w:vAlign w:val="bottom"/>
            <w:gridSpan w:val="2"/>
          </w:tcPr>
          <w:p>
            <w:pPr>
              <w:spacing w:after="0" w:line="108" w:lineRule="exact"/>
              <w:rPr>
                <w:sz w:val="20"/>
                <w:szCs w:val="20"/>
                <w:color w:val="auto"/>
              </w:rPr>
            </w:pPr>
            <w:r>
              <w:rPr>
                <w:rFonts w:ascii="Arial" w:cs="Arial" w:eastAsia="Arial" w:hAnsi="Arial"/>
                <w:sz w:val="12"/>
                <w:szCs w:val="12"/>
                <w:color w:val="auto"/>
              </w:rPr>
              <w:t>Less: Depreciation and amortization</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2"/>
                <w:szCs w:val="12"/>
                <w:color w:val="auto"/>
              </w:rPr>
              <w:t>(139,330)</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Arial" w:cs="Arial" w:eastAsia="Arial" w:hAnsi="Arial"/>
                <w:sz w:val="12"/>
                <w:szCs w:val="12"/>
                <w:color w:val="auto"/>
              </w:rPr>
              <w:t>(33,020)</w:t>
            </w:r>
          </w:p>
        </w:tc>
        <w:tc>
          <w:tcPr>
            <w:tcW w:w="1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Arial" w:cs="Arial" w:eastAsia="Arial" w:hAnsi="Arial"/>
                <w:sz w:val="12"/>
                <w:szCs w:val="12"/>
                <w:color w:val="auto"/>
              </w:rPr>
              <w:t>(48,808)</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2"/>
                <w:szCs w:val="12"/>
                <w:color w:val="auto"/>
              </w:rPr>
              <w:t>(68,615)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35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Add: Acquisition and Refinitiv Transaction related D&amp;A</w:t>
            </w:r>
            <w:r>
              <w:rPr>
                <w:rFonts w:ascii="Arial" w:cs="Arial" w:eastAsia="Arial" w:hAnsi="Arial"/>
                <w:sz w:val="14"/>
                <w:szCs w:val="14"/>
                <w:color w:val="auto"/>
                <w:vertAlign w:val="superscript"/>
              </w:rPr>
              <w:t>(4)</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97,565</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22,413</w:t>
            </w:r>
          </w:p>
        </w:tc>
        <w:tc>
          <w:tcPr>
            <w:tcW w:w="180" w:type="dxa"/>
            <w:vAlign w:val="bottom"/>
            <w:tcBorders>
              <w:bottom w:val="single" w:sz="8" w:color="CCEEFF"/>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19,576</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31,236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54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Adjusted EBIT</w:t>
            </w: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311,397</w:t>
            </w:r>
          </w:p>
        </w:tc>
        <w:tc>
          <w:tcPr>
            <w:tcW w:w="2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54,701</w:t>
            </w:r>
          </w:p>
        </w:tc>
        <w:tc>
          <w:tcPr>
            <w:tcW w:w="18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184,859</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177,806</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3540" w:type="dxa"/>
            <w:vAlign w:val="bottom"/>
            <w:gridSpan w:val="2"/>
          </w:tcPr>
          <w:p>
            <w:pPr>
              <w:spacing w:after="0" w:line="122" w:lineRule="exact"/>
              <w:rPr>
                <w:sz w:val="20"/>
                <w:szCs w:val="20"/>
                <w:color w:val="auto"/>
              </w:rPr>
            </w:pPr>
            <w:r>
              <w:rPr>
                <w:rFonts w:ascii="Arial" w:cs="Arial" w:eastAsia="Arial" w:hAnsi="Arial"/>
                <w:sz w:val="13"/>
                <w:szCs w:val="13"/>
                <w:color w:val="auto"/>
              </w:rPr>
              <w:t>Adjusted EBITDA margin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45.5</w:t>
            </w:r>
          </w:p>
        </w:tc>
        <w:tc>
          <w:tcPr>
            <w:tcW w:w="200" w:type="dxa"/>
            <w:vAlign w:val="bottom"/>
          </w:tcPr>
          <w:p>
            <w:pPr>
              <w:jc w:val="right"/>
              <w:ind w:right="42"/>
              <w:spacing w:after="0" w:line="122" w:lineRule="exact"/>
              <w:rPr>
                <w:sz w:val="20"/>
                <w:szCs w:val="20"/>
                <w:color w:val="auto"/>
              </w:rPr>
            </w:pPr>
            <w:r>
              <w:rPr>
                <w:rFonts w:ascii="Arial" w:cs="Arial" w:eastAsia="Arial" w:hAnsi="Arial"/>
                <w:sz w:val="12"/>
                <w:szCs w:val="12"/>
                <w:color w:val="auto"/>
                <w:w w:val="74"/>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3"/>
                <w:szCs w:val="13"/>
                <w:color w:val="auto"/>
              </w:rPr>
              <w:t>36.6</w:t>
            </w:r>
          </w:p>
        </w:tc>
        <w:tc>
          <w:tcPr>
            <w:tcW w:w="180" w:type="dxa"/>
            <w:vAlign w:val="bottom"/>
            <w:tcBorders>
              <w:right w:val="single" w:sz="8" w:color="auto"/>
            </w:tcBorders>
          </w:tcPr>
          <w:p>
            <w:pPr>
              <w:jc w:val="right"/>
              <w:ind w:right="53"/>
              <w:spacing w:after="0"/>
              <w:rPr>
                <w:sz w:val="20"/>
                <w:szCs w:val="20"/>
                <w:color w:val="auto"/>
              </w:rPr>
            </w:pPr>
            <w:r>
              <w:rPr>
                <w:rFonts w:ascii="Arial" w:cs="Arial" w:eastAsia="Arial" w:hAnsi="Arial"/>
                <w:sz w:val="9"/>
                <w:szCs w:val="9"/>
                <w:color w:val="auto"/>
                <w:w w:val="74"/>
              </w:rPr>
              <w:t>%</w:t>
            </w:r>
          </w:p>
        </w:tc>
        <w:tc>
          <w:tcPr>
            <w:tcW w:w="4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3"/>
                <w:szCs w:val="13"/>
                <w:color w:val="auto"/>
              </w:rPr>
              <w:t>42.3</w:t>
            </w:r>
          </w:p>
        </w:tc>
        <w:tc>
          <w:tcPr>
            <w:tcW w:w="100" w:type="dxa"/>
            <w:vAlign w:val="bottom"/>
            <w:gridSpan w:val="2"/>
          </w:tcPr>
          <w:p>
            <w:pPr>
              <w:jc w:val="right"/>
              <w:spacing w:after="0" w:line="122" w:lineRule="exact"/>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3"/>
                <w:szCs w:val="13"/>
                <w:color w:val="auto"/>
              </w:rPr>
              <w:t>38.2</w:t>
            </w:r>
          </w:p>
        </w:tc>
        <w:tc>
          <w:tcPr>
            <w:tcW w:w="100" w:type="dxa"/>
            <w:vAlign w:val="bottom"/>
          </w:tcPr>
          <w:p>
            <w:pPr>
              <w:jc w:val="right"/>
              <w:spacing w:after="0" w:line="122"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Adjusted EBIT margin</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40.2 %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tcBorders>
              <w:right w:val="single" w:sz="8" w:color="auto"/>
            </w:tcBorders>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30.6 %</w:t>
            </w:r>
          </w:p>
        </w:tc>
        <w:tc>
          <w:tcPr>
            <w:tcW w:w="4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36.5 %</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31.6 %</w:t>
            </w:r>
          </w:p>
        </w:tc>
        <w:tc>
          <w:tcPr>
            <w:tcW w:w="0" w:type="dxa"/>
            <w:vAlign w:val="bottom"/>
          </w:tcPr>
          <w:p>
            <w:pPr>
              <w:spacing w:after="0"/>
              <w:rPr>
                <w:sz w:val="1"/>
                <w:szCs w:val="1"/>
                <w:color w:val="auto"/>
              </w:rPr>
            </w:pPr>
          </w:p>
        </w:tc>
      </w:tr>
      <w:tr>
        <w:trPr>
          <w:trHeight w:val="108"/>
        </w:trPr>
        <w:tc>
          <w:tcPr>
            <w:tcW w:w="4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-1071245</wp:posOffset>
            </wp:positionV>
            <wp:extent cx="516255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62550" cy="8572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-899795</wp:posOffset>
            </wp:positionV>
            <wp:extent cx="516255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62550" cy="8572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-728345</wp:posOffset>
            </wp:positionV>
            <wp:extent cx="516255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62550" cy="8572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-539750</wp:posOffset>
            </wp:positionV>
            <wp:extent cx="5162550" cy="94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62550" cy="94615"/>
                    </a:xfrm>
                    <a:prstGeom prst="rect">
                      <a:avLst/>
                    </a:prstGeom>
                    <a:noFill/>
                  </pic:spPr>
                </pic:pic>
              </a:graphicData>
            </a:graphic>
          </wp:anchor>
        </w:drawing>
      </w:r>
    </w:p>
    <w:p>
      <w:pPr>
        <w:spacing w:after="0" w:line="69" w:lineRule="exact"/>
        <w:rPr>
          <w:sz w:val="20"/>
          <w:szCs w:val="20"/>
          <w:color w:val="auto"/>
        </w:rPr>
      </w:pPr>
    </w:p>
    <w:p>
      <w:pPr>
        <w:ind w:left="320" w:right="120" w:hanging="317"/>
        <w:spacing w:after="0" w:line="253" w:lineRule="auto"/>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73" w:lineRule="exact"/>
        <w:rPr>
          <w:rFonts w:ascii="Arial" w:cs="Arial" w:eastAsia="Arial" w:hAnsi="Arial"/>
          <w:sz w:val="14"/>
          <w:szCs w:val="14"/>
          <w:color w:val="auto"/>
        </w:rPr>
      </w:pPr>
    </w:p>
    <w:p>
      <w:pPr>
        <w:ind w:left="320" w:hanging="317"/>
        <w:spacing w:after="0"/>
        <w:tabs>
          <w:tab w:leader="none" w:pos="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right="180" w:hanging="317"/>
        <w:spacing w:after="0" w:line="291" w:lineRule="auto"/>
        <w:tabs>
          <w:tab w:leader="none" w:pos="3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pacing w:after="0" w:line="150" w:lineRule="exact"/>
        <w:rPr>
          <w:rFonts w:ascii="Arial" w:cs="Arial" w:eastAsia="Arial" w:hAnsi="Arial"/>
          <w:sz w:val="13"/>
          <w:szCs w:val="13"/>
          <w:color w:val="auto"/>
        </w:rPr>
      </w:pPr>
    </w:p>
    <w:p>
      <w:pPr>
        <w:ind w:left="320" w:right="200" w:hanging="317"/>
        <w:spacing w:after="0" w:line="238" w:lineRule="auto"/>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year ended December 31, 2019, the 2018 Successor Period and the 2018 Predecessor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79"/>
              </w:rPr>
              <w:t>Successor</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82"/>
              </w:rPr>
              <w:t>Successor</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81"/>
              </w:rPr>
              <w:t>Predecessor</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81"/>
              </w:rPr>
              <w:t>Predecessor</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jc w:val="center"/>
              <w:ind w:right="60"/>
              <w:spacing w:after="0" w:line="110" w:lineRule="exact"/>
              <w:rPr>
                <w:sz w:val="20"/>
                <w:szCs w:val="20"/>
                <w:color w:val="auto"/>
              </w:rPr>
            </w:pPr>
            <w:r>
              <w:rPr>
                <w:rFonts w:ascii="Arial" w:cs="Arial" w:eastAsia="Arial" w:hAnsi="Arial"/>
                <w:sz w:val="12"/>
                <w:szCs w:val="12"/>
                <w:b w:val="1"/>
                <w:bCs w:val="1"/>
                <w:color w:val="auto"/>
                <w:w w:val="92"/>
              </w:rPr>
              <w:t>Year</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18"/>
              <w:spacing w:after="0" w:line="110" w:lineRule="exact"/>
              <w:rPr>
                <w:sz w:val="20"/>
                <w:szCs w:val="20"/>
                <w:color w:val="auto"/>
              </w:rPr>
            </w:pPr>
            <w:r>
              <w:rPr>
                <w:rFonts w:ascii="Arial" w:cs="Arial" w:eastAsia="Arial" w:hAnsi="Arial"/>
                <w:sz w:val="12"/>
                <w:szCs w:val="12"/>
                <w:b w:val="1"/>
                <w:bCs w:val="1"/>
                <w:color w:val="auto"/>
                <w:w w:val="96"/>
              </w:rPr>
              <w:t>October 1, 2018</w:t>
            </w: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center"/>
              <w:ind w:right="18"/>
              <w:spacing w:after="0" w:line="110" w:lineRule="exact"/>
              <w:rPr>
                <w:sz w:val="20"/>
                <w:szCs w:val="20"/>
                <w:color w:val="auto"/>
              </w:rPr>
            </w:pPr>
            <w:r>
              <w:rPr>
                <w:rFonts w:ascii="Arial" w:cs="Arial" w:eastAsia="Arial" w:hAnsi="Arial"/>
                <w:sz w:val="12"/>
                <w:szCs w:val="12"/>
                <w:b w:val="1"/>
                <w:bCs w:val="1"/>
                <w:color w:val="auto"/>
                <w:w w:val="96"/>
              </w:rPr>
              <w:t>January 1, 2018</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jc w:val="center"/>
              <w:ind w:right="78"/>
              <w:spacing w:after="0" w:line="110" w:lineRule="exact"/>
              <w:rPr>
                <w:sz w:val="20"/>
                <w:szCs w:val="20"/>
                <w:color w:val="auto"/>
              </w:rPr>
            </w:pPr>
            <w:r>
              <w:rPr>
                <w:rFonts w:ascii="Arial" w:cs="Arial" w:eastAsia="Arial" w:hAnsi="Arial"/>
                <w:sz w:val="12"/>
                <w:szCs w:val="12"/>
                <w:b w:val="1"/>
                <w:bCs w:val="1"/>
                <w:color w:val="auto"/>
                <w:w w:val="92"/>
              </w:rPr>
              <w:t>Year</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0"/>
              </w:rPr>
              <w:t>Ended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81"/>
              </w:rPr>
              <w:t>to</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81"/>
              </w:rPr>
              <w:t>to</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90"/>
              </w:rPr>
              <w:t>Ended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87"/>
              </w:rPr>
              <w:t>December 31,</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78"/>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18"/>
              <w:spacing w:after="0"/>
              <w:rPr>
                <w:sz w:val="20"/>
                <w:szCs w:val="20"/>
                <w:color w:val="auto"/>
              </w:rPr>
            </w:pPr>
            <w:r>
              <w:rPr>
                <w:rFonts w:ascii="Arial" w:cs="Arial" w:eastAsia="Arial" w:hAnsi="Arial"/>
                <w:sz w:val="13"/>
                <w:szCs w:val="13"/>
                <w:b w:val="1"/>
                <w:bCs w:val="1"/>
                <w:color w:val="auto"/>
                <w:w w:val="89"/>
              </w:rPr>
              <w:t>2018</w:t>
            </w:r>
          </w:p>
        </w:tc>
        <w:tc>
          <w:tcPr>
            <w:tcW w:w="24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18"/>
              <w:spacing w:after="0"/>
              <w:rPr>
                <w:sz w:val="20"/>
                <w:szCs w:val="20"/>
                <w:color w:val="auto"/>
              </w:rPr>
            </w:pPr>
            <w:r>
              <w:rPr>
                <w:rFonts w:ascii="Arial" w:cs="Arial" w:eastAsia="Arial" w:hAnsi="Arial"/>
                <w:sz w:val="13"/>
                <w:szCs w:val="13"/>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38"/>
              <w:spacing w:after="0"/>
              <w:rPr>
                <w:sz w:val="20"/>
                <w:szCs w:val="20"/>
                <w:color w:val="auto"/>
              </w:rPr>
            </w:pPr>
            <w:r>
              <w:rPr>
                <w:rFonts w:ascii="Arial" w:cs="Arial" w:eastAsia="Arial" w:hAnsi="Arial"/>
                <w:sz w:val="13"/>
                <w:szCs w:val="13"/>
                <w:b w:val="1"/>
                <w:bCs w:val="1"/>
                <w:color w:val="auto"/>
                <w:w w:val="82"/>
              </w:rPr>
              <w:t>2017</w:t>
            </w: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Earnings per diluted share(1)</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0.19</w:t>
            </w: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gridSpan w:val="2"/>
            <w:vMerge w:val="restart"/>
          </w:tcPr>
          <w:p>
            <w:pPr>
              <w:spacing w:after="0"/>
              <w:rPr>
                <w:sz w:val="20"/>
                <w:szCs w:val="20"/>
                <w:color w:val="auto"/>
              </w:rPr>
            </w:pPr>
            <w:r>
              <w:rPr>
                <w:rFonts w:ascii="Arial" w:cs="Arial" w:eastAsia="Arial" w:hAnsi="Arial"/>
                <w:sz w:val="13"/>
                <w:szCs w:val="13"/>
                <w:color w:val="auto"/>
                <w:w w:val="98"/>
              </w:rPr>
              <w:t xml:space="preserve">Pre-IPO net income attributable to Tradeweb Markets LLC </w:t>
            </w:r>
            <w:r>
              <w:rPr>
                <w:rFonts w:ascii="Arial" w:cs="Arial" w:eastAsia="Arial" w:hAnsi="Arial"/>
                <w:sz w:val="14"/>
                <w:szCs w:val="14"/>
                <w:color w:val="auto"/>
                <w:w w:val="98"/>
                <w:vertAlign w:val="superscript"/>
              </w:rPr>
              <w:t>(1)</w:t>
            </w:r>
          </w:p>
        </w:tc>
        <w:tc>
          <w:tcPr>
            <w:tcW w:w="4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0.54</w:t>
            </w:r>
          </w:p>
        </w:tc>
        <w:tc>
          <w:tcPr>
            <w:tcW w:w="300" w:type="dxa"/>
            <w:vAlign w:val="bottom"/>
          </w:tcPr>
          <w:p>
            <w:pPr>
              <w:spacing w:after="0"/>
              <w:rPr>
                <w:sz w:val="20"/>
                <w:szCs w:val="20"/>
                <w:color w:val="auto"/>
              </w:rPr>
            </w:pPr>
            <w:r>
              <w:rPr>
                <w:rFonts w:ascii="Arial" w:cs="Arial" w:eastAsia="Arial" w:hAnsi="Arial"/>
                <w:sz w:val="11"/>
                <w:szCs w:val="11"/>
                <w:color w:val="auto"/>
              </w:rPr>
              <w:t>(b)</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0.13</w:t>
            </w:r>
          </w:p>
        </w:tc>
        <w:tc>
          <w:tcPr>
            <w:tcW w:w="2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0.60</w:t>
            </w:r>
          </w:p>
        </w:tc>
        <w:tc>
          <w:tcPr>
            <w:tcW w:w="220" w:type="dxa"/>
            <w:vAlign w:val="bottom"/>
          </w:tcPr>
          <w:p>
            <w:pPr>
              <w:spacing w:after="0"/>
              <w:rPr>
                <w:sz w:val="20"/>
                <w:szCs w:val="20"/>
                <w:color w:val="auto"/>
              </w:rPr>
            </w:pPr>
            <w:r>
              <w:rPr>
                <w:rFonts w:ascii="Arial" w:cs="Arial" w:eastAsia="Arial" w:hAnsi="Arial"/>
                <w:sz w:val="11"/>
                <w:szCs w:val="11"/>
                <w:color w:val="auto"/>
              </w:rPr>
              <w:t>(a)</w:t>
            </w:r>
          </w:p>
        </w:tc>
        <w:tc>
          <w:tcPr>
            <w:tcW w:w="100" w:type="dxa"/>
            <w:vAlign w:val="bottom"/>
            <w:gridSpan w:val="2"/>
          </w:tcPr>
          <w:p>
            <w:pPr>
              <w:jc w:val="right"/>
              <w:ind w:right="14"/>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0.39</w:t>
            </w:r>
          </w:p>
        </w:tc>
        <w:tc>
          <w:tcPr>
            <w:tcW w:w="140" w:type="dxa"/>
            <w:vAlign w:val="bottom"/>
          </w:tcPr>
          <w:p>
            <w:pPr>
              <w:spacing w:after="0"/>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2"/>
          </w:tcPr>
          <w:p>
            <w:pPr>
              <w:jc w:val="right"/>
              <w:spacing w:after="0" w:line="108" w:lineRule="exact"/>
              <w:rPr>
                <w:sz w:val="20"/>
                <w:szCs w:val="20"/>
                <w:color w:val="auto"/>
              </w:rPr>
            </w:pPr>
            <w:r>
              <w:rPr>
                <w:rFonts w:ascii="Arial" w:cs="Arial" w:eastAsia="Arial" w:hAnsi="Arial"/>
                <w:sz w:val="12"/>
                <w:szCs w:val="12"/>
                <w:color w:val="auto"/>
              </w:rPr>
              <w:t>42,352</w:t>
            </w:r>
          </w:p>
        </w:tc>
        <w:tc>
          <w:tcPr>
            <w:tcW w:w="300" w:type="dxa"/>
            <w:vAlign w:val="bottom"/>
          </w:tcPr>
          <w:p>
            <w:pPr>
              <w:spacing w:after="0" w:line="109" w:lineRule="exact"/>
              <w:rPr>
                <w:sz w:val="20"/>
                <w:szCs w:val="20"/>
                <w:color w:val="auto"/>
              </w:rPr>
            </w:pPr>
            <w:r>
              <w:rPr>
                <w:rFonts w:ascii="Arial" w:cs="Arial" w:eastAsia="Arial" w:hAnsi="Arial"/>
                <w:sz w:val="11"/>
                <w:szCs w:val="11"/>
                <w:color w:val="auto"/>
              </w:rPr>
              <w:t>(a)</w:t>
            </w: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spacing w:after="0" w:line="108" w:lineRule="exact"/>
              <w:rPr>
                <w:sz w:val="20"/>
                <w:szCs w:val="20"/>
                <w:color w:val="auto"/>
              </w:rPr>
            </w:pPr>
            <w:r>
              <w:rPr>
                <w:rFonts w:ascii="Arial" w:cs="Arial" w:eastAsia="Arial" w:hAnsi="Arial"/>
                <w:sz w:val="12"/>
                <w:szCs w:val="12"/>
                <w:color w:val="auto"/>
              </w:rPr>
              <w:t>29,307</w:t>
            </w:r>
          </w:p>
        </w:tc>
        <w:tc>
          <w:tcPr>
            <w:tcW w:w="240" w:type="dxa"/>
            <w:vAlign w:val="bottom"/>
            <w:tcBorders>
              <w:right w:val="single" w:sz="8" w:color="auto"/>
            </w:tcBorders>
          </w:tcPr>
          <w:p>
            <w:pPr>
              <w:spacing w:after="0" w:line="109" w:lineRule="exact"/>
              <w:rPr>
                <w:sz w:val="20"/>
                <w:szCs w:val="20"/>
                <w:color w:val="auto"/>
              </w:rPr>
            </w:pPr>
            <w:r>
              <w:rPr>
                <w:rFonts w:ascii="Arial" w:cs="Arial" w:eastAsia="Arial" w:hAnsi="Arial"/>
                <w:sz w:val="11"/>
                <w:szCs w:val="11"/>
                <w:color w:val="auto"/>
              </w:rPr>
              <w:t>(a)</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right"/>
              <w:spacing w:after="0" w:line="108" w:lineRule="exact"/>
              <w:rPr>
                <w:sz w:val="20"/>
                <w:szCs w:val="20"/>
                <w:color w:val="auto"/>
              </w:rPr>
            </w:pPr>
            <w:r>
              <w:rPr>
                <w:rFonts w:ascii="Arial" w:cs="Arial" w:eastAsia="Arial" w:hAnsi="Arial"/>
                <w:sz w:val="12"/>
                <w:szCs w:val="12"/>
                <w:color w:val="auto"/>
              </w:rPr>
              <w:t>130,160</w:t>
            </w:r>
          </w:p>
        </w:tc>
        <w:tc>
          <w:tcPr>
            <w:tcW w:w="220" w:type="dxa"/>
            <w:vAlign w:val="bottom"/>
          </w:tcPr>
          <w:p>
            <w:pPr>
              <w:spacing w:after="0" w:line="109" w:lineRule="exact"/>
              <w:rPr>
                <w:sz w:val="20"/>
                <w:szCs w:val="20"/>
                <w:color w:val="auto"/>
              </w:rPr>
            </w:pPr>
            <w:r>
              <w:rPr>
                <w:rFonts w:ascii="Arial" w:cs="Arial" w:eastAsia="Arial" w:hAnsi="Arial"/>
                <w:sz w:val="11"/>
                <w:szCs w:val="11"/>
                <w:color w:val="auto"/>
              </w:rPr>
              <w:t>(a)</w:t>
            </w: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right"/>
              <w:spacing w:after="0" w:line="108" w:lineRule="exact"/>
              <w:rPr>
                <w:sz w:val="20"/>
                <w:szCs w:val="20"/>
                <w:color w:val="auto"/>
              </w:rPr>
            </w:pPr>
            <w:r>
              <w:rPr>
                <w:rFonts w:ascii="Arial" w:cs="Arial" w:eastAsia="Arial" w:hAnsi="Arial"/>
                <w:sz w:val="12"/>
                <w:szCs w:val="12"/>
                <w:color w:val="auto"/>
              </w:rPr>
              <w:t>83,648</w:t>
            </w:r>
          </w:p>
        </w:tc>
        <w:tc>
          <w:tcPr>
            <w:tcW w:w="140" w:type="dxa"/>
            <w:vAlign w:val="bottom"/>
          </w:tcPr>
          <w:p>
            <w:pPr>
              <w:spacing w:after="0" w:line="109" w:lineRule="exact"/>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Add: Net income attributable to Tradeweb Markets Inc. </w:t>
            </w:r>
            <w:r>
              <w:rPr>
                <w:rFonts w:ascii="Arial" w:cs="Arial" w:eastAsia="Arial" w:hAnsi="Arial"/>
                <w:sz w:val="14"/>
                <w:szCs w:val="14"/>
                <w:color w:val="auto"/>
                <w:vertAlign w:val="superscript"/>
              </w:rPr>
              <w:t>(1)</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83,769</w:t>
            </w:r>
          </w:p>
        </w:tc>
        <w:tc>
          <w:tcPr>
            <w:tcW w:w="300" w:type="dxa"/>
            <w:vAlign w:val="bottom"/>
          </w:tcPr>
          <w:p>
            <w:pPr>
              <w:spacing w:after="0"/>
              <w:rPr>
                <w:sz w:val="20"/>
                <w:szCs w:val="20"/>
                <w:color w:val="auto"/>
              </w:rPr>
            </w:pPr>
            <w:r>
              <w:rPr>
                <w:rFonts w:ascii="Arial" w:cs="Arial" w:eastAsia="Arial" w:hAnsi="Arial"/>
                <w:sz w:val="11"/>
                <w:szCs w:val="11"/>
                <w:color w:val="auto"/>
              </w:rPr>
              <w:t>(b)</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gridSpan w:val="2"/>
          </w:tcPr>
          <w:p>
            <w:pPr>
              <w:spacing w:after="0" w:line="148" w:lineRule="exact"/>
              <w:rPr>
                <w:sz w:val="20"/>
                <w:szCs w:val="20"/>
                <w:color w:val="auto"/>
              </w:rPr>
            </w:pPr>
            <w:r>
              <w:rPr>
                <w:rFonts w:ascii="Arial" w:cs="Arial" w:eastAsia="Arial" w:hAnsi="Arial"/>
                <w:sz w:val="13"/>
                <w:szCs w:val="13"/>
                <w:color w:val="auto"/>
                <w:w w:val="99"/>
              </w:rPr>
              <w:t xml:space="preserve">Add: Net income attributable to non-controlling interests </w:t>
            </w:r>
            <w:r>
              <w:rPr>
                <w:rFonts w:ascii="Arial" w:cs="Arial" w:eastAsia="Arial" w:hAnsi="Arial"/>
                <w:sz w:val="14"/>
                <w:szCs w:val="14"/>
                <w:color w:val="auto"/>
                <w:w w:val="99"/>
                <w:vertAlign w:val="superscript"/>
              </w:rPr>
              <w:t>(1)(2)</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rPr>
              <w:t>46,903</w:t>
            </w:r>
          </w:p>
        </w:tc>
        <w:tc>
          <w:tcPr>
            <w:tcW w:w="300" w:type="dxa"/>
            <w:vAlign w:val="bottom"/>
          </w:tcPr>
          <w:p>
            <w:pPr>
              <w:spacing w:after="0"/>
              <w:rPr>
                <w:sz w:val="20"/>
                <w:szCs w:val="20"/>
                <w:color w:val="auto"/>
              </w:rPr>
            </w:pPr>
            <w:r>
              <w:rPr>
                <w:rFonts w:ascii="Arial" w:cs="Arial" w:eastAsia="Arial" w:hAnsi="Arial"/>
                <w:sz w:val="11"/>
                <w:szCs w:val="11"/>
                <w:color w:val="auto"/>
              </w:rPr>
              <w:t>(b)</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2"/>
          </w:tcPr>
          <w:p>
            <w:pPr>
              <w:spacing w:after="0" w:line="133" w:lineRule="exact"/>
              <w:rPr>
                <w:sz w:val="20"/>
                <w:szCs w:val="20"/>
                <w:color w:val="auto"/>
              </w:rPr>
            </w:pPr>
            <w:r>
              <w:rPr>
                <w:rFonts w:ascii="Arial" w:cs="Arial" w:eastAsia="Arial" w:hAnsi="Arial"/>
                <w:sz w:val="13"/>
                <w:szCs w:val="13"/>
                <w:color w:val="auto"/>
              </w:rPr>
              <w:t>Net income</w:t>
            </w:r>
          </w:p>
        </w:tc>
        <w:tc>
          <w:tcPr>
            <w:tcW w:w="4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173,024</w:t>
            </w:r>
          </w:p>
        </w:tc>
        <w:tc>
          <w:tcPr>
            <w:tcW w:w="300" w:type="dxa"/>
            <w:vAlign w:val="bottom"/>
          </w:tcPr>
          <w:p>
            <w:pPr>
              <w:spacing w:after="0"/>
              <w:rPr>
                <w:sz w:val="20"/>
                <w:szCs w:val="20"/>
                <w:color w:val="auto"/>
              </w:rPr>
            </w:pPr>
            <w:r>
              <w:rPr>
                <w:rFonts w:ascii="Arial" w:cs="Arial" w:eastAsia="Arial" w:hAnsi="Arial"/>
                <w:sz w:val="11"/>
                <w:szCs w:val="11"/>
                <w:color w:val="auto"/>
              </w:rPr>
              <w:t>(a)(b)</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29,307</w:t>
            </w:r>
          </w:p>
        </w:tc>
        <w:tc>
          <w:tcPr>
            <w:tcW w:w="2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130,160</w:t>
            </w:r>
          </w:p>
        </w:tc>
        <w:tc>
          <w:tcPr>
            <w:tcW w:w="220" w:type="dxa"/>
            <w:vAlign w:val="bottom"/>
          </w:tcPr>
          <w:p>
            <w:pPr>
              <w:spacing w:after="0"/>
              <w:rPr>
                <w:sz w:val="20"/>
                <w:szCs w:val="20"/>
                <w:color w:val="auto"/>
              </w:rPr>
            </w:pPr>
            <w:r>
              <w:rPr>
                <w:rFonts w:ascii="Arial" w:cs="Arial" w:eastAsia="Arial" w:hAnsi="Arial"/>
                <w:sz w:val="11"/>
                <w:szCs w:val="11"/>
                <w:color w:val="auto"/>
              </w:rPr>
              <w:t>(a)</w:t>
            </w:r>
          </w:p>
        </w:tc>
        <w:tc>
          <w:tcPr>
            <w:tcW w:w="20" w:type="dxa"/>
            <w:vAlign w:val="bottom"/>
          </w:tcPr>
          <w:p>
            <w:pPr>
              <w:spacing w:after="0"/>
              <w:rPr>
                <w:sz w:val="11"/>
                <w:szCs w:val="11"/>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83,648</w:t>
            </w:r>
          </w:p>
        </w:tc>
        <w:tc>
          <w:tcPr>
            <w:tcW w:w="140" w:type="dxa"/>
            <w:vAlign w:val="bottom"/>
          </w:tcPr>
          <w:p>
            <w:pPr>
              <w:spacing w:after="0"/>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Provision for income taxes</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52,302</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3,415</w:t>
            </w: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11,900</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6,129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gridSpan w:val="2"/>
          </w:tcPr>
          <w:p>
            <w:pPr>
              <w:spacing w:after="0" w:line="108" w:lineRule="exact"/>
              <w:rPr>
                <w:sz w:val="20"/>
                <w:szCs w:val="20"/>
                <w:color w:val="auto"/>
              </w:rPr>
            </w:pPr>
            <w:r>
              <w:rPr>
                <w:rFonts w:ascii="Arial" w:cs="Arial" w:eastAsia="Arial" w:hAnsi="Arial"/>
                <w:sz w:val="12"/>
                <w:szCs w:val="12"/>
                <w:color w:val="auto"/>
              </w:rPr>
              <w:t>Contingent consideration</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26,830</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58,520</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2"/>
          </w:tcPr>
          <w:p>
            <w:pPr>
              <w:spacing w:after="0" w:line="135" w:lineRule="exact"/>
              <w:rPr>
                <w:sz w:val="20"/>
                <w:szCs w:val="20"/>
                <w:color w:val="auto"/>
              </w:rPr>
            </w:pPr>
            <w:r>
              <w:rPr>
                <w:rFonts w:ascii="Arial" w:cs="Arial" w:eastAsia="Arial" w:hAnsi="Arial"/>
                <w:sz w:val="13"/>
                <w:szCs w:val="13"/>
                <w:color w:val="auto"/>
              </w:rPr>
              <w:t>Acquisition and Refinitiv Transaction related D&amp;A</w:t>
            </w:r>
            <w:r>
              <w:rPr>
                <w:rFonts w:ascii="Arial" w:cs="Arial" w:eastAsia="Arial" w:hAnsi="Arial"/>
                <w:sz w:val="14"/>
                <w:szCs w:val="14"/>
                <w:color w:val="auto"/>
                <w:vertAlign w:val="superscript"/>
              </w:rPr>
              <w:t>(3)</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97,565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22,413</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19,576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31,236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80" w:type="dxa"/>
            <w:vAlign w:val="bottom"/>
            <w:gridSpan w:val="2"/>
          </w:tcPr>
          <w:p>
            <w:pPr>
              <w:spacing w:after="0" w:line="148" w:lineRule="exact"/>
              <w:rPr>
                <w:sz w:val="20"/>
                <w:szCs w:val="20"/>
                <w:color w:val="auto"/>
              </w:rPr>
            </w:pPr>
            <w:r>
              <w:rPr>
                <w:rFonts w:ascii="Arial" w:cs="Arial" w:eastAsia="Arial" w:hAnsi="Arial"/>
                <w:sz w:val="13"/>
                <w:szCs w:val="13"/>
                <w:color w:val="auto"/>
              </w:rPr>
              <w:t>Stock-based compensation expense</w:t>
            </w:r>
            <w:r>
              <w:rPr>
                <w:rFonts w:ascii="Arial" w:cs="Arial" w:eastAsia="Arial" w:hAnsi="Arial"/>
                <w:sz w:val="14"/>
                <w:szCs w:val="14"/>
                <w:color w:val="auto"/>
                <w:vertAlign w:val="superscript"/>
              </w:rPr>
              <w:t>(4)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25,098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gridSpan w:val="2"/>
          </w:tcPr>
          <w:p>
            <w:pPr>
              <w:spacing w:after="0" w:line="123" w:lineRule="exact"/>
              <w:rPr>
                <w:sz w:val="20"/>
                <w:szCs w:val="20"/>
                <w:color w:val="auto"/>
              </w:rPr>
            </w:pPr>
            <w:r>
              <w:rPr>
                <w:rFonts w:ascii="Arial" w:cs="Arial" w:eastAsia="Arial" w:hAnsi="Arial"/>
                <w:sz w:val="13"/>
                <w:szCs w:val="13"/>
                <w:color w:val="auto"/>
              </w:rPr>
              <w:t>Unrealized foreign exchange (gains) / losses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(2,310)</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263</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(960)</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(364)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2"/>
          </w:tcPr>
          <w:p>
            <w:pPr>
              <w:spacing w:after="0" w:line="135" w:lineRule="exact"/>
              <w:rPr>
                <w:sz w:val="20"/>
                <w:szCs w:val="20"/>
                <w:color w:val="auto"/>
              </w:rPr>
            </w:pPr>
            <w:r>
              <w:rPr>
                <w:rFonts w:ascii="Arial" w:cs="Arial" w:eastAsia="Arial" w:hAnsi="Arial"/>
                <w:sz w:val="13"/>
                <w:szCs w:val="13"/>
                <w:color w:val="auto"/>
              </w:rPr>
              <w:t>(Gain) / loss from revaluation of foreign denominated cash</w:t>
            </w:r>
            <w:r>
              <w:rPr>
                <w:rFonts w:ascii="Arial" w:cs="Arial" w:eastAsia="Arial" w:hAnsi="Arial"/>
                <w:sz w:val="14"/>
                <w:szCs w:val="14"/>
                <w:color w:val="auto"/>
                <w:vertAlign w:val="superscript"/>
              </w:rPr>
              <w:t>(5)</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1,225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90</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(921)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(678)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gridSpan w:val="2"/>
          </w:tcPr>
          <w:p>
            <w:pPr>
              <w:spacing w:after="0" w:line="148" w:lineRule="exact"/>
              <w:rPr>
                <w:sz w:val="20"/>
                <w:szCs w:val="20"/>
                <w:color w:val="auto"/>
              </w:rPr>
            </w:pPr>
            <w:r>
              <w:rPr>
                <w:rFonts w:ascii="Arial" w:cs="Arial" w:eastAsia="Arial" w:hAnsi="Arial"/>
                <w:sz w:val="13"/>
                <w:szCs w:val="13"/>
                <w:color w:val="auto"/>
              </w:rPr>
              <w:t>Tax receivable agreement liability adjustment</w:t>
            </w:r>
            <w:r>
              <w:rPr>
                <w:rFonts w:ascii="Arial" w:cs="Arial" w:eastAsia="Arial" w:hAnsi="Arial"/>
                <w:sz w:val="14"/>
                <w:szCs w:val="14"/>
                <w:color w:val="auto"/>
                <w:vertAlign w:val="superscript"/>
              </w:rPr>
              <w:t>(6)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(33,134)</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80" w:type="dxa"/>
            <w:vAlign w:val="bottom"/>
            <w:gridSpan w:val="2"/>
          </w:tcPr>
          <w:p>
            <w:pPr>
              <w:spacing w:after="0" w:line="108" w:lineRule="exact"/>
              <w:rPr>
                <w:sz w:val="20"/>
                <w:szCs w:val="20"/>
                <w:color w:val="auto"/>
              </w:rPr>
            </w:pPr>
            <w:r>
              <w:rPr>
                <w:rFonts w:ascii="Arial" w:cs="Arial" w:eastAsia="Arial" w:hAnsi="Arial"/>
                <w:sz w:val="12"/>
                <w:szCs w:val="12"/>
                <w:color w:val="auto"/>
              </w:rPr>
              <w:t>Adjusted Net Income before income taxes</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313,770</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55,488</w:t>
            </w: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186,585</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2"/>
                <w:szCs w:val="12"/>
                <w:color w:val="auto"/>
              </w:rPr>
              <w:t>178,491</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gridSpan w:val="2"/>
          </w:tcPr>
          <w:p>
            <w:pPr>
              <w:spacing w:after="0" w:line="148" w:lineRule="exact"/>
              <w:rPr>
                <w:sz w:val="20"/>
                <w:szCs w:val="20"/>
                <w:color w:val="auto"/>
              </w:rPr>
            </w:pPr>
            <w:r>
              <w:rPr>
                <w:rFonts w:ascii="Arial" w:cs="Arial" w:eastAsia="Arial" w:hAnsi="Arial"/>
                <w:sz w:val="13"/>
                <w:szCs w:val="13"/>
                <w:color w:val="auto"/>
              </w:rPr>
              <w:t>Adjusted income taxes</w:t>
            </w:r>
            <w:r>
              <w:rPr>
                <w:rFonts w:ascii="Arial" w:cs="Arial" w:eastAsia="Arial" w:hAnsi="Arial"/>
                <w:sz w:val="14"/>
                <w:szCs w:val="14"/>
                <w:color w:val="auto"/>
                <w:vertAlign w:val="superscript"/>
              </w:rPr>
              <w:t>(7)</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rPr>
              <w:t>(82,835)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rPr>
              <w:t>(14,649)</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rPr>
              <w:t>(49,258)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rPr>
              <w:t>(47,122)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3"/>
                <w:szCs w:val="13"/>
                <w:color w:val="auto"/>
              </w:rPr>
              <w:t>Adjusted Net Income</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230,935</w:t>
            </w: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40,839</w:t>
            </w:r>
          </w:p>
        </w:tc>
        <w:tc>
          <w:tcPr>
            <w:tcW w:w="24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137,327</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131,369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Adjusted Diluted EPS (1)(8)</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0.23</w:t>
            </w: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0.77</w:t>
            </w:r>
          </w:p>
        </w:tc>
        <w:tc>
          <w:tcPr>
            <w:tcW w:w="300" w:type="dxa"/>
            <w:vAlign w:val="bottom"/>
          </w:tcPr>
          <w:p>
            <w:pPr>
              <w:spacing w:after="0"/>
              <w:rPr>
                <w:sz w:val="20"/>
                <w:szCs w:val="20"/>
                <w:color w:val="auto"/>
              </w:rPr>
            </w:pPr>
            <w:r>
              <w:rPr>
                <w:rFonts w:ascii="Arial" w:cs="Arial" w:eastAsia="Arial" w:hAnsi="Arial"/>
                <w:sz w:val="11"/>
                <w:szCs w:val="11"/>
                <w:color w:val="auto"/>
              </w:rPr>
              <w:t>(b)</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0.18</w:t>
            </w:r>
          </w:p>
        </w:tc>
        <w:tc>
          <w:tcPr>
            <w:tcW w:w="2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0.64</w:t>
            </w:r>
          </w:p>
        </w:tc>
        <w:tc>
          <w:tcPr>
            <w:tcW w:w="220" w:type="dxa"/>
            <w:vAlign w:val="bottom"/>
          </w:tcPr>
          <w:p>
            <w:pPr>
              <w:spacing w:after="0"/>
              <w:rPr>
                <w:sz w:val="20"/>
                <w:szCs w:val="20"/>
                <w:color w:val="auto"/>
              </w:rPr>
            </w:pPr>
            <w:r>
              <w:rPr>
                <w:rFonts w:ascii="Arial" w:cs="Arial" w:eastAsia="Arial" w:hAnsi="Arial"/>
                <w:sz w:val="11"/>
                <w:szCs w:val="11"/>
                <w:color w:val="auto"/>
              </w:rPr>
              <w:t>(a)</w:t>
            </w:r>
          </w:p>
        </w:tc>
        <w:tc>
          <w:tcPr>
            <w:tcW w:w="100" w:type="dxa"/>
            <w:vAlign w:val="bottom"/>
            <w:gridSpan w:val="2"/>
          </w:tcPr>
          <w:p>
            <w:pPr>
              <w:jc w:val="right"/>
              <w:ind w:right="14"/>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0.62</w:t>
            </w:r>
          </w:p>
        </w:tc>
        <w:tc>
          <w:tcPr>
            <w:tcW w:w="140" w:type="dxa"/>
            <w:vAlign w:val="bottom"/>
          </w:tcPr>
          <w:p>
            <w:pPr>
              <w:spacing w:after="0"/>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-1517015</wp:posOffset>
            </wp:positionV>
            <wp:extent cx="5754370" cy="94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94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-1337310</wp:posOffset>
            </wp:positionV>
            <wp:extent cx="5754370"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-985520</wp:posOffset>
            </wp:positionV>
            <wp:extent cx="575437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-814070</wp:posOffset>
            </wp:positionV>
            <wp:extent cx="575437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-642620</wp:posOffset>
            </wp:positionV>
            <wp:extent cx="575437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-462280</wp:posOffset>
            </wp:positionV>
            <wp:extent cx="575437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85725"/>
                    </a:xfrm>
                    <a:prstGeom prst="rect">
                      <a:avLst/>
                    </a:prstGeom>
                    <a:noFill/>
                  </pic:spPr>
                </pic:pic>
              </a:graphicData>
            </a:graphic>
          </wp:anchor>
        </w:drawing>
      </w:r>
    </w:p>
    <w:p>
      <w:pPr>
        <w:spacing w:after="0" w:line="150" w:lineRule="exact"/>
        <w:rPr>
          <w:sz w:val="20"/>
          <w:szCs w:val="20"/>
          <w:color w:val="auto"/>
        </w:rPr>
      </w:pPr>
    </w:p>
    <w:p>
      <w:pPr>
        <w:ind w:left="400" w:right="100" w:hanging="316"/>
        <w:spacing w:after="0" w:line="230" w:lineRule="auto"/>
        <w:tabs>
          <w:tab w:leader="none" w:pos="4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April 2019, we completed the Reorganization Transactions and the IPO. Therefore, certain earnings information is being presented separately for Tradeweb Markets LLC and Tradeweb Markets Inc.</w:t>
      </w:r>
    </w:p>
    <w:p>
      <w:pPr>
        <w:ind w:left="1060" w:hanging="328"/>
        <w:spacing w:after="0" w:line="221" w:lineRule="auto"/>
        <w:tabs>
          <w:tab w:leader="none" w:pos="1060" w:val="left"/>
        </w:tabs>
        <w:numPr>
          <w:ilvl w:val="1"/>
          <w:numId w:val="64"/>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ind w:left="1060" w:hanging="328"/>
        <w:spacing w:after="0" w:line="221" w:lineRule="auto"/>
        <w:tabs>
          <w:tab w:leader="none" w:pos="1060" w:val="left"/>
        </w:tabs>
        <w:numPr>
          <w:ilvl w:val="1"/>
          <w:numId w:val="64"/>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ind w:left="320" w:right="380"/>
        <w:spacing w:after="0" w:line="237" w:lineRule="auto"/>
        <w:rPr>
          <w:sz w:val="20"/>
          <w:szCs w:val="20"/>
          <w:color w:val="auto"/>
        </w:rPr>
      </w:pPr>
      <w:r>
        <w:rPr>
          <w:rFonts w:ascii="Arial" w:cs="Arial" w:eastAsia="Arial" w:hAnsi="Arial"/>
          <w:sz w:val="14"/>
          <w:szCs w:val="14"/>
          <w:color w:val="auto"/>
        </w:rPr>
        <w:t>See “Basis of Presentation” and Note 18 – Earnings Per Share to our audited consolidated financial statements included elsewhere in this Annual Report on Form 10-K.</w:t>
      </w:r>
    </w:p>
    <w:p>
      <w:pPr>
        <w:spacing w:after="0" w:line="183" w:lineRule="exact"/>
        <w:rPr>
          <w:sz w:val="20"/>
          <w:szCs w:val="20"/>
          <w:color w:val="auto"/>
        </w:rPr>
      </w:pPr>
    </w:p>
    <w:p>
      <w:pPr>
        <w:ind w:left="400" w:right="60" w:hanging="316"/>
        <w:spacing w:after="0" w:line="253" w:lineRule="auto"/>
        <w:tabs>
          <w:tab w:leader="none" w:pos="4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spacing w:after="0" w:line="389" w:lineRule="exact"/>
        <w:rPr>
          <w:rFonts w:ascii="Arial" w:cs="Arial" w:eastAsia="Arial" w:hAnsi="Arial"/>
          <w:sz w:val="14"/>
          <w:szCs w:val="14"/>
          <w:color w:val="auto"/>
        </w:rPr>
      </w:pPr>
    </w:p>
    <w:p>
      <w:pPr>
        <w:ind w:left="400" w:right="120" w:hanging="316"/>
        <w:spacing w:after="0" w:line="238" w:lineRule="auto"/>
        <w:tabs>
          <w:tab w:leader="none" w:pos="4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398" w:lineRule="exact"/>
        <w:rPr>
          <w:rFonts w:ascii="Arial" w:cs="Arial" w:eastAsia="Arial" w:hAnsi="Arial"/>
          <w:sz w:val="14"/>
          <w:szCs w:val="14"/>
          <w:color w:val="auto"/>
        </w:rPr>
      </w:pPr>
    </w:p>
    <w:p>
      <w:pPr>
        <w:ind w:left="400" w:right="40" w:hanging="316"/>
        <w:spacing w:after="0" w:line="253" w:lineRule="auto"/>
        <w:tabs>
          <w:tab w:leader="none" w:pos="4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73" w:lineRule="exact"/>
        <w:rPr>
          <w:rFonts w:ascii="Arial" w:cs="Arial" w:eastAsia="Arial" w:hAnsi="Arial"/>
          <w:sz w:val="14"/>
          <w:szCs w:val="14"/>
          <w:color w:val="auto"/>
        </w:rPr>
      </w:pPr>
    </w:p>
    <w:p>
      <w:pPr>
        <w:ind w:left="400" w:hanging="316"/>
        <w:spacing w:after="0"/>
        <w:tabs>
          <w:tab w:leader="none" w:pos="4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15" w:lineRule="exact"/>
        <w:rPr>
          <w:rFonts w:ascii="Arial" w:cs="Arial" w:eastAsia="Arial" w:hAnsi="Arial"/>
          <w:sz w:val="13"/>
          <w:szCs w:val="13"/>
          <w:color w:val="auto"/>
        </w:rPr>
      </w:pPr>
    </w:p>
    <w:p>
      <w:pPr>
        <w:ind w:left="400" w:right="100" w:hanging="316"/>
        <w:spacing w:after="0" w:line="291" w:lineRule="auto"/>
        <w:tabs>
          <w:tab w:leader="none" w:pos="4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pacing w:after="0" w:line="150" w:lineRule="exact"/>
        <w:rPr>
          <w:rFonts w:ascii="Arial" w:cs="Arial" w:eastAsia="Arial" w:hAnsi="Arial"/>
          <w:sz w:val="13"/>
          <w:szCs w:val="13"/>
          <w:color w:val="auto"/>
        </w:rPr>
      </w:pPr>
    </w:p>
    <w:p>
      <w:pPr>
        <w:ind w:left="400" w:right="80" w:hanging="316"/>
        <w:spacing w:after="0" w:line="291" w:lineRule="auto"/>
        <w:tabs>
          <w:tab w:leader="none" w:pos="4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corporate income taxes at an assumed effective tax rate of 26.4% for all periods presented applied to Adjusted Net Income before income taxes. For pre-IPO periods, this adjustment assumes Tradeweb Markets LLC was subject to a corporate tax rate for the periods presented.</w:t>
      </w:r>
    </w:p>
    <w:p>
      <w:pPr>
        <w:spacing w:after="0" w:line="150" w:lineRule="exact"/>
        <w:rPr>
          <w:rFonts w:ascii="Arial" w:cs="Arial" w:eastAsia="Arial" w:hAnsi="Arial"/>
          <w:sz w:val="13"/>
          <w:szCs w:val="13"/>
          <w:color w:val="auto"/>
        </w:rPr>
      </w:pPr>
    </w:p>
    <w:p>
      <w:pPr>
        <w:ind w:left="400" w:right="40" w:hanging="316"/>
        <w:spacing w:after="0" w:line="291" w:lineRule="auto"/>
        <w:tabs>
          <w:tab w:leader="none" w:pos="4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Due to the Reorganization Transactions and the IPO completed in April 2019, shares outstanding during the year ended December 31, 2019 represent shares of TWM LLC (pre-IPO period) and shares of Class A and Class B common stock of Tradeweb Markets Inc. (post-IPO period).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set forth below summarizes the calculation of Adjusted Diluted EPS for the periods presented above: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jc w:val="center"/>
              <w:ind w:right="620"/>
              <w:spacing w:after="0"/>
              <w:rPr>
                <w:sz w:val="20"/>
                <w:szCs w:val="20"/>
                <w:color w:val="auto"/>
              </w:rPr>
            </w:pPr>
            <w:r>
              <w:rPr>
                <w:rFonts w:ascii="Arial" w:cs="Arial" w:eastAsia="Arial" w:hAnsi="Arial"/>
                <w:sz w:val="11"/>
                <w:szCs w:val="11"/>
                <w:b w:val="1"/>
                <w:bCs w:val="1"/>
                <w:color w:val="auto"/>
                <w:w w:val="93"/>
              </w:rPr>
              <w:t>Pre-</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35"/>
        </w:trPr>
        <w:tc>
          <w:tcPr>
            <w:tcW w:w="2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2"/>
              </w:rPr>
              <w:t>IPO Period</w:t>
            </w:r>
          </w:p>
        </w:tc>
        <w:tc>
          <w:tcPr>
            <w:tcW w:w="420" w:type="dxa"/>
            <w:vAlign w:val="bottom"/>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0"/>
              </w:rPr>
              <w:t>Post-IPO Period</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78"/>
              </w:rPr>
              <w:t>Successor</w:t>
            </w:r>
          </w:p>
        </w:tc>
        <w:tc>
          <w:tcPr>
            <w:tcW w:w="100" w:type="dxa"/>
            <w:vAlign w:val="bottom"/>
            <w:tcBorders>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4"/>
              </w:rPr>
              <w:t>Predecessor</w:t>
            </w: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1"/>
              </w:rPr>
              <w:t>Predecessor</w:t>
            </w:r>
          </w:p>
        </w:tc>
      </w:tr>
      <w:tr>
        <w:trPr>
          <w:trHeight w:val="223"/>
        </w:trPr>
        <w:tc>
          <w:tcPr>
            <w:tcW w:w="2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4"/>
          </w:tcPr>
          <w:p>
            <w:pPr>
              <w:jc w:val="center"/>
              <w:ind w:right="620"/>
              <w:spacing w:after="0"/>
              <w:rPr>
                <w:sz w:val="20"/>
                <w:szCs w:val="20"/>
                <w:color w:val="auto"/>
              </w:rPr>
            </w:pPr>
            <w:r>
              <w:rPr>
                <w:rFonts w:ascii="Arial" w:cs="Arial" w:eastAsia="Arial" w:hAnsi="Arial"/>
                <w:sz w:val="11"/>
                <w:szCs w:val="11"/>
                <w:b w:val="1"/>
                <w:bCs w:val="1"/>
                <w:color w:val="auto"/>
                <w:w w:val="93"/>
              </w:rPr>
              <w:t>Three</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22"/>
        </w:trPr>
        <w:tc>
          <w:tcPr>
            <w:tcW w:w="2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jc w:val="center"/>
              <w:ind w:right="620"/>
              <w:spacing w:after="0" w:line="122" w:lineRule="exact"/>
              <w:rPr>
                <w:sz w:val="20"/>
                <w:szCs w:val="20"/>
                <w:color w:val="auto"/>
              </w:rPr>
            </w:pPr>
            <w:r>
              <w:rPr>
                <w:rFonts w:ascii="Arial" w:cs="Arial" w:eastAsia="Arial" w:hAnsi="Arial"/>
                <w:sz w:val="11"/>
                <w:szCs w:val="11"/>
                <w:b w:val="1"/>
                <w:bCs w:val="1"/>
                <w:color w:val="auto"/>
                <w:w w:val="91"/>
              </w:rPr>
              <w:t>Months</w:t>
            </w:r>
          </w:p>
        </w:tc>
        <w:tc>
          <w:tcPr>
            <w:tcW w:w="4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Nine Months</w:t>
            </w:r>
          </w:p>
        </w:tc>
        <w:tc>
          <w:tcPr>
            <w:tcW w:w="80" w:type="dxa"/>
            <w:vAlign w:val="bottom"/>
          </w:tcPr>
          <w:p>
            <w:pPr>
              <w:spacing w:after="0"/>
              <w:rPr>
                <w:sz w:val="10"/>
                <w:szCs w:val="10"/>
                <w:color w:val="auto"/>
              </w:rPr>
            </w:pPr>
          </w:p>
        </w:tc>
        <w:tc>
          <w:tcPr>
            <w:tcW w:w="940" w:type="dxa"/>
            <w:vAlign w:val="bottom"/>
            <w:tcBorders>
              <w:right w:val="single" w:sz="8" w:color="auto"/>
            </w:tcBorders>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October 1, 2018</w:t>
            </w:r>
          </w:p>
        </w:tc>
        <w:tc>
          <w:tcPr>
            <w:tcW w:w="60" w:type="dxa"/>
            <w:vAlign w:val="bottom"/>
          </w:tcPr>
          <w:p>
            <w:pPr>
              <w:spacing w:after="0"/>
              <w:rPr>
                <w:sz w:val="10"/>
                <w:szCs w:val="10"/>
                <w:color w:val="auto"/>
              </w:rPr>
            </w:pPr>
          </w:p>
        </w:tc>
        <w:tc>
          <w:tcPr>
            <w:tcW w:w="8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0"/>
              </w:rPr>
              <w:t>January 1, 2018</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326"/>
              <w:spacing w:after="0" w:line="122" w:lineRule="exact"/>
              <w:rPr>
                <w:sz w:val="20"/>
                <w:szCs w:val="20"/>
                <w:color w:val="auto"/>
              </w:rPr>
            </w:pPr>
            <w:r>
              <w:rPr>
                <w:rFonts w:ascii="Arial" w:cs="Arial" w:eastAsia="Arial" w:hAnsi="Arial"/>
                <w:sz w:val="11"/>
                <w:szCs w:val="11"/>
                <w:b w:val="1"/>
                <w:bCs w:val="1"/>
                <w:color w:val="auto"/>
                <w:w w:val="92"/>
              </w:rPr>
              <w:t>Year</w:t>
            </w:r>
          </w:p>
        </w:tc>
      </w:tr>
      <w:tr>
        <w:trPr>
          <w:trHeight w:val="122"/>
        </w:trPr>
        <w:tc>
          <w:tcPr>
            <w:tcW w:w="2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jc w:val="center"/>
              <w:ind w:right="620"/>
              <w:spacing w:after="0" w:line="122" w:lineRule="exact"/>
              <w:rPr>
                <w:sz w:val="20"/>
                <w:szCs w:val="20"/>
                <w:color w:val="auto"/>
              </w:rPr>
            </w:pPr>
            <w:r>
              <w:rPr>
                <w:rFonts w:ascii="Arial" w:cs="Arial" w:eastAsia="Arial" w:hAnsi="Arial"/>
                <w:sz w:val="11"/>
                <w:szCs w:val="11"/>
                <w:b w:val="1"/>
                <w:bCs w:val="1"/>
                <w:color w:val="auto"/>
                <w:w w:val="95"/>
              </w:rPr>
              <w:t>Ended</w:t>
            </w:r>
          </w:p>
        </w:tc>
        <w:tc>
          <w:tcPr>
            <w:tcW w:w="4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940" w:type="dxa"/>
            <w:vAlign w:val="bottom"/>
            <w:tcBorders>
              <w:right w:val="single" w:sz="8" w:color="auto"/>
            </w:tcBorders>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76"/>
              </w:rPr>
              <w:t>to</w:t>
            </w:r>
          </w:p>
        </w:tc>
        <w:tc>
          <w:tcPr>
            <w:tcW w:w="60" w:type="dxa"/>
            <w:vAlign w:val="bottom"/>
          </w:tcPr>
          <w:p>
            <w:pPr>
              <w:spacing w:after="0"/>
              <w:rPr>
                <w:sz w:val="10"/>
                <w:szCs w:val="10"/>
                <w:color w:val="auto"/>
              </w:rPr>
            </w:pPr>
          </w:p>
        </w:tc>
        <w:tc>
          <w:tcPr>
            <w:tcW w:w="8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5"/>
              </w:rPr>
              <w:t>to</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2"/>
        </w:trPr>
        <w:tc>
          <w:tcPr>
            <w:tcW w:w="2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5"/>
          </w:tcPr>
          <w:p>
            <w:pPr>
              <w:jc w:val="center"/>
              <w:ind w:right="580"/>
              <w:spacing w:after="0" w:line="122" w:lineRule="exact"/>
              <w:rPr>
                <w:sz w:val="20"/>
                <w:szCs w:val="20"/>
                <w:color w:val="auto"/>
              </w:rPr>
            </w:pPr>
            <w:r>
              <w:rPr>
                <w:rFonts w:ascii="Arial" w:cs="Arial" w:eastAsia="Arial" w:hAnsi="Arial"/>
                <w:sz w:val="11"/>
                <w:szCs w:val="11"/>
                <w:b w:val="1"/>
                <w:bCs w:val="1"/>
                <w:color w:val="auto"/>
                <w:w w:val="90"/>
              </w:rPr>
              <w:t>March 31,</w:t>
            </w:r>
          </w:p>
        </w:tc>
        <w:tc>
          <w:tcPr>
            <w:tcW w:w="4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940" w:type="dxa"/>
            <w:vAlign w:val="bottom"/>
            <w:tcBorders>
              <w:right w:val="single" w:sz="8" w:color="auto"/>
            </w:tcBorders>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60" w:type="dxa"/>
            <w:vAlign w:val="bottom"/>
          </w:tcPr>
          <w:p>
            <w:pPr>
              <w:spacing w:after="0"/>
              <w:rPr>
                <w:sz w:val="10"/>
                <w:szCs w:val="10"/>
                <w:color w:val="auto"/>
              </w:rPr>
            </w:pPr>
          </w:p>
        </w:tc>
        <w:tc>
          <w:tcPr>
            <w:tcW w:w="8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tcPr>
          <w:p>
            <w:pPr>
              <w:jc w:val="right"/>
              <w:ind w:right="126"/>
              <w:spacing w:after="0" w:line="122" w:lineRule="exact"/>
              <w:rPr>
                <w:sz w:val="20"/>
                <w:szCs w:val="20"/>
                <w:color w:val="auto"/>
              </w:rPr>
            </w:pPr>
            <w:r>
              <w:rPr>
                <w:rFonts w:ascii="Arial" w:cs="Arial" w:eastAsia="Arial" w:hAnsi="Arial"/>
                <w:sz w:val="11"/>
                <w:szCs w:val="11"/>
                <w:b w:val="1"/>
                <w:bCs w:val="1"/>
                <w:color w:val="auto"/>
              </w:rPr>
              <w:t>December 31,</w:t>
            </w:r>
          </w:p>
        </w:tc>
      </w:tr>
      <w:tr>
        <w:trPr>
          <w:trHeight w:val="135"/>
        </w:trPr>
        <w:tc>
          <w:tcPr>
            <w:tcW w:w="2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center"/>
              <w:ind w:right="86"/>
              <w:spacing w:after="0"/>
              <w:rPr>
                <w:sz w:val="20"/>
                <w:szCs w:val="20"/>
                <w:color w:val="auto"/>
              </w:rPr>
            </w:pPr>
            <w:r>
              <w:rPr>
                <w:rFonts w:ascii="Arial" w:cs="Arial" w:eastAsia="Arial" w:hAnsi="Arial"/>
                <w:sz w:val="11"/>
                <w:szCs w:val="11"/>
                <w:b w:val="1"/>
                <w:bCs w:val="1"/>
                <w:color w:val="auto"/>
                <w:w w:val="81"/>
              </w:rPr>
              <w:t>2019</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2018</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2018</w:t>
            </w:r>
          </w:p>
        </w:tc>
        <w:tc>
          <w:tcPr>
            <w:tcW w:w="1040" w:type="dxa"/>
            <w:vAlign w:val="bottom"/>
            <w:gridSpan w:val="6"/>
          </w:tcPr>
          <w:p>
            <w:pPr>
              <w:jc w:val="center"/>
              <w:ind w:left="6"/>
              <w:spacing w:after="0"/>
              <w:rPr>
                <w:sz w:val="20"/>
                <w:szCs w:val="20"/>
                <w:color w:val="auto"/>
              </w:rPr>
            </w:pPr>
            <w:r>
              <w:rPr>
                <w:rFonts w:ascii="Arial" w:cs="Arial" w:eastAsia="Arial" w:hAnsi="Arial"/>
                <w:sz w:val="11"/>
                <w:szCs w:val="11"/>
                <w:b w:val="1"/>
                <w:bCs w:val="1"/>
                <w:color w:val="auto"/>
                <w:w w:val="89"/>
              </w:rPr>
              <w:t>2017</w:t>
            </w:r>
          </w:p>
        </w:tc>
      </w:tr>
      <w:tr>
        <w:trPr>
          <w:trHeight w:val="115"/>
        </w:trPr>
        <w:tc>
          <w:tcPr>
            <w:tcW w:w="302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color w:val="auto"/>
              </w:rPr>
              <w:t>Diluted weighted average TWM LLC shares outstanding</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223,320,457</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222,243,851</w:t>
            </w: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215,365,920</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4"/>
              </w:rPr>
              <w:t>212,568,635</w:t>
            </w:r>
          </w:p>
        </w:tc>
      </w:tr>
      <w:tr>
        <w:trPr>
          <w:trHeight w:val="112"/>
        </w:trPr>
        <w:tc>
          <w:tcPr>
            <w:tcW w:w="3120" w:type="dxa"/>
            <w:vAlign w:val="bottom"/>
            <w:gridSpan w:val="3"/>
          </w:tcPr>
          <w:p>
            <w:pPr>
              <w:spacing w:after="0" w:line="112" w:lineRule="exact"/>
              <w:rPr>
                <w:sz w:val="20"/>
                <w:szCs w:val="20"/>
                <w:color w:val="auto"/>
              </w:rPr>
            </w:pPr>
            <w:r>
              <w:rPr>
                <w:rFonts w:ascii="Arial" w:cs="Arial" w:eastAsia="Arial" w:hAnsi="Arial"/>
                <w:sz w:val="11"/>
                <w:szCs w:val="11"/>
                <w:color w:val="auto"/>
                <w:w w:val="96"/>
              </w:rPr>
              <w:t>Diluted weighted average shares of Class A and Class B common</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31"/>
        </w:trPr>
        <w:tc>
          <w:tcPr>
            <w:tcW w:w="3120" w:type="dxa"/>
            <w:vAlign w:val="bottom"/>
            <w:gridSpan w:val="3"/>
          </w:tcPr>
          <w:p>
            <w:pPr>
              <w:spacing w:after="0"/>
              <w:rPr>
                <w:sz w:val="20"/>
                <w:szCs w:val="20"/>
                <w:color w:val="auto"/>
              </w:rPr>
            </w:pPr>
            <w:r>
              <w:rPr>
                <w:rFonts w:ascii="Arial" w:cs="Arial" w:eastAsia="Arial" w:hAnsi="Arial"/>
                <w:sz w:val="11"/>
                <w:szCs w:val="11"/>
                <w:color w:val="auto"/>
              </w:rPr>
              <w:t>stock outstanding</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156,540,246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96"/>
        </w:trPr>
        <w:tc>
          <w:tcPr>
            <w:tcW w:w="3120" w:type="dxa"/>
            <w:vAlign w:val="bottom"/>
            <w:gridSpan w:val="3"/>
            <w:shd w:val="clear" w:color="auto" w:fill="CCEEFF"/>
          </w:tcPr>
          <w:p>
            <w:pPr>
              <w:spacing w:after="0" w:line="96" w:lineRule="exact"/>
              <w:rPr>
                <w:sz w:val="20"/>
                <w:szCs w:val="20"/>
                <w:color w:val="auto"/>
              </w:rPr>
            </w:pPr>
            <w:r>
              <w:rPr>
                <w:rFonts w:ascii="Arial" w:cs="Arial" w:eastAsia="Arial" w:hAnsi="Arial"/>
                <w:sz w:val="11"/>
                <w:szCs w:val="11"/>
                <w:color w:val="auto"/>
                <w:w w:val="92"/>
              </w:rPr>
              <w:t>Assumed exchange of LLC interests for shares of Class A or Class B</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47"/>
        </w:trPr>
        <w:tc>
          <w:tcPr>
            <w:tcW w:w="31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 xml:space="preserve">common stock </w:t>
            </w:r>
            <w:r>
              <w:rPr>
                <w:rFonts w:ascii="Arial" w:cs="Arial" w:eastAsia="Arial" w:hAnsi="Arial"/>
                <w:sz w:val="11"/>
                <w:szCs w:val="11"/>
                <w:color w:val="auto"/>
                <w:vertAlign w:val="superscript"/>
              </w:rPr>
              <w:t>(1)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74,279,741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3120" w:type="dxa"/>
            <w:vAlign w:val="bottom"/>
            <w:tcBorders>
              <w:bottom w:val="single" w:sz="8" w:color="CCEEFF"/>
            </w:tcBorders>
            <w:gridSpan w:val="3"/>
          </w:tcPr>
          <w:p>
            <w:pPr>
              <w:spacing w:after="0" w:line="115" w:lineRule="exact"/>
              <w:rPr>
                <w:sz w:val="20"/>
                <w:szCs w:val="20"/>
                <w:color w:val="auto"/>
              </w:rPr>
            </w:pPr>
            <w:r>
              <w:rPr>
                <w:rFonts w:ascii="Arial" w:cs="Arial" w:eastAsia="Arial" w:hAnsi="Arial"/>
                <w:sz w:val="11"/>
                <w:szCs w:val="11"/>
                <w:color w:val="auto"/>
              </w:rPr>
              <w:t>Adjusted diluted weighted average shares outstanding</w:t>
            </w:r>
          </w:p>
        </w:tc>
        <w:tc>
          <w:tcPr>
            <w:tcW w:w="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223,320,457</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230,819,987</w:t>
            </w:r>
          </w:p>
        </w:tc>
        <w:tc>
          <w:tcPr>
            <w:tcW w:w="12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222,243,851</w:t>
            </w:r>
          </w:p>
        </w:tc>
        <w:tc>
          <w:tcPr>
            <w:tcW w:w="100" w:type="dxa"/>
            <w:vAlign w:val="bottom"/>
            <w:tcBorders>
              <w:bottom w:val="single" w:sz="8" w:color="CCEEFF"/>
              <w:right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215,365,920</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4"/>
              </w:rPr>
              <w:t>212,568,635</w:t>
            </w:r>
          </w:p>
        </w:tc>
      </w:tr>
      <w:tr>
        <w:trPr>
          <w:trHeight w:val="142"/>
        </w:trPr>
        <w:tc>
          <w:tcPr>
            <w:tcW w:w="3120" w:type="dxa"/>
            <w:vAlign w:val="bottom"/>
            <w:tcBorders>
              <w:bottom w:val="single" w:sz="8" w:color="CCEEFF"/>
            </w:tcBorders>
            <w:gridSpan w:val="3"/>
            <w:shd w:val="clear" w:color="auto" w:fill="CCEEFF"/>
          </w:tcPr>
          <w:p>
            <w:pPr>
              <w:spacing w:after="0" w:line="122" w:lineRule="exact"/>
              <w:rPr>
                <w:sz w:val="20"/>
                <w:szCs w:val="20"/>
                <w:color w:val="auto"/>
              </w:rPr>
            </w:pPr>
            <w:r>
              <w:rPr>
                <w:rFonts w:ascii="Arial" w:cs="Arial" w:eastAsia="Arial" w:hAnsi="Arial"/>
                <w:sz w:val="11"/>
                <w:szCs w:val="11"/>
                <w:color w:val="auto"/>
              </w:rPr>
              <w:t>Adjusted Net Income (in thousands)</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52,190</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178,745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40,839</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137,327</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w w:val="4294967288"/>
              </w:rPr>
              <w:t>$</w:t>
            </w:r>
          </w:p>
        </w:tc>
        <w:tc>
          <w:tcPr>
            <w:tcW w:w="5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131,369</w:t>
            </w:r>
          </w:p>
        </w:tc>
      </w:tr>
      <w:tr>
        <w:trPr>
          <w:trHeight w:val="116"/>
        </w:trPr>
        <w:tc>
          <w:tcPr>
            <w:tcW w:w="3120" w:type="dxa"/>
            <w:vAlign w:val="bottom"/>
            <w:gridSpan w:val="3"/>
          </w:tcPr>
          <w:p>
            <w:pPr>
              <w:spacing w:after="0" w:line="109" w:lineRule="exact"/>
              <w:rPr>
                <w:sz w:val="20"/>
                <w:szCs w:val="20"/>
                <w:color w:val="auto"/>
              </w:rPr>
            </w:pPr>
            <w:r>
              <w:rPr>
                <w:rFonts w:ascii="Arial" w:cs="Arial" w:eastAsia="Arial" w:hAnsi="Arial"/>
                <w:sz w:val="11"/>
                <w:szCs w:val="11"/>
                <w:color w:val="auto"/>
              </w:rPr>
              <w:t>Adjusted Diluted EPS</w:t>
            </w:r>
          </w:p>
        </w:tc>
        <w:tc>
          <w:tcPr>
            <w:tcW w:w="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0.23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line="109" w:lineRule="exact"/>
              <w:rPr>
                <w:sz w:val="20"/>
                <w:szCs w:val="20"/>
                <w:color w:val="auto"/>
              </w:rPr>
            </w:pPr>
            <w:r>
              <w:rPr>
                <w:rFonts w:ascii="Arial" w:cs="Arial" w:eastAsia="Arial" w:hAnsi="Arial"/>
                <w:sz w:val="11"/>
                <w:szCs w:val="11"/>
                <w:color w:val="auto"/>
              </w:rPr>
              <w:t>0.77</w:t>
            </w:r>
          </w:p>
        </w:tc>
        <w:tc>
          <w:tcPr>
            <w:tcW w:w="120" w:type="dxa"/>
            <w:vAlign w:val="bottom"/>
          </w:tcPr>
          <w:p>
            <w:pPr>
              <w:spacing w:after="0"/>
              <w:rPr>
                <w:sz w:val="10"/>
                <w:szCs w:val="10"/>
                <w:color w:val="auto"/>
              </w:rPr>
            </w:pPr>
          </w:p>
        </w:tc>
        <w:tc>
          <w:tcPr>
            <w:tcW w:w="80" w:type="dxa"/>
            <w:vAlign w:val="bottom"/>
          </w:tcPr>
          <w:p>
            <w:pPr>
              <w:jc w:val="right"/>
              <w:spacing w:after="0" w:line="109" w:lineRule="exact"/>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09" w:lineRule="exact"/>
              <w:rPr>
                <w:sz w:val="20"/>
                <w:szCs w:val="20"/>
                <w:color w:val="auto"/>
              </w:rPr>
            </w:pPr>
            <w:r>
              <w:rPr>
                <w:rFonts w:ascii="Arial" w:cs="Arial" w:eastAsia="Arial" w:hAnsi="Arial"/>
                <w:sz w:val="11"/>
                <w:szCs w:val="11"/>
                <w:color w:val="auto"/>
              </w:rPr>
              <w:t>0.18</w:t>
            </w:r>
          </w:p>
        </w:tc>
        <w:tc>
          <w:tcPr>
            <w:tcW w:w="100" w:type="dxa"/>
            <w:vAlign w:val="bottom"/>
            <w:tcBorders>
              <w:right w:val="single" w:sz="8" w:color="auto"/>
            </w:tcBorders>
          </w:tcPr>
          <w:p>
            <w:pPr>
              <w:spacing w:after="0"/>
              <w:rPr>
                <w:sz w:val="10"/>
                <w:szCs w:val="10"/>
                <w:color w:val="auto"/>
              </w:rPr>
            </w:pPr>
          </w:p>
        </w:tc>
        <w:tc>
          <w:tcPr>
            <w:tcW w:w="60" w:type="dxa"/>
            <w:vAlign w:val="bottom"/>
          </w:tcPr>
          <w:p>
            <w:pPr>
              <w:jc w:val="right"/>
              <w:spacing w:after="0" w:line="109" w:lineRule="exact"/>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09" w:lineRule="exact"/>
              <w:rPr>
                <w:sz w:val="20"/>
                <w:szCs w:val="20"/>
                <w:color w:val="auto"/>
              </w:rPr>
            </w:pPr>
            <w:r>
              <w:rPr>
                <w:rFonts w:ascii="Arial" w:cs="Arial" w:eastAsia="Arial" w:hAnsi="Arial"/>
                <w:sz w:val="11"/>
                <w:szCs w:val="11"/>
                <w:color w:val="auto"/>
              </w:rPr>
              <w:t>0.64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67288"/>
              </w:rPr>
              <w:t>$</w:t>
            </w:r>
          </w:p>
        </w:tc>
        <w:tc>
          <w:tcPr>
            <w:tcW w:w="580" w:type="dxa"/>
            <w:vAlign w:val="bottom"/>
          </w:tcPr>
          <w:p>
            <w:pPr>
              <w:jc w:val="right"/>
              <w:spacing w:after="0" w:line="109" w:lineRule="exact"/>
              <w:rPr>
                <w:sz w:val="20"/>
                <w:szCs w:val="20"/>
                <w:color w:val="auto"/>
              </w:rPr>
            </w:pPr>
            <w:r>
              <w:rPr>
                <w:rFonts w:ascii="Arial" w:cs="Arial" w:eastAsia="Arial" w:hAnsi="Arial"/>
                <w:sz w:val="11"/>
                <w:szCs w:val="11"/>
                <w:color w:val="auto"/>
              </w:rPr>
              <w:t>0.62</w:t>
            </w:r>
          </w:p>
        </w:tc>
      </w:tr>
      <w:tr>
        <w:trPr>
          <w:trHeight w:val="108"/>
        </w:trPr>
        <w:tc>
          <w:tcPr>
            <w:tcW w:w="22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r>
    </w:tbl>
    <w:p>
      <w:pPr>
        <w:spacing w:after="0" w:line="98" w:lineRule="exact"/>
        <w:rPr>
          <w:sz w:val="20"/>
          <w:szCs w:val="20"/>
          <w:color w:val="auto"/>
        </w:rPr>
      </w:pPr>
    </w:p>
    <w:p>
      <w:pPr>
        <w:ind w:left="400" w:hanging="316"/>
        <w:spacing w:after="0" w:line="249" w:lineRule="auto"/>
        <w:tabs>
          <w:tab w:leader="none" w:pos="400" w:val="left"/>
        </w:tabs>
        <w:numPr>
          <w:ilvl w:val="0"/>
          <w:numId w:val="66"/>
        </w:numPr>
        <w:rPr>
          <w:rFonts w:ascii="Arial" w:cs="Arial" w:eastAsia="Arial" w:hAnsi="Arial"/>
          <w:sz w:val="11"/>
          <w:szCs w:val="11"/>
          <w:color w:val="auto"/>
        </w:rPr>
      </w:pPr>
      <w:r>
        <w:rPr>
          <w:rFonts w:ascii="Arial" w:cs="Arial" w:eastAsia="Arial" w:hAnsi="Arial"/>
          <w:sz w:val="11"/>
          <w:szCs w:val="11"/>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2019, we had the following contractual obligations:</w:t>
      </w:r>
    </w:p>
    <w:p>
      <w:pPr>
        <w:spacing w:after="0" w:line="235" w:lineRule="exact"/>
        <w:rPr>
          <w:sz w:val="20"/>
          <w:szCs w:val="20"/>
          <w:color w:val="auto"/>
        </w:rPr>
      </w:pPr>
    </w:p>
    <w:p>
      <w:pPr>
        <w:ind w:left="6160"/>
        <w:spacing w:after="0"/>
        <w:rPr>
          <w:sz w:val="20"/>
          <w:szCs w:val="20"/>
          <w:color w:val="auto"/>
        </w:rPr>
      </w:pPr>
      <w:r>
        <w:rPr>
          <w:rFonts w:ascii="Arial" w:cs="Arial" w:eastAsia="Arial" w:hAnsi="Arial"/>
          <w:sz w:val="13"/>
          <w:szCs w:val="13"/>
          <w:b w:val="1"/>
          <w:bCs w:val="1"/>
          <w:color w:val="231F20"/>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2540</wp:posOffset>
            </wp:positionV>
            <wp:extent cx="34817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ind w:left="3880"/>
        <w:spacing w:after="0"/>
        <w:tabs>
          <w:tab w:leader="none" w:pos="4560" w:val="left"/>
          <w:tab w:leader="none" w:pos="5760" w:val="left"/>
          <w:tab w:leader="none" w:pos="6880" w:val="left"/>
          <w:tab w:leader="none" w:pos="7900" w:val="left"/>
        </w:tabs>
        <w:rPr>
          <w:sz w:val="20"/>
          <w:szCs w:val="20"/>
          <w:color w:val="auto"/>
        </w:rPr>
      </w:pPr>
      <w:r>
        <w:rPr>
          <w:rFonts w:ascii="Arial" w:cs="Arial" w:eastAsia="Arial" w:hAnsi="Arial"/>
          <w:sz w:val="13"/>
          <w:szCs w:val="13"/>
          <w:b w:val="1"/>
          <w:bCs w:val="1"/>
          <w:color w:val="231F20"/>
        </w:rPr>
        <w:t>Total</w:t>
      </w:r>
      <w:r>
        <w:rPr>
          <w:sz w:val="20"/>
          <w:szCs w:val="20"/>
          <w:color w:val="auto"/>
        </w:rPr>
        <w:tab/>
      </w:r>
      <w:r>
        <w:rPr>
          <w:rFonts w:ascii="Arial" w:cs="Arial" w:eastAsia="Arial" w:hAnsi="Arial"/>
          <w:sz w:val="13"/>
          <w:szCs w:val="13"/>
          <w:b w:val="1"/>
          <w:bCs w:val="1"/>
          <w:color w:val="231F20"/>
        </w:rPr>
        <w:t>Less than 1 year</w:t>
      </w:r>
      <w:r>
        <w:rPr>
          <w:sz w:val="20"/>
          <w:szCs w:val="20"/>
          <w:color w:val="auto"/>
        </w:rPr>
        <w:tab/>
      </w:r>
      <w:r>
        <w:rPr>
          <w:rFonts w:ascii="Arial" w:cs="Arial" w:eastAsia="Arial" w:hAnsi="Arial"/>
          <w:sz w:val="13"/>
          <w:szCs w:val="13"/>
          <w:b w:val="1"/>
          <w:bCs w:val="1"/>
          <w:color w:val="231F20"/>
        </w:rPr>
        <w:t>1 to 3 years</w:t>
      </w:r>
      <w:r>
        <w:rPr>
          <w:sz w:val="20"/>
          <w:szCs w:val="20"/>
          <w:color w:val="auto"/>
        </w:rPr>
        <w:tab/>
      </w:r>
      <w:r>
        <w:rPr>
          <w:rFonts w:ascii="Arial" w:cs="Arial" w:eastAsia="Arial" w:hAnsi="Arial"/>
          <w:sz w:val="13"/>
          <w:szCs w:val="13"/>
          <w:b w:val="1"/>
          <w:bCs w:val="1"/>
          <w:color w:val="231F20"/>
        </w:rPr>
        <w:t>3 to 5 years</w:t>
      </w:r>
      <w:r>
        <w:rPr>
          <w:sz w:val="20"/>
          <w:szCs w:val="20"/>
          <w:color w:val="auto"/>
        </w:rPr>
        <w:tab/>
      </w:r>
      <w:r>
        <w:rPr>
          <w:rFonts w:ascii="Arial" w:cs="Arial" w:eastAsia="Arial" w:hAnsi="Arial"/>
          <w:sz w:val="11"/>
          <w:szCs w:val="11"/>
          <w:b w:val="1"/>
          <w:bCs w:val="1"/>
          <w:color w:val="231F20"/>
        </w:rPr>
        <w:t>More than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-5080</wp:posOffset>
            </wp:positionV>
            <wp:extent cx="34817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ind w:left="5940"/>
        <w:spacing w:after="0" w:line="216" w:lineRule="auto"/>
        <w:rPr>
          <w:sz w:val="20"/>
          <w:szCs w:val="20"/>
          <w:color w:val="auto"/>
        </w:rPr>
      </w:pPr>
      <w:r>
        <w:rPr>
          <w:rFonts w:ascii="Arial" w:cs="Arial" w:eastAsia="Arial" w:hAnsi="Arial"/>
          <w:sz w:val="13"/>
          <w:szCs w:val="13"/>
          <w:b w:val="1"/>
          <w:bCs w:val="1"/>
          <w:color w:val="231F20"/>
        </w:rPr>
        <w:t>(in thousands)</w:t>
      </w:r>
    </w:p>
    <w:tbl>
      <w:tblPr>
        <w:tblLayout w:type="fixed"/>
        <w:tblInd w:w="0" w:type="dxa"/>
        <w:tblCellMar>
          <w:top w:w="0" w:type="dxa"/>
          <w:left w:w="0" w:type="dxa"/>
          <w:bottom w:w="0" w:type="dxa"/>
          <w:right w:w="0" w:type="dxa"/>
        </w:tblCellMar>
      </w:tblPr>
      <w:tr>
        <w:trPr>
          <w:trHeight w:val="140"/>
        </w:trPr>
        <w:tc>
          <w:tcPr>
            <w:tcW w:w="3580" w:type="dxa"/>
            <w:vAlign w:val="bottom"/>
            <w:shd w:val="clear" w:color="auto" w:fill="CCEEFF"/>
          </w:tcPr>
          <w:p>
            <w:pPr>
              <w:spacing w:after="0" w:line="140" w:lineRule="exact"/>
              <w:rPr>
                <w:sz w:val="20"/>
                <w:szCs w:val="20"/>
                <w:color w:val="auto"/>
              </w:rPr>
            </w:pPr>
            <w:r>
              <w:rPr>
                <w:rFonts w:ascii="Arial" w:cs="Arial" w:eastAsia="Arial" w:hAnsi="Arial"/>
                <w:sz w:val="13"/>
                <w:szCs w:val="13"/>
                <w:color w:val="231F20"/>
              </w:rPr>
              <w:t>Lease obligations</w:t>
            </w:r>
          </w:p>
        </w:tc>
        <w:tc>
          <w:tcPr>
            <w:tcW w:w="240" w:type="dxa"/>
            <w:vAlign w:val="bottom"/>
            <w:shd w:val="clear" w:color="auto" w:fill="CCEEFF"/>
          </w:tcPr>
          <w:p>
            <w:pPr>
              <w:jc w:val="right"/>
              <w:ind w:right="97"/>
              <w:spacing w:after="0" w:line="140" w:lineRule="exact"/>
              <w:rPr>
                <w:sz w:val="20"/>
                <w:szCs w:val="20"/>
                <w:color w:val="auto"/>
              </w:rPr>
            </w:pPr>
            <w:r>
              <w:rPr>
                <w:rFonts w:ascii="Arial" w:cs="Arial" w:eastAsia="Arial" w:hAnsi="Arial"/>
                <w:sz w:val="13"/>
                <w:szCs w:val="13"/>
                <w:color w:val="231F20"/>
                <w:w w:val="82"/>
              </w:rPr>
              <w:t>$</w:t>
            </w:r>
          </w:p>
        </w:tc>
        <w:tc>
          <w:tcPr>
            <w:tcW w:w="6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231F20"/>
              </w:rPr>
              <w:t>33,752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37"/>
              <w:spacing w:after="0" w:line="140" w:lineRule="exact"/>
              <w:rPr>
                <w:sz w:val="20"/>
                <w:szCs w:val="20"/>
                <w:color w:val="auto"/>
              </w:rPr>
            </w:pPr>
            <w:r>
              <w:rPr>
                <w:rFonts w:ascii="Arial" w:cs="Arial" w:eastAsia="Arial" w:hAnsi="Arial"/>
                <w:sz w:val="13"/>
                <w:szCs w:val="13"/>
                <w:color w:val="231F20"/>
              </w:rPr>
              <w:t>$</w:t>
            </w:r>
          </w:p>
        </w:tc>
        <w:tc>
          <w:tcPr>
            <w:tcW w:w="600" w:type="dxa"/>
            <w:vAlign w:val="bottom"/>
            <w:shd w:val="clear" w:color="auto" w:fill="CCEEFF"/>
          </w:tcPr>
          <w:p>
            <w:pPr>
              <w:jc w:val="center"/>
              <w:ind w:left="77"/>
              <w:spacing w:after="0" w:line="140" w:lineRule="exact"/>
              <w:rPr>
                <w:sz w:val="20"/>
                <w:szCs w:val="20"/>
                <w:color w:val="auto"/>
              </w:rPr>
            </w:pPr>
            <w:r>
              <w:rPr>
                <w:rFonts w:ascii="Arial" w:cs="Arial" w:eastAsia="Arial" w:hAnsi="Arial"/>
                <w:sz w:val="13"/>
                <w:szCs w:val="13"/>
                <w:color w:val="231F20"/>
                <w:w w:val="92"/>
              </w:rPr>
              <w:t>8,516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37"/>
              <w:spacing w:after="0" w:line="140" w:lineRule="exact"/>
              <w:rPr>
                <w:sz w:val="20"/>
                <w:szCs w:val="20"/>
                <w:color w:val="auto"/>
              </w:rPr>
            </w:pPr>
            <w:r>
              <w:rPr>
                <w:rFonts w:ascii="Arial" w:cs="Arial" w:eastAsia="Arial" w:hAnsi="Arial"/>
                <w:sz w:val="13"/>
                <w:szCs w:val="13"/>
                <w:color w:val="231F20"/>
                <w:w w:val="82"/>
              </w:rPr>
              <w:t>$</w:t>
            </w: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231F20"/>
              </w:rPr>
              <w:t>10,089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7"/>
              <w:spacing w:after="0" w:line="140" w:lineRule="exact"/>
              <w:rPr>
                <w:sz w:val="20"/>
                <w:szCs w:val="20"/>
                <w:color w:val="auto"/>
              </w:rPr>
            </w:pPr>
            <w:r>
              <w:rPr>
                <w:rFonts w:ascii="Arial" w:cs="Arial" w:eastAsia="Arial" w:hAnsi="Arial"/>
                <w:sz w:val="13"/>
                <w:szCs w:val="13"/>
                <w:color w:val="231F20"/>
                <w:w w:val="82"/>
              </w:rPr>
              <w:t>$</w:t>
            </w:r>
          </w:p>
        </w:tc>
        <w:tc>
          <w:tcPr>
            <w:tcW w:w="620" w:type="dxa"/>
            <w:vAlign w:val="bottom"/>
            <w:shd w:val="clear" w:color="auto" w:fill="CCEEFF"/>
          </w:tcPr>
          <w:p>
            <w:pPr>
              <w:ind w:left="260"/>
              <w:spacing w:after="0" w:line="140" w:lineRule="exact"/>
              <w:rPr>
                <w:sz w:val="20"/>
                <w:szCs w:val="20"/>
                <w:color w:val="auto"/>
              </w:rPr>
            </w:pPr>
            <w:r>
              <w:rPr>
                <w:rFonts w:ascii="Arial" w:cs="Arial" w:eastAsia="Arial" w:hAnsi="Arial"/>
                <w:sz w:val="13"/>
                <w:szCs w:val="13"/>
                <w:color w:val="231F20"/>
              </w:rPr>
              <w:t>7,514</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97"/>
              <w:spacing w:after="0" w:line="140" w:lineRule="exact"/>
              <w:rPr>
                <w:sz w:val="20"/>
                <w:szCs w:val="20"/>
                <w:color w:val="auto"/>
              </w:rPr>
            </w:pPr>
            <w:r>
              <w:rPr>
                <w:rFonts w:ascii="Arial" w:cs="Arial" w:eastAsia="Arial" w:hAnsi="Arial"/>
                <w:sz w:val="13"/>
                <w:szCs w:val="13"/>
                <w:color w:val="231F20"/>
              </w:rPr>
              <w:t>$</w:t>
            </w: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231F20"/>
              </w:rPr>
              <w:t>7,633</w:t>
            </w:r>
          </w:p>
        </w:tc>
      </w:tr>
      <w:tr>
        <w:trPr>
          <w:trHeight w:val="135"/>
        </w:trPr>
        <w:tc>
          <w:tcPr>
            <w:tcW w:w="35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231F20"/>
              </w:rPr>
              <w:t>Tax receivable agreement liability</w:t>
            </w: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231F20"/>
              </w:rPr>
              <w:t>240,817</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left="77"/>
              <w:spacing w:after="0" w:line="135" w:lineRule="exact"/>
              <w:rPr>
                <w:sz w:val="20"/>
                <w:szCs w:val="20"/>
                <w:color w:val="auto"/>
              </w:rPr>
            </w:pPr>
            <w:r>
              <w:rPr>
                <w:rFonts w:ascii="Arial" w:cs="Arial" w:eastAsia="Arial" w:hAnsi="Arial"/>
                <w:sz w:val="13"/>
                <w:szCs w:val="13"/>
                <w:color w:val="231F20"/>
                <w:w w:val="92"/>
              </w:rPr>
              <w:t>6,949</w:t>
            </w: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231F20"/>
              </w:rPr>
              <w:t>49,000</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280"/>
              <w:spacing w:after="0" w:line="135" w:lineRule="exact"/>
              <w:rPr>
                <w:sz w:val="20"/>
                <w:szCs w:val="20"/>
                <w:color w:val="auto"/>
              </w:rPr>
            </w:pPr>
            <w:r>
              <w:rPr>
                <w:rFonts w:ascii="Arial" w:cs="Arial" w:eastAsia="Arial" w:hAnsi="Arial"/>
                <w:sz w:val="13"/>
                <w:szCs w:val="13"/>
                <w:color w:val="231F20"/>
                <w:w w:val="80"/>
              </w:rPr>
              <w:t>14,316</w:t>
            </w: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231F20"/>
              </w:rPr>
              <w:t>170,552</w:t>
            </w:r>
          </w:p>
        </w:tc>
      </w:tr>
      <w:tr>
        <w:trPr>
          <w:trHeight w:val="136"/>
        </w:trPr>
        <w:tc>
          <w:tcPr>
            <w:tcW w:w="35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231F20"/>
              </w:rPr>
              <w:t>Total</w:t>
            </w:r>
          </w:p>
        </w:tc>
        <w:tc>
          <w:tcPr>
            <w:tcW w:w="240" w:type="dxa"/>
            <w:vAlign w:val="bottom"/>
            <w:tcBorders>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231F20"/>
                <w:w w:val="82"/>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274,569</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37"/>
              <w:spacing w:after="0" w:line="129" w:lineRule="exact"/>
              <w:rPr>
                <w:sz w:val="20"/>
                <w:szCs w:val="20"/>
                <w:color w:val="auto"/>
              </w:rPr>
            </w:pPr>
            <w:r>
              <w:rPr>
                <w:rFonts w:ascii="Arial" w:cs="Arial" w:eastAsia="Arial" w:hAnsi="Arial"/>
                <w:sz w:val="13"/>
                <w:szCs w:val="13"/>
                <w:color w:val="231F20"/>
              </w:rPr>
              <w:t>$</w:t>
            </w:r>
          </w:p>
        </w:tc>
        <w:tc>
          <w:tcPr>
            <w:tcW w:w="600" w:type="dxa"/>
            <w:vAlign w:val="bottom"/>
            <w:tcBorders>
              <w:bottom w:val="single" w:sz="8" w:color="auto"/>
            </w:tcBorders>
            <w:shd w:val="clear" w:color="auto" w:fill="CCEEFF"/>
          </w:tcPr>
          <w:p>
            <w:pPr>
              <w:jc w:val="center"/>
              <w:ind w:left="77"/>
              <w:spacing w:after="0" w:line="129" w:lineRule="exact"/>
              <w:rPr>
                <w:sz w:val="20"/>
                <w:szCs w:val="20"/>
                <w:color w:val="auto"/>
              </w:rPr>
            </w:pPr>
            <w:r>
              <w:rPr>
                <w:rFonts w:ascii="Arial" w:cs="Arial" w:eastAsia="Arial" w:hAnsi="Arial"/>
                <w:sz w:val="13"/>
                <w:szCs w:val="13"/>
                <w:color w:val="auto"/>
                <w:w w:val="85"/>
              </w:rPr>
              <w:t>15,465</w:t>
            </w:r>
          </w:p>
        </w:tc>
        <w:tc>
          <w:tcPr>
            <w:tcW w:w="1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237"/>
              <w:spacing w:after="0" w:line="129" w:lineRule="exact"/>
              <w:rPr>
                <w:sz w:val="20"/>
                <w:szCs w:val="20"/>
                <w:color w:val="auto"/>
              </w:rPr>
            </w:pPr>
            <w:r>
              <w:rPr>
                <w:rFonts w:ascii="Arial" w:cs="Arial" w:eastAsia="Arial" w:hAnsi="Arial"/>
                <w:sz w:val="13"/>
                <w:szCs w:val="13"/>
                <w:color w:val="231F20"/>
                <w:w w:val="82"/>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59,089</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color w:val="231F20"/>
                <w:w w:val="82"/>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21,830</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297"/>
              <w:spacing w:after="0" w:line="129" w:lineRule="exact"/>
              <w:rPr>
                <w:sz w:val="20"/>
                <w:szCs w:val="20"/>
                <w:color w:val="auto"/>
              </w:rPr>
            </w:pPr>
            <w:r>
              <w:rPr>
                <w:rFonts w:ascii="Arial" w:cs="Arial" w:eastAsia="Arial" w:hAnsi="Arial"/>
                <w:sz w:val="13"/>
                <w:szCs w:val="13"/>
                <w:color w:val="231F20"/>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178,185</w:t>
            </w:r>
          </w:p>
        </w:tc>
      </w:tr>
    </w:tbl>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operating lease obligations are primarily related to rental payments under lease agreements for office space in the United States and United Kingdom through December 2027.</w:t>
      </w:r>
    </w:p>
    <w:p>
      <w:pPr>
        <w:spacing w:after="0" w:line="170"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Liabilities under the Tax Receivable Agreement include amounts to be paid to Continuing LLC Owners, assuming we will have sufficient taxable income over the term of the Tax Receivable Agreement to utilize the related tax benefits.</w:t>
      </w:r>
    </w:p>
    <w:p>
      <w:pPr>
        <w:spacing w:after="0" w:line="124"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In the normal course of business, we enter into user agreements with our dealer clients which indemnify such clients from third parties in the event that our network infringes upon the intellectual property or other proprietary right of a third party. Our exposure under these user agreements is unknown as this would involve estimating future claims against the Company that have not yet occurred. However, based on our experience, we expect the risk of a material loss to be remote.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2019,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8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Summary of Significant Accounting Policies” to our audited consolidated financial statements included elsewhere in this Annual Report on Form 10-K.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0" w:firstLine="324"/>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pushdown accounting, intangible assets, goodwill, software development costs, stock based compensation, contingent consideration payable and current and deferred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on the date of the Refinitiv Transaction. We, as a consolidating subsidiary of Refinitiv, also accounted for the Refinitiv Transaction using pushdown accounting. Under pushdown accounting, the excess of our fair value above the fair value accounting basis of our net assets and liabilities is recorded as goodwill. The fair value of assets acquired and liabilities assumed was determined based on assumptions that reasonable market participants would use in the principal (or most advantageous) market for the asset or liability.</w:t>
      </w:r>
    </w:p>
    <w:p>
      <w:pPr>
        <w:spacing w:after="0" w:line="178"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In determining the fair value of the assets acquired and the liabilities assumed, we considered a report of a third-party valuation expert. Management is responsible for these internal and third-party valuations and appraisals.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discounted cash flows relating to the asset or asset group is less than the corresponding carrying value. Intangible assets are amortized over their estimated useful lives of seven to sixteen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based on the fair market value of our Class A common stock and Class B common stock. We calculate such loss as the difference between the estimated fair value of goodwill and its carrying value. If future events or results differ adversely from the estimates and assumptions made at acquisition or as part of subsequent impairment tests, we may record increased impairment charges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Such costs are amortized on a straight-line basis over three years. Costs capitalized as part of the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Due to rapidly changing technology and the uncertainty of the software development process itself, future results could be affected if management’s current assessment of its software projects differs from actual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earn transaction fees from transactions executed on our trading platforms through various fee plans. Transaction fees are generated on both a variable and fixed price basis and vary by geographic region, product type and trade size. For variable transaction fees, we charge clients fees based on the mix of products traded and the volume of transactions executed.</w:t>
      </w:r>
    </w:p>
    <w:p>
      <w:pPr>
        <w:spacing w:after="0" w:line="14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Subscription fees are generally generated on a fixed price basis.</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8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w:t>
      </w:r>
    </w:p>
    <w:p>
      <w:pPr>
        <w:spacing w:after="0" w:line="147" w:lineRule="exact"/>
        <w:rPr>
          <w:sz w:val="20"/>
          <w:szCs w:val="20"/>
          <w:color w:val="auto"/>
        </w:rPr>
      </w:pPr>
    </w:p>
    <w:p>
      <w:pPr>
        <w:ind w:right="480" w:firstLine="324"/>
        <w:spacing w:after="0" w:line="279" w:lineRule="auto"/>
        <w:rPr>
          <w:sz w:val="20"/>
          <w:szCs w:val="20"/>
          <w:color w:val="auto"/>
        </w:rPr>
      </w:pPr>
      <w:r>
        <w:rPr>
          <w:rFonts w:ascii="Arial" w:cs="Arial" w:eastAsia="Arial" w:hAnsi="Arial"/>
          <w:sz w:val="17"/>
          <w:szCs w:val="17"/>
          <w:color w:val="auto"/>
        </w:rPr>
        <w:t>On January 1, 2018, we adopted ASU 2014-09, Revenue from Contracts with Customers, using the modified retrospective approach. The adoption of ASU 2014-09 did not have a material impact on the measurement or timing of recognition of revenue in any prior reporting periods. However, we are required to make significant judgements for the Refinitiv market data fees. Significant judgements used in accounting for this contract include:</w:t>
      </w:r>
    </w:p>
    <w:p>
      <w:pPr>
        <w:spacing w:after="0" w:line="171" w:lineRule="exact"/>
        <w:rPr>
          <w:sz w:val="20"/>
          <w:szCs w:val="20"/>
          <w:color w:val="auto"/>
        </w:rPr>
      </w:pPr>
    </w:p>
    <w:p>
      <w:pPr>
        <w:ind w:left="660" w:hanging="333"/>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provision of real-time market data feeds and annual historical data sets are distinct performance obligations.</w:t>
      </w:r>
    </w:p>
    <w:p>
      <w:pPr>
        <w:spacing w:after="0" w:line="248" w:lineRule="exact"/>
        <w:rPr>
          <w:rFonts w:ascii="Arial" w:cs="Arial" w:eastAsia="Arial" w:hAnsi="Arial"/>
          <w:sz w:val="16"/>
          <w:szCs w:val="16"/>
          <w:color w:val="auto"/>
        </w:rPr>
      </w:pPr>
    </w:p>
    <w:p>
      <w:pPr>
        <w:ind w:left="660" w:right="100" w:hanging="333"/>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ind w:left="660" w:right="140" w:hanging="333"/>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stock-based compensation that our employees receive is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and members’ capital in our audited consolidated financial statements included elsewhere in this Annual Report on Form 10-K). 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 For grants made during the post-IPO period, the fair value of the equity instruments is determined based on the price of our Class A common stock on the grant date. For grants made during the pre-IPO period, the fair value of the equity instruments was determined in accordance with the American Institute of Certified Public Accountants Practice Aid, Valuation of Privately Held Company Securities Issued as Compensation. Factors that were considered in determining the fair value include forecasted future cash flows, the weighted average cost of capital, and the performance multiples of comparable companies.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59" w:firstLine="324"/>
        <w:spacing w:after="0" w:line="264" w:lineRule="auto"/>
        <w:rPr>
          <w:sz w:val="20"/>
          <w:szCs w:val="20"/>
          <w:color w:val="auto"/>
        </w:rPr>
      </w:pPr>
      <w:r>
        <w:rPr>
          <w:rFonts w:ascii="Arial" w:cs="Arial" w:eastAsia="Arial" w:hAnsi="Arial"/>
          <w:sz w:val="18"/>
          <w:szCs w:val="18"/>
          <w:color w:val="auto"/>
        </w:rPr>
        <w:t>On December 31, 2018, certain PRSUs, which previously were cash-settled, were converted to equity-settled PRSUs. The conversion was at fair value, using a unit price consistent with the share price of the Company. As a result of the modification, an additional $19.1 million was recorded in equity.</w:t>
      </w:r>
    </w:p>
    <w:p>
      <w:pPr>
        <w:spacing w:after="0" w:line="181" w:lineRule="exact"/>
        <w:rPr>
          <w:sz w:val="20"/>
          <w:szCs w:val="20"/>
          <w:color w:val="auto"/>
        </w:rPr>
      </w:pPr>
    </w:p>
    <w:p>
      <w:pPr>
        <w:ind w:right="39" w:firstLine="324"/>
        <w:spacing w:after="0" w:line="270" w:lineRule="auto"/>
        <w:rPr>
          <w:sz w:val="20"/>
          <w:szCs w:val="20"/>
          <w:color w:val="auto"/>
        </w:rPr>
      </w:pPr>
      <w:r>
        <w:rPr>
          <w:rFonts w:ascii="Arial" w:cs="Arial" w:eastAsia="Arial" w:hAnsi="Arial"/>
          <w:sz w:val="17"/>
          <w:szCs w:val="17"/>
          <w:color w:val="auto"/>
        </w:rPr>
        <w:t>Prior to the IPO, we awarded options to management and other employees (collectively, the “Special Option Award”) under the Amended and Restated Tradeweb Markets Inc. Option Plan. In accounting for the options issued under this plan, we measure and recognize compensation expense for all awards based on their estimated fair values measured as of the grant date. Costs related to these options are recognized as an expense in our consolidated statements of income over the requisite service period, with an offsetting increase to additional paid-in capital. We expect the non-cash stock-based compensation expense associated with the Special Option Award to be between approximately $33.5 million and $35.7 million, which we started to expense beginning in the second quarter of 2019, with a charge of $20.4 million during the second quarter of 2019 ($18.9 million of which was charged immediately upon the completion of the IPO), and will continue to expense over the following three years.</w:t>
      </w:r>
    </w:p>
    <w:p>
      <w:pPr>
        <w:spacing w:after="0" w:line="182" w:lineRule="exact"/>
        <w:rPr>
          <w:sz w:val="20"/>
          <w:szCs w:val="20"/>
          <w:color w:val="auto"/>
        </w:rPr>
      </w:pPr>
    </w:p>
    <w:p>
      <w:pPr>
        <w:ind w:right="59" w:firstLine="324"/>
        <w:spacing w:after="0" w:line="279" w:lineRule="auto"/>
        <w:rPr>
          <w:sz w:val="20"/>
          <w:szCs w:val="20"/>
          <w:color w:val="auto"/>
        </w:rPr>
      </w:pPr>
      <w:r>
        <w:rPr>
          <w:rFonts w:ascii="Arial" w:cs="Arial" w:eastAsia="Arial" w:hAnsi="Arial"/>
          <w:sz w:val="17"/>
          <w:szCs w:val="17"/>
          <w:color w:val="auto"/>
        </w:rPr>
        <w:t>We use the Black-Scholes pricing model to value some of our stock-based awards. Determining the appropriate fair value model and calculating the fair value of the stock-based awards requires the input of highly subjective assumptions, including the expected life of the stock-based awards, the number of expected stock-based awards that will be forfeited prior to the completion of the vesting requirements, and the stock price volatility.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79" w:firstLine="324"/>
        <w:spacing w:after="0" w:line="288" w:lineRule="auto"/>
        <w:rPr>
          <w:sz w:val="20"/>
          <w:szCs w:val="20"/>
          <w:color w:val="auto"/>
        </w:rPr>
      </w:pPr>
      <w:r>
        <w:rPr>
          <w:rFonts w:ascii="Arial" w:cs="Arial" w:eastAsia="Arial" w:hAnsi="Arial"/>
          <w:sz w:val="16"/>
          <w:szCs w:val="16"/>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us for the post-IPO period.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w:t>
      </w:r>
    </w:p>
    <w:p>
      <w:pPr>
        <w:spacing w:after="0" w:line="169" w:lineRule="exact"/>
        <w:rPr>
          <w:sz w:val="20"/>
          <w:szCs w:val="20"/>
          <w:color w:val="auto"/>
        </w:rPr>
      </w:pPr>
    </w:p>
    <w:p>
      <w:pPr>
        <w:ind w:right="239" w:firstLine="324"/>
        <w:spacing w:after="0" w:line="264"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181" w:lineRule="exact"/>
        <w:rPr>
          <w:sz w:val="20"/>
          <w:szCs w:val="20"/>
          <w:color w:val="auto"/>
        </w:rPr>
      </w:pPr>
    </w:p>
    <w:p>
      <w:pPr>
        <w:ind w:right="39" w:firstLine="324"/>
        <w:spacing w:after="0" w:line="259" w:lineRule="auto"/>
        <w:rPr>
          <w:sz w:val="20"/>
          <w:szCs w:val="20"/>
          <w:color w:val="auto"/>
        </w:rPr>
      </w:pPr>
      <w:r>
        <w:rPr>
          <w:rFonts w:ascii="Arial" w:cs="Arial" w:eastAsia="Arial" w:hAnsi="Arial"/>
          <w:sz w:val="18"/>
          <w:szCs w:val="18"/>
          <w:color w:val="auto"/>
        </w:rPr>
        <w:t>On December 22, 2017, the President signed into law the Tax Cuts and Jobs Act (“TCJA”) effective for tax years ending after December 31, 2017. This legislation replaces the prior corporate tax rate structure with a flat 21% rate, effective in 2018. There were many other impacts of the tax reform such as the repeal of the corporate alternative minimum tax rate, tax loss carryback and carryforward limitations effective in 2019.</w:t>
      </w:r>
    </w:p>
    <w:p>
      <w:pPr>
        <w:spacing w:after="0" w:line="187" w:lineRule="exact"/>
        <w:rPr>
          <w:sz w:val="20"/>
          <w:szCs w:val="20"/>
          <w:color w:val="auto"/>
        </w:rPr>
      </w:pPr>
    </w:p>
    <w:p>
      <w:pPr>
        <w:jc w:val="both"/>
        <w:ind w:right="39" w:firstLine="324"/>
        <w:spacing w:after="0" w:line="264" w:lineRule="auto"/>
        <w:rPr>
          <w:sz w:val="20"/>
          <w:szCs w:val="20"/>
          <w:color w:val="auto"/>
        </w:rPr>
      </w:pPr>
      <w:r>
        <w:rPr>
          <w:rFonts w:ascii="Arial" w:cs="Arial" w:eastAsia="Arial" w:hAnsi="Arial"/>
          <w:sz w:val="18"/>
          <w:szCs w:val="18"/>
          <w:color w:val="auto"/>
        </w:rPr>
        <w:t>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219" w:firstLine="324"/>
        <w:spacing w:after="0" w:line="293" w:lineRule="auto"/>
        <w:rPr>
          <w:sz w:val="20"/>
          <w:szCs w:val="20"/>
          <w:color w:val="auto"/>
        </w:rPr>
      </w:pPr>
      <w:r>
        <w:rPr>
          <w:rFonts w:ascii="Arial" w:cs="Arial" w:eastAsia="Arial" w:hAnsi="Arial"/>
          <w:sz w:val="16"/>
          <w:szCs w:val="16"/>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follow-on offering and any future offering or (b) redemptions or exchanges by such Continuing LLC</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Owner of LLC Interests for shares of Class A common stock or Class B common stock or for cash, as applicable, and (ii) certain other tax benefits related to Tradeweb Markets Inc. making payments under the Tax Receivable Agreement.</w:t>
      </w:r>
    </w:p>
    <w:p>
      <w:pPr>
        <w:spacing w:after="0" w:line="12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recorded an initial liability of $171.4 million related to our projected obligations under the Tax Receivable Agreement with respect to LLC Interests that were purchased by us using the net proceeds from the IPO. The impact of any changes in the projected obligations under the Tax Receivable Agreement as a result of changes in the geographic mix of the our earnings, changes in tax legislation and tax rates or other factors that may impact our tax savings will be reflected in income before taxes in the period in which the change occurs. During 2019, the liability increased to $240.8 million primarily due to the purchase of additional LLC Interests using the net proceeds from the October 2019 follow-on offering, as well as exchanges of LLC Interests by Continuing LLC owners during the year ended December 31, 2019, partially offset by changes in tax rates of $33.1 million recorded in our consolidated income statement as tax receivable agreement liability adjustment.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2014, we issued Class A Shares and unvested Class P-1(A) Shares to some of the Bank Stockholders as a result of a capital contribution to facilitate our expansion into new credit products. The proceeds from the issuance of the shares were included in members’ capital. In connection with the investment, certain employees also invested in the Company and were issued Class C Shares and unvested Class P-1(C) Shares. The proceeds from the issuance of these shares were included in members’ capital. The Class A Shares and Class C Shares issued in connection with the investment equally participated in the earnings of the Company together with the other Class A Shares, Class P(A) Shares, Class C Shares and Class P(C) Shares of the Company. Most of the holders of Class A shares had the right to appoint members to the board of managers of the Company. The Class P-1(A) Shares and Class P-1(C) Shares did not have any earnings participation rights, nor did any of the Class P-1(A) Shares have the right to appoint members to the former board of managers, until they vested. The Class P-1(A) Shares and Class P-1(C) Shares vested in July 2018 upon the achievement of specific revenue earnout milestones related to the growth of our credit products, as defined by the agreement, from August 2014 through the vesting date of July 2018.</w:t>
      </w:r>
    </w:p>
    <w:p>
      <w:pPr>
        <w:spacing w:after="0" w:line="18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Prior to the July 2018 vesting, we recognized contingent consideration with respect to the potential vesting of Class P-1(A) Shares and Class P-1(C) Shares as a contra-revenue adjustment in accordance with ASC 605-50-45-2 because the vesting could be viewed as a sales incentive to participating Bank Stockholders since they are also customers of the Company. The contingent consideration for each reporting period was calculated by estimating the final contingent consideration value using a monte carlo simulation and recognizing that value on a straightline basis over the 48 month period of the agreement, adjusting at each reporting period for any changes in the final value estimate. The revenue milestones provided that shares would vest only if certain credit revenue milestones would be achieved in the twelve months ended July 2016, 2017 and 2018.</w:t>
      </w:r>
    </w:p>
    <w:p>
      <w:pPr>
        <w:spacing w:after="0" w:line="192"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As a result of achieving these milestones, the final earnout amount was calculated based on the credit revenues during the twelve months ended July 31, 2018. On July 31, 2018, members’ capital increased by $150.5 million as a result of the vesting of the Class P-1(A) Shares and employee equity compensation payable increased by $5.7 million as a result of the vesting of the Class P-1(C) Shares. The value of the vested Class P-1(C) Shares was included in employee equity compensation payable because the Class P-1(C) were owned for less than six months by employees who had the ability to exercise a put option of those shares under certain conditions under their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See “Note 2 — Summary of Significant Accounting Policies” to our audited consolidated financial statements included elsewhere in this Annual Report on Form 10-K for a discussion of recent accounting pronouncements (adopted and not yet adopted).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process of improving our internal controls has required and will continue to require us to expend resources to design, implement and maintain a system of internal controls that is adequate to satisfy our reporting obligations as a public company. There can be no assurance that any actions we take will be completely successful. We will continue to evaluate the effectiveness of our disclosure controls and procedures and internal control over financial reporting on an on-going basis. As part of this process, we may identify specific internal controls as being deficient.</w:t>
      </w:r>
    </w:p>
    <w:p>
      <w:pPr>
        <w:spacing w:after="0" w:line="1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continue to evaluate our internal control procedures in order to comply with the requirements of Section 404 of the Sarbanes-Oxley Act. Section 404 requires annual management assessments of the effectiveness of our internal control over financial reporting and a report by our independent auditors addressing these assessments; however, for so long as we qualify as an emerging growth company, we will not be required to engage an auditor to report on our internal control over financial reporting. We will be required to comply with the management certification requirements of Section 404 in our annual report on Form 10-K for the year ending December 31, 2020 (subject to any change in applicable SEC rules). We will be required to comply with Section 404 in full (including an auditor attestation on management’s internal controls report) in our annual report on Form 10-K at the later of the year following our first annual report required to be filed with the SEC or the date on which we are no longer an emerging growth company (subject to any change in applicable SEC rules).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70"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The following table shows the percentage breakdown of our gross revenue and operating expenses denominated in currencies other than the U.S. dollar for the year ended December 31, 2019, the 2018 Successor Period and the 2018 Predecessor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00" w:type="dxa"/>
            <w:vAlign w:val="bottom"/>
          </w:tcPr>
          <w:p>
            <w:pPr>
              <w:spacing w:after="0"/>
              <w:rPr>
                <w:sz w:val="13"/>
                <w:szCs w:val="13"/>
                <w:color w:val="auto"/>
              </w:rPr>
            </w:pPr>
          </w:p>
        </w:tc>
        <w:tc>
          <w:tcPr>
            <w:tcW w:w="940" w:type="dxa"/>
            <w:vAlign w:val="bottom"/>
            <w:tcBorders>
              <w:bottom w:val="single" w:sz="8" w:color="auto"/>
            </w:tcBorders>
          </w:tcPr>
          <w:p>
            <w:pPr>
              <w:jc w:val="center"/>
              <w:ind w:left="20"/>
              <w:spacing w:after="0"/>
              <w:rPr>
                <w:sz w:val="20"/>
                <w:szCs w:val="20"/>
                <w:color w:val="auto"/>
              </w:rPr>
            </w:pPr>
            <w:r>
              <w:rPr>
                <w:rFonts w:ascii="Arial" w:cs="Arial" w:eastAsia="Arial" w:hAnsi="Arial"/>
                <w:sz w:val="13"/>
                <w:szCs w:val="13"/>
                <w:b w:val="1"/>
                <w:bCs w:val="1"/>
                <w:color w:val="auto"/>
                <w:w w:val="82"/>
              </w:rPr>
              <w:t>Successor</w:t>
            </w:r>
          </w:p>
        </w:tc>
        <w:tc>
          <w:tcPr>
            <w:tcW w:w="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Borders>
              <w:bottom w:val="single" w:sz="8" w:color="auto"/>
            </w:tcBorders>
          </w:tcPr>
          <w:p>
            <w:pPr>
              <w:jc w:val="center"/>
              <w:ind w:left="40"/>
              <w:spacing w:after="0"/>
              <w:rPr>
                <w:sz w:val="20"/>
                <w:szCs w:val="20"/>
                <w:color w:val="auto"/>
              </w:rPr>
            </w:pPr>
            <w:r>
              <w:rPr>
                <w:rFonts w:ascii="Arial" w:cs="Arial" w:eastAsia="Arial" w:hAnsi="Arial"/>
                <w:sz w:val="13"/>
                <w:szCs w:val="13"/>
                <w:b w:val="1"/>
                <w:bCs w:val="1"/>
                <w:color w:val="auto"/>
                <w:w w:val="79"/>
              </w:rPr>
              <w:t>Successor</w:t>
            </w:r>
          </w:p>
        </w:tc>
        <w:tc>
          <w:tcPr>
            <w:tcW w:w="1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Predecessor</w:t>
            </w:r>
          </w:p>
        </w:tc>
        <w:tc>
          <w:tcPr>
            <w:tcW w:w="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300" w:type="dxa"/>
            <w:vAlign w:val="bottom"/>
          </w:tcPr>
          <w:p>
            <w:pPr>
              <w:spacing w:after="0"/>
              <w:rPr>
                <w:sz w:val="9"/>
                <w:szCs w:val="9"/>
                <w:color w:val="auto"/>
              </w:rPr>
            </w:pPr>
          </w:p>
        </w:tc>
        <w:tc>
          <w:tcPr>
            <w:tcW w:w="940" w:type="dxa"/>
            <w:vAlign w:val="bottom"/>
          </w:tcPr>
          <w:p>
            <w:pPr>
              <w:jc w:val="center"/>
              <w:ind w:left="20"/>
              <w:spacing w:after="0" w:line="110" w:lineRule="exact"/>
              <w:rPr>
                <w:sz w:val="20"/>
                <w:szCs w:val="20"/>
                <w:color w:val="auto"/>
              </w:rPr>
            </w:pPr>
            <w:r>
              <w:rPr>
                <w:rFonts w:ascii="Arial" w:cs="Arial" w:eastAsia="Arial" w:hAnsi="Arial"/>
                <w:sz w:val="12"/>
                <w:szCs w:val="12"/>
                <w:b w:val="1"/>
                <w:bCs w:val="1"/>
                <w:color w:val="auto"/>
                <w:w w:val="93"/>
              </w:rPr>
              <w:t>Year Ended</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jc w:val="center"/>
              <w:ind w:left="40"/>
              <w:spacing w:after="0" w:line="110" w:lineRule="exact"/>
              <w:rPr>
                <w:sz w:val="20"/>
                <w:szCs w:val="20"/>
                <w:color w:val="auto"/>
              </w:rPr>
            </w:pPr>
            <w:r>
              <w:rPr>
                <w:rFonts w:ascii="Arial" w:cs="Arial" w:eastAsia="Arial" w:hAnsi="Arial"/>
                <w:sz w:val="12"/>
                <w:szCs w:val="12"/>
                <w:b w:val="1"/>
                <w:bCs w:val="1"/>
                <w:color w:val="auto"/>
                <w:w w:val="93"/>
              </w:rPr>
              <w:t>October 1, 2018</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jc w:val="center"/>
              <w:ind w:left="20"/>
              <w:spacing w:after="0" w:line="110" w:lineRule="exact"/>
              <w:rPr>
                <w:sz w:val="20"/>
                <w:szCs w:val="20"/>
                <w:color w:val="auto"/>
              </w:rPr>
            </w:pPr>
            <w:r>
              <w:rPr>
                <w:rFonts w:ascii="Arial" w:cs="Arial" w:eastAsia="Arial" w:hAnsi="Arial"/>
                <w:sz w:val="12"/>
                <w:szCs w:val="12"/>
                <w:b w:val="1"/>
                <w:bCs w:val="1"/>
                <w:color w:val="auto"/>
                <w:w w:val="96"/>
              </w:rPr>
              <w:t>January 1, 2018</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jc w:val="center"/>
              <w:ind w:left="20"/>
              <w:spacing w:after="0" w:line="135" w:lineRule="exact"/>
              <w:rPr>
                <w:sz w:val="20"/>
                <w:szCs w:val="20"/>
                <w:color w:val="auto"/>
              </w:rPr>
            </w:pPr>
            <w:r>
              <w:rPr>
                <w:rFonts w:ascii="Arial" w:cs="Arial" w:eastAsia="Arial" w:hAnsi="Arial"/>
                <w:sz w:val="13"/>
                <w:szCs w:val="13"/>
                <w:b w:val="1"/>
                <w:bCs w:val="1"/>
                <w:color w:val="auto"/>
                <w:w w:val="81"/>
              </w:rPr>
              <w:t>to</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jc w:val="center"/>
              <w:ind w:left="20"/>
              <w:spacing w:after="0" w:line="135" w:lineRule="exact"/>
              <w:rPr>
                <w:sz w:val="20"/>
                <w:szCs w:val="20"/>
                <w:color w:val="auto"/>
              </w:rPr>
            </w:pPr>
            <w:r>
              <w:rPr>
                <w:rFonts w:ascii="Arial" w:cs="Arial" w:eastAsia="Arial" w:hAnsi="Arial"/>
                <w:sz w:val="13"/>
                <w:szCs w:val="13"/>
                <w:b w:val="1"/>
                <w:bCs w:val="1"/>
                <w:color w:val="auto"/>
                <w:w w:val="81"/>
              </w:rPr>
              <w:t>to</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00" w:type="dxa"/>
            <w:vAlign w:val="bottom"/>
            <w:vMerge w:val="restart"/>
          </w:tcPr>
          <w:p>
            <w:pPr>
              <w:spacing w:after="0"/>
              <w:rPr>
                <w:sz w:val="20"/>
                <w:szCs w:val="20"/>
                <w:color w:val="auto"/>
              </w:rPr>
            </w:pPr>
            <w:r>
              <w:rPr>
                <w:rFonts w:ascii="Arial" w:cs="Arial" w:eastAsia="Arial" w:hAnsi="Arial"/>
                <w:sz w:val="13"/>
                <w:szCs w:val="13"/>
                <w:color w:val="auto"/>
              </w:rPr>
              <w:t xml:space="preserve">% of revenue denominated in foreign currencies </w:t>
            </w:r>
            <w:r>
              <w:rPr>
                <w:rFonts w:ascii="Arial" w:cs="Arial" w:eastAsia="Arial" w:hAnsi="Arial"/>
                <w:sz w:val="14"/>
                <w:szCs w:val="14"/>
                <w:color w:val="auto"/>
                <w:vertAlign w:val="superscript"/>
              </w:rPr>
              <w:t>(1)</w:t>
            </w:r>
          </w:p>
        </w:tc>
        <w:tc>
          <w:tcPr>
            <w:tcW w:w="940" w:type="dxa"/>
            <w:vAlign w:val="bottom"/>
            <w:tcBorders>
              <w:bottom w:val="single" w:sz="8" w:color="auto"/>
            </w:tcBorders>
          </w:tcPr>
          <w:p>
            <w:pPr>
              <w:jc w:val="center"/>
              <w:ind w:left="20"/>
              <w:spacing w:after="0"/>
              <w:rPr>
                <w:sz w:val="20"/>
                <w:szCs w:val="20"/>
                <w:color w:val="auto"/>
              </w:rPr>
            </w:pPr>
            <w:r>
              <w:rPr>
                <w:rFonts w:ascii="Arial" w:cs="Arial" w:eastAsia="Arial" w:hAnsi="Arial"/>
                <w:sz w:val="13"/>
                <w:szCs w:val="13"/>
                <w:b w:val="1"/>
                <w:bCs w:val="1"/>
                <w:color w:val="auto"/>
                <w:w w:val="89"/>
              </w:rPr>
              <w:t>2019</w:t>
            </w:r>
          </w:p>
        </w:tc>
        <w:tc>
          <w:tcPr>
            <w:tcW w:w="80" w:type="dxa"/>
            <w:vAlign w:val="bottom"/>
            <w:tcBorders>
              <w:bottom w:val="single" w:sz="8" w:color="auto"/>
            </w:tcBorders>
          </w:tcPr>
          <w:p>
            <w:pPr>
              <w:spacing w:after="0"/>
              <w:rPr>
                <w:sz w:val="13"/>
                <w:szCs w:val="13"/>
                <w:color w:val="auto"/>
              </w:rPr>
            </w:pPr>
          </w:p>
        </w:tc>
        <w:tc>
          <w:tcPr>
            <w:tcW w:w="380" w:type="dxa"/>
            <w:vAlign w:val="bottom"/>
            <w:vMerge w:val="restart"/>
          </w:tcPr>
          <w:p>
            <w:pPr>
              <w:jc w:val="right"/>
              <w:ind w:right="222"/>
              <w:spacing w:after="0"/>
              <w:rPr>
                <w:sz w:val="20"/>
                <w:szCs w:val="20"/>
                <w:color w:val="auto"/>
              </w:rPr>
            </w:pPr>
            <w:r>
              <w:rPr>
                <w:rFonts w:ascii="Arial" w:cs="Arial" w:eastAsia="Arial" w:hAnsi="Arial"/>
                <w:sz w:val="12"/>
                <w:szCs w:val="12"/>
                <w:color w:val="auto"/>
                <w:w w:val="74"/>
              </w:rPr>
              <w:t>%</w:t>
            </w:r>
          </w:p>
        </w:tc>
        <w:tc>
          <w:tcPr>
            <w:tcW w:w="1260" w:type="dxa"/>
            <w:vAlign w:val="bottom"/>
            <w:tcBorders>
              <w:bottom w:val="single" w:sz="8" w:color="auto"/>
            </w:tcBorders>
          </w:tcPr>
          <w:p>
            <w:pPr>
              <w:jc w:val="center"/>
              <w:ind w:left="20"/>
              <w:spacing w:after="0"/>
              <w:rPr>
                <w:sz w:val="20"/>
                <w:szCs w:val="20"/>
                <w:color w:val="auto"/>
              </w:rPr>
            </w:pPr>
            <w:r>
              <w:rPr>
                <w:rFonts w:ascii="Arial" w:cs="Arial" w:eastAsia="Arial" w:hAnsi="Arial"/>
                <w:sz w:val="13"/>
                <w:szCs w:val="13"/>
                <w:b w:val="1"/>
                <w:bCs w:val="1"/>
                <w:color w:val="auto"/>
                <w:w w:val="87"/>
              </w:rPr>
              <w:t>December 31, 2018</w:t>
            </w:r>
          </w:p>
        </w:tc>
        <w:tc>
          <w:tcPr>
            <w:tcW w:w="100" w:type="dxa"/>
            <w:vAlign w:val="bottom"/>
            <w:tcBorders>
              <w:bottom w:val="single" w:sz="8" w:color="auto"/>
            </w:tcBorders>
          </w:tcPr>
          <w:p>
            <w:pPr>
              <w:spacing w:after="0"/>
              <w:rPr>
                <w:sz w:val="13"/>
                <w:szCs w:val="13"/>
                <w:color w:val="auto"/>
              </w:rPr>
            </w:pPr>
          </w:p>
        </w:tc>
        <w:tc>
          <w:tcPr>
            <w:tcW w:w="400" w:type="dxa"/>
            <w:vAlign w:val="bottom"/>
            <w:vMerge w:val="restart"/>
          </w:tcPr>
          <w:p>
            <w:pPr>
              <w:jc w:val="right"/>
              <w:ind w:right="242"/>
              <w:spacing w:after="0"/>
              <w:rPr>
                <w:sz w:val="20"/>
                <w:szCs w:val="20"/>
                <w:color w:val="auto"/>
              </w:rPr>
            </w:pPr>
            <w:r>
              <w:rPr>
                <w:rFonts w:ascii="Arial" w:cs="Arial" w:eastAsia="Arial" w:hAnsi="Arial"/>
                <w:sz w:val="12"/>
                <w:szCs w:val="12"/>
                <w:color w:val="auto"/>
                <w:w w:val="74"/>
              </w:rPr>
              <w:t>%</w:t>
            </w:r>
          </w:p>
        </w:tc>
        <w:tc>
          <w:tcPr>
            <w:tcW w:w="1300" w:type="dxa"/>
            <w:vAlign w:val="bottom"/>
            <w:tcBorders>
              <w:bottom w:val="single" w:sz="8" w:color="auto"/>
            </w:tcBorders>
          </w:tcPr>
          <w:p>
            <w:pPr>
              <w:jc w:val="center"/>
              <w:ind w:left="20"/>
              <w:spacing w:after="0"/>
              <w:rPr>
                <w:sz w:val="20"/>
                <w:szCs w:val="20"/>
                <w:color w:val="auto"/>
              </w:rPr>
            </w:pPr>
            <w:r>
              <w:rPr>
                <w:rFonts w:ascii="Arial" w:cs="Arial" w:eastAsia="Arial" w:hAnsi="Arial"/>
                <w:sz w:val="13"/>
                <w:szCs w:val="13"/>
                <w:b w:val="1"/>
                <w:bCs w:val="1"/>
                <w:color w:val="auto"/>
                <w:w w:val="87"/>
              </w:rPr>
              <w:t>September 30, 2018</w:t>
            </w:r>
          </w:p>
        </w:tc>
        <w:tc>
          <w:tcPr>
            <w:tcW w:w="80" w:type="dxa"/>
            <w:vAlign w:val="bottom"/>
            <w:tcBorders>
              <w:bottom w:val="single" w:sz="8" w:color="auto"/>
            </w:tcBorders>
          </w:tcPr>
          <w:p>
            <w:pPr>
              <w:spacing w:after="0"/>
              <w:rPr>
                <w:sz w:val="13"/>
                <w:szCs w:val="13"/>
                <w:color w:val="auto"/>
              </w:rPr>
            </w:pPr>
          </w:p>
        </w:tc>
        <w:tc>
          <w:tcPr>
            <w:tcW w:w="220" w:type="dxa"/>
            <w:vAlign w:val="bottom"/>
            <w:vMerge w:val="restart"/>
          </w:tcPr>
          <w:p>
            <w:pPr>
              <w:jc w:val="right"/>
              <w:ind w:right="62"/>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02"/>
        </w:trPr>
        <w:tc>
          <w:tcPr>
            <w:tcW w:w="4300" w:type="dxa"/>
            <w:vAlign w:val="bottom"/>
            <w:vMerge w:val="continue"/>
          </w:tcPr>
          <w:p>
            <w:pPr>
              <w:spacing w:after="0"/>
              <w:rPr>
                <w:sz w:val="8"/>
                <w:szCs w:val="8"/>
                <w:color w:val="auto"/>
              </w:rPr>
            </w:pPr>
          </w:p>
        </w:tc>
        <w:tc>
          <w:tcPr>
            <w:tcW w:w="940" w:type="dxa"/>
            <w:vAlign w:val="bottom"/>
          </w:tcPr>
          <w:p>
            <w:pPr>
              <w:jc w:val="right"/>
              <w:ind w:right="200"/>
              <w:spacing w:after="0" w:line="102" w:lineRule="exact"/>
              <w:rPr>
                <w:sz w:val="20"/>
                <w:szCs w:val="20"/>
                <w:color w:val="auto"/>
              </w:rPr>
            </w:pPr>
            <w:r>
              <w:rPr>
                <w:rFonts w:ascii="Arial" w:cs="Arial" w:eastAsia="Arial" w:hAnsi="Arial"/>
                <w:sz w:val="11"/>
                <w:szCs w:val="11"/>
                <w:color w:val="auto"/>
              </w:rPr>
              <w:t>29</w:t>
            </w:r>
          </w:p>
        </w:tc>
        <w:tc>
          <w:tcPr>
            <w:tcW w:w="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260" w:type="dxa"/>
            <w:vAlign w:val="bottom"/>
          </w:tcPr>
          <w:p>
            <w:pPr>
              <w:jc w:val="right"/>
              <w:ind w:right="360"/>
              <w:spacing w:after="0" w:line="102" w:lineRule="exact"/>
              <w:rPr>
                <w:sz w:val="20"/>
                <w:szCs w:val="20"/>
                <w:color w:val="auto"/>
              </w:rPr>
            </w:pPr>
            <w:r>
              <w:rPr>
                <w:rFonts w:ascii="Arial" w:cs="Arial" w:eastAsia="Arial" w:hAnsi="Arial"/>
                <w:sz w:val="11"/>
                <w:szCs w:val="11"/>
                <w:color w:val="auto"/>
              </w:rPr>
              <w:t>29</w:t>
            </w: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300" w:type="dxa"/>
            <w:vAlign w:val="bottom"/>
          </w:tcPr>
          <w:p>
            <w:pPr>
              <w:jc w:val="right"/>
              <w:ind w:right="380"/>
              <w:spacing w:after="0" w:line="102" w:lineRule="exact"/>
              <w:rPr>
                <w:sz w:val="20"/>
                <w:szCs w:val="20"/>
                <w:color w:val="auto"/>
              </w:rPr>
            </w:pPr>
            <w:r>
              <w:rPr>
                <w:rFonts w:ascii="Arial" w:cs="Arial" w:eastAsia="Arial" w:hAnsi="Arial"/>
                <w:sz w:val="11"/>
                <w:szCs w:val="11"/>
                <w:color w:val="auto"/>
              </w:rPr>
              <w:t>29</w:t>
            </w: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20"/>
                <w:szCs w:val="20"/>
                <w:color w:val="auto"/>
              </w:rPr>
            </w:pPr>
            <w:r>
              <w:rPr>
                <w:rFonts w:ascii="Arial" w:cs="Arial" w:eastAsia="Arial" w:hAnsi="Arial"/>
                <w:sz w:val="13"/>
                <w:szCs w:val="13"/>
                <w:color w:val="auto"/>
              </w:rPr>
              <w:t xml:space="preserve">% of operating expenses denominated in foreign currencies </w:t>
            </w:r>
            <w:r>
              <w:rPr>
                <w:rFonts w:ascii="Arial" w:cs="Arial" w:eastAsia="Arial" w:hAnsi="Arial"/>
                <w:sz w:val="14"/>
                <w:szCs w:val="14"/>
                <w:color w:val="auto"/>
                <w:vertAlign w:val="superscript"/>
              </w:rPr>
              <w:t>(2)</w:t>
            </w:r>
          </w:p>
        </w:tc>
        <w:tc>
          <w:tcPr>
            <w:tcW w:w="940" w:type="dxa"/>
            <w:vAlign w:val="bottom"/>
          </w:tcPr>
          <w:p>
            <w:pPr>
              <w:jc w:val="right"/>
              <w:ind w:right="200"/>
              <w:spacing w:after="0"/>
              <w:rPr>
                <w:sz w:val="20"/>
                <w:szCs w:val="20"/>
                <w:color w:val="auto"/>
              </w:rPr>
            </w:pPr>
            <w:r>
              <w:rPr>
                <w:rFonts w:ascii="Arial" w:cs="Arial" w:eastAsia="Arial" w:hAnsi="Arial"/>
                <w:sz w:val="13"/>
                <w:szCs w:val="13"/>
                <w:color w:val="auto"/>
              </w:rPr>
              <w:t>14</w:t>
            </w:r>
          </w:p>
        </w:tc>
        <w:tc>
          <w:tcPr>
            <w:tcW w:w="460" w:type="dxa"/>
            <w:vAlign w:val="bottom"/>
            <w:gridSpan w:val="2"/>
          </w:tcPr>
          <w:p>
            <w:pPr>
              <w:jc w:val="right"/>
              <w:ind w:right="222"/>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60"/>
              <w:spacing w:after="0"/>
              <w:rPr>
                <w:sz w:val="20"/>
                <w:szCs w:val="20"/>
                <w:color w:val="auto"/>
              </w:rPr>
            </w:pPr>
            <w:r>
              <w:rPr>
                <w:rFonts w:ascii="Arial" w:cs="Arial" w:eastAsia="Arial" w:hAnsi="Arial"/>
                <w:sz w:val="13"/>
                <w:szCs w:val="13"/>
                <w:color w:val="auto"/>
              </w:rPr>
              <w:t>15</w:t>
            </w:r>
          </w:p>
        </w:tc>
        <w:tc>
          <w:tcPr>
            <w:tcW w:w="500" w:type="dxa"/>
            <w:vAlign w:val="bottom"/>
            <w:gridSpan w:val="2"/>
          </w:tcPr>
          <w:p>
            <w:pPr>
              <w:jc w:val="right"/>
              <w:ind w:right="242"/>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80"/>
              <w:spacing w:after="0"/>
              <w:rPr>
                <w:sz w:val="20"/>
                <w:szCs w:val="20"/>
                <w:color w:val="auto"/>
              </w:rPr>
            </w:pPr>
            <w:r>
              <w:rPr>
                <w:rFonts w:ascii="Arial" w:cs="Arial" w:eastAsia="Arial" w:hAnsi="Arial"/>
                <w:sz w:val="13"/>
                <w:szCs w:val="13"/>
                <w:color w:val="auto"/>
              </w:rPr>
              <w:t>17</w:t>
            </w:r>
          </w:p>
        </w:tc>
        <w:tc>
          <w:tcPr>
            <w:tcW w:w="30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5754370" cy="946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94615"/>
                    </a:xfrm>
                    <a:prstGeom prst="rect">
                      <a:avLst/>
                    </a:prstGeom>
                    <a:noFill/>
                  </pic:spPr>
                </pic:pic>
              </a:graphicData>
            </a:graphic>
          </wp:anchor>
        </w:drawing>
      </w:r>
    </w:p>
    <w:p>
      <w:pPr>
        <w:ind w:left="660" w:hanging="333"/>
        <w:spacing w:after="0" w:line="230" w:lineRule="auto"/>
        <w:tabs>
          <w:tab w:leader="none" w:pos="660" w:val="left"/>
        </w:tabs>
        <w:numPr>
          <w:ilvl w:val="0"/>
          <w:numId w:val="68"/>
        </w:numPr>
        <w:rPr>
          <w:rFonts w:ascii="Arial" w:cs="Arial" w:eastAsia="Arial" w:hAnsi="Arial"/>
          <w:sz w:val="11"/>
          <w:szCs w:val="11"/>
          <w:color w:val="auto"/>
        </w:rPr>
      </w:pPr>
      <w:r>
        <w:rPr>
          <w:rFonts w:ascii="Arial" w:cs="Arial" w:eastAsia="Arial" w:hAnsi="Arial"/>
          <w:sz w:val="11"/>
          <w:szCs w:val="11"/>
          <w:color w:val="auto"/>
        </w:rPr>
        <w:t>Gross revenue in foreign currencies is primarily denominated in Euros.</w:t>
      </w:r>
    </w:p>
    <w:p>
      <w:pPr>
        <w:ind w:left="660" w:hanging="333"/>
        <w:spacing w:after="0"/>
        <w:tabs>
          <w:tab w:leader="none" w:pos="660" w:val="left"/>
        </w:tabs>
        <w:numPr>
          <w:ilvl w:val="0"/>
          <w:numId w:val="68"/>
        </w:numPr>
        <w:rPr>
          <w:rFonts w:ascii="Arial" w:cs="Arial" w:eastAsia="Arial" w:hAnsi="Arial"/>
          <w:sz w:val="11"/>
          <w:szCs w:val="11"/>
          <w:color w:val="auto"/>
        </w:rPr>
      </w:pPr>
      <w:r>
        <w:rPr>
          <w:rFonts w:ascii="Arial" w:cs="Arial" w:eastAsia="Arial" w:hAnsi="Arial"/>
          <w:sz w:val="11"/>
          <w:szCs w:val="11"/>
          <w:color w:val="auto"/>
        </w:rPr>
        <w:t>Operating expenses in foreign currencies are primarily denominated in British pounds.</w:t>
      </w:r>
    </w:p>
    <w:p>
      <w:pPr>
        <w:spacing w:after="0" w:line="200" w:lineRule="exact"/>
        <w:rPr>
          <w:sz w:val="20"/>
          <w:szCs w:val="20"/>
          <w:color w:val="auto"/>
        </w:rPr>
      </w:pPr>
    </w:p>
    <w:p>
      <w:pPr>
        <w:spacing w:after="0" w:line="215"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187"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following table shows the change in gross revenue and operating income caused by fluctuations in foreign currency rates during the year ended December 31, 2019, the 2018 Successor Period and the 2018 Predecessor Period: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4"/>
              </w:rPr>
              <w:t>Successor</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4"/>
              </w:rPr>
              <w:t>Successor</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19"/>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Impact of Foreign Currency Rate Fluctuations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rPr>
              <w:t>Year Ended</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rPr>
              <w:t>October 1, 2018</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1, 2018</w:t>
            </w:r>
          </w:p>
        </w:tc>
        <w:tc>
          <w:tcPr>
            <w:tcW w:w="0" w:type="dxa"/>
            <w:vAlign w:val="bottom"/>
          </w:tcPr>
          <w:p>
            <w:pPr>
              <w:spacing w:after="0"/>
              <w:rPr>
                <w:sz w:val="1"/>
                <w:szCs w:val="1"/>
                <w:color w:val="auto"/>
              </w:rPr>
            </w:pPr>
          </w:p>
        </w:tc>
      </w:tr>
      <w:tr>
        <w:trPr>
          <w:trHeight w:val="149"/>
        </w:trPr>
        <w:tc>
          <w:tcPr>
            <w:tcW w:w="4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6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90"/>
              </w:rPr>
              <w:t>to</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1"/>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1"/>
              </w:rPr>
              <w:t>December 31, 2018</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Increase (decrease) in gross revenue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(11,800)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Increase (decrease) in operating income</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(8,600)</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2,200</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11,200</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right="580" w:firstLine="324"/>
        <w:spacing w:after="0" w:line="264"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would have on actual gross revenue and operating income for the year ended December 31, 2019, the 2018 Successor Period and the 2018 Predecessor Period: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4"/>
              </w:rPr>
              <w:t>Successor</w:t>
            </w: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4"/>
              </w:rPr>
              <w:t>Successor</w:t>
            </w: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19"/>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Hypothetical 10% Change in Value of U.S. Dollar</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109"/>
              <w:spacing w:after="0" w:line="119" w:lineRule="exact"/>
              <w:rPr>
                <w:sz w:val="20"/>
                <w:szCs w:val="20"/>
                <w:color w:val="auto"/>
              </w:rPr>
            </w:pPr>
            <w:r>
              <w:rPr>
                <w:rFonts w:ascii="Arial" w:cs="Arial" w:eastAsia="Arial" w:hAnsi="Arial"/>
                <w:sz w:val="13"/>
                <w:szCs w:val="13"/>
                <w:b w:val="1"/>
                <w:bCs w:val="1"/>
                <w:color w:val="auto"/>
              </w:rPr>
              <w:t>Year Ended</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center"/>
              <w:ind w:right="109"/>
              <w:spacing w:after="0" w:line="119" w:lineRule="exact"/>
              <w:rPr>
                <w:sz w:val="20"/>
                <w:szCs w:val="20"/>
                <w:color w:val="auto"/>
              </w:rPr>
            </w:pPr>
            <w:r>
              <w:rPr>
                <w:rFonts w:ascii="Arial" w:cs="Arial" w:eastAsia="Arial" w:hAnsi="Arial"/>
                <w:sz w:val="13"/>
                <w:szCs w:val="13"/>
                <w:b w:val="1"/>
                <w:bCs w:val="1"/>
                <w:color w:val="auto"/>
              </w:rPr>
              <w:t>October 1, 2018</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center"/>
              <w:ind w:right="109"/>
              <w:spacing w:after="0" w:line="119" w:lineRule="exact"/>
              <w:rPr>
                <w:sz w:val="20"/>
                <w:szCs w:val="20"/>
                <w:color w:val="auto"/>
              </w:rPr>
            </w:pPr>
            <w:r>
              <w:rPr>
                <w:rFonts w:ascii="Arial" w:cs="Arial" w:eastAsia="Arial" w:hAnsi="Arial"/>
                <w:sz w:val="13"/>
                <w:szCs w:val="13"/>
                <w:b w:val="1"/>
                <w:bCs w:val="1"/>
                <w:color w:val="auto"/>
              </w:rPr>
              <w:t>January 1, 2018</w:t>
            </w:r>
          </w:p>
        </w:tc>
        <w:tc>
          <w:tcPr>
            <w:tcW w:w="0" w:type="dxa"/>
            <w:vAlign w:val="bottom"/>
          </w:tcPr>
          <w:p>
            <w:pPr>
              <w:spacing w:after="0"/>
              <w:rPr>
                <w:sz w:val="1"/>
                <w:szCs w:val="1"/>
                <w:color w:val="auto"/>
              </w:rPr>
            </w:pPr>
          </w:p>
        </w:tc>
      </w:tr>
      <w:tr>
        <w:trPr>
          <w:trHeight w:val="149"/>
        </w:trPr>
        <w:tc>
          <w:tcPr>
            <w:tcW w:w="4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29"/>
              <w:spacing w:after="0" w:line="149" w:lineRule="exact"/>
              <w:rPr>
                <w:sz w:val="20"/>
                <w:szCs w:val="20"/>
                <w:color w:val="auto"/>
              </w:rPr>
            </w:pPr>
            <w:r>
              <w:rPr>
                <w:rFonts w:ascii="Arial" w:cs="Arial" w:eastAsia="Arial" w:hAnsi="Arial"/>
                <w:sz w:val="14"/>
                <w:szCs w:val="14"/>
                <w:b w:val="1"/>
                <w:bCs w:val="1"/>
                <w:color w:val="auto"/>
                <w:w w:val="90"/>
              </w:rPr>
              <w:t>to</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29"/>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1"/>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4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Effect of 10% change on gross revenue</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$ 25,300</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$ 5,100</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$ 14,300</w:t>
            </w:r>
          </w:p>
        </w:tc>
        <w:tc>
          <w:tcPr>
            <w:tcW w:w="0" w:type="dxa"/>
            <w:vAlign w:val="bottom"/>
          </w:tcPr>
          <w:p>
            <w:pPr>
              <w:spacing w:after="0"/>
              <w:rPr>
                <w:sz w:val="1"/>
                <w:szCs w:val="1"/>
                <w:color w:val="auto"/>
              </w:rPr>
            </w:pP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Effect of 10% change on operating income</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$ 16,000</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$ 2,800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$ 8,600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less than twelve months. We do not use derivative instruments for trading or speculative purposes. As of December 31, 2019 and December 31, 2018, the notional amount of our foreign currency forward contracts was $83.9 million and $1.7 million, respectively.</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At December 31, 2019 and 2018, we established an allowance for doubtful accounts of $0.2 million and $1.2 million, respectively, with regard to these receivables.</w:t>
      </w:r>
    </w:p>
    <w:p>
      <w:pPr>
        <w:spacing w:after="0" w:line="18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7480" w:type="dxa"/>
            <w:vAlign w:val="bottom"/>
            <w:gridSpan w:val="9"/>
            <w:vMerge w:val="restart"/>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Reports of Independent Registered Public Accounting Firm</w:t>
              </w:r>
            </w:hyperlink>
            <w:r>
              <w:rPr>
                <w:rFonts w:ascii="Arial" w:cs="Arial" w:eastAsia="Arial" w:hAnsi="Arial"/>
                <w:sz w:val="18"/>
                <w:szCs w:val="18"/>
                <w:color w:val="000000"/>
              </w:rPr>
              <w:t>s</w:t>
            </w: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7480" w:type="dxa"/>
            <w:vAlign w:val="bottom"/>
            <w:gridSpan w:val="9"/>
            <w:vMerge w:val="continue"/>
          </w:tcPr>
          <w:p>
            <w:pPr>
              <w:spacing w:after="0"/>
              <w:rPr>
                <w:sz w:val="14"/>
                <w:szCs w:val="14"/>
                <w:color w:val="auto"/>
              </w:rPr>
            </w:pPr>
          </w:p>
        </w:tc>
        <w:tc>
          <w:tcPr>
            <w:tcW w:w="8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117</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480" w:type="dxa"/>
            <w:vAlign w:val="bottom"/>
            <w:gridSpan w:val="9"/>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Consolidated Statements of Financial Condition</w:t>
              </w:r>
            </w:hyperlink>
          </w:p>
        </w:tc>
        <w:tc>
          <w:tcPr>
            <w:tcW w:w="12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Consolidated Statements of Income</w:t>
              </w:r>
            </w:hyperlink>
          </w:p>
        </w:tc>
        <w:tc>
          <w:tcPr>
            <w:tcW w:w="880" w:type="dxa"/>
            <w:vAlign w:val="bottom"/>
            <w:tcBorders>
              <w:top w:val="single" w:sz="8" w:color="0000EE"/>
            </w:tcBorders>
            <w:gridSpan w:val="4"/>
          </w:tcPr>
          <w:p>
            <w:pPr>
              <w:spacing w:after="0"/>
              <w:rPr>
                <w:sz w:val="17"/>
                <w:szCs w:val="17"/>
                <w:color w:val="auto"/>
              </w:rPr>
            </w:pPr>
          </w:p>
        </w:tc>
        <w:tc>
          <w:tcPr>
            <w:tcW w:w="4020" w:type="dxa"/>
            <w:vAlign w:val="bottom"/>
            <w:gridSpan w:val="3"/>
          </w:tcPr>
          <w:p>
            <w:pPr>
              <w:spacing w:after="0"/>
              <w:rPr>
                <w:sz w:val="17"/>
                <w:szCs w:val="17"/>
                <w:color w:val="auto"/>
              </w:rPr>
            </w:pPr>
          </w:p>
        </w:tc>
        <w:tc>
          <w:tcPr>
            <w:tcW w:w="12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480" w:type="dxa"/>
            <w:vAlign w:val="bottom"/>
            <w:gridSpan w:val="9"/>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Consolidated Statements of Comprehensive Income</w:t>
              </w:r>
            </w:hyperlink>
          </w:p>
        </w:tc>
        <w:tc>
          <w:tcPr>
            <w:tcW w:w="12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740" w:type="dxa"/>
            <w:vAlign w:val="bottom"/>
            <w:tcBorders>
              <w:top w:val="single" w:sz="8" w:color="0000EE"/>
            </w:tcBorders>
            <w:gridSpan w:val="7"/>
          </w:tcPr>
          <w:p>
            <w:pPr>
              <w:spacing w:after="0" w:line="196" w:lineRule="exact"/>
              <w:rPr>
                <w:rFonts w:ascii="Arial" w:cs="Arial" w:eastAsia="Arial" w:hAnsi="Arial"/>
                <w:sz w:val="18"/>
                <w:szCs w:val="18"/>
                <w:color w:val="0000EE"/>
                <w:w w:val="99"/>
              </w:rPr>
            </w:pPr>
            <w:hyperlink w:anchor="page122">
              <w:r>
                <w:rPr>
                  <w:rFonts w:ascii="Arial" w:cs="Arial" w:eastAsia="Arial" w:hAnsi="Arial"/>
                  <w:sz w:val="18"/>
                  <w:szCs w:val="18"/>
                  <w:color w:val="0000EE"/>
                  <w:w w:val="99"/>
                </w:rPr>
                <w:t>Consolidated Statements of Changes in Equity</w:t>
              </w:r>
            </w:hyperlink>
          </w:p>
        </w:tc>
        <w:tc>
          <w:tcPr>
            <w:tcW w:w="3740" w:type="dxa"/>
            <w:vAlign w:val="bottom"/>
            <w:gridSpan w:val="2"/>
          </w:tcPr>
          <w:p>
            <w:pPr>
              <w:spacing w:after="0"/>
              <w:rPr>
                <w:sz w:val="17"/>
                <w:szCs w:val="17"/>
                <w:color w:val="auto"/>
              </w:rPr>
            </w:pPr>
          </w:p>
        </w:tc>
        <w:tc>
          <w:tcPr>
            <w:tcW w:w="12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Consolidated Statements of Cash Flows</w:t>
              </w:r>
            </w:hyperlink>
          </w:p>
        </w:tc>
        <w:tc>
          <w:tcPr>
            <w:tcW w:w="480" w:type="dxa"/>
            <w:vAlign w:val="bottom"/>
            <w:tcBorders>
              <w:top w:val="single" w:sz="8" w:color="0000EE"/>
            </w:tcBorders>
            <w:gridSpan w:val="2"/>
          </w:tcPr>
          <w:p>
            <w:pPr>
              <w:spacing w:after="0"/>
              <w:rPr>
                <w:sz w:val="17"/>
                <w:szCs w:val="17"/>
                <w:color w:val="auto"/>
              </w:rPr>
            </w:pPr>
          </w:p>
        </w:tc>
        <w:tc>
          <w:tcPr>
            <w:tcW w:w="4120" w:type="dxa"/>
            <w:vAlign w:val="bottom"/>
            <w:gridSpan w:val="4"/>
          </w:tcPr>
          <w:p>
            <w:pPr>
              <w:spacing w:after="0"/>
              <w:rPr>
                <w:sz w:val="17"/>
                <w:szCs w:val="17"/>
                <w:color w:val="auto"/>
              </w:rPr>
            </w:pPr>
          </w:p>
        </w:tc>
        <w:tc>
          <w:tcPr>
            <w:tcW w:w="12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480" w:type="dxa"/>
            <w:vAlign w:val="bottom"/>
            <w:gridSpan w:val="9"/>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Notes to Consolidated Financial Statements</w:t>
              </w:r>
            </w:hyperlink>
          </w:p>
        </w:tc>
        <w:tc>
          <w:tcPr>
            <w:tcW w:w="12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817"/>
        </w:trPr>
        <w:tc>
          <w:tcPr>
            <w:tcW w:w="380" w:type="dxa"/>
            <w:vAlign w:val="bottom"/>
            <w:gridSpan w:val="2"/>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4320" w:type="dxa"/>
            <w:vAlign w:val="bottom"/>
            <w:gridSpan w:val="5"/>
          </w:tcPr>
          <w:p>
            <w:pPr>
              <w:jc w:val="right"/>
              <w:ind w:right="3180"/>
              <w:spacing w:after="0"/>
              <w:rPr>
                <w:sz w:val="20"/>
                <w:szCs w:val="20"/>
                <w:color w:val="auto"/>
              </w:rPr>
            </w:pPr>
            <w:r>
              <w:rPr>
                <w:rFonts w:ascii="Arial" w:cs="Arial" w:eastAsia="Arial" w:hAnsi="Arial"/>
                <w:sz w:val="18"/>
                <w:szCs w:val="18"/>
                <w:color w:val="auto"/>
              </w:rPr>
              <w:t>116</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Tradeweb Markets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audited the accompanying consolidated statements of financial condition of Tradeweb Markets Inc. and subsidiaries (the "Company") as of December 31, 2019 and 2018, the related consolidated statements of income, comprehensive income, changes in equity, and cash flows for the year ended December 31, 2019 and the period from October 1, 2018 to December 31, 2018,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the year ended December 31, 2019 and the period from October 1, 2018 to December 31, 2018,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a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Notes 1 and 3 to the financial statements, on October 1, 2018, a majority interest in King (Cayman) Holdings Ltd., was acquired by BCP York Holdings, a company owned by certain investment funds affiliated with The Blackstone Group Inc. As a result of the application of pushdown accounting, the Company’s financial statements for the Successor Period are not comparable to the Predecessor Periods, which are from January 1, 2018 to September 30, 2018 and for the year ended December 31, 2017.</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discussed in Note 1 to the financial statements, the Company completed a series of reorganization transactions and an initial public offering in April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and Members of Tradeweb Markets LLC (Predecessor):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audited the accompanying consolidated statements of income, of comprehensive income, of changes in equity, and of cash flows of Tradeweb Markets LLC and its Subsidiaries (Predecessor) (the “Company”) for the nine months ended September 30, 2018 and for the year ended December 31, 2017, including the related notes (collectively referred to as the “consolidated financial statements”). In our opinion, the consolidated financial statements present fairly, in all material respects, the results of the Company’s operations and its cash flows for the nine months ended September 30, 2018 and for the year ended December 31, 2017,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December 17, 2018, except for the impact of the amendment to the LLC agreement discussed in Note 2 to the consolidated financial statements, as to which the date is May 20, 2019</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from 2008 to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Financial Condition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79"/>
              </w:rPr>
              <w:t>Successor</w:t>
            </w:r>
          </w:p>
        </w:tc>
      </w:tr>
      <w:tr>
        <w:trPr>
          <w:trHeight w:val="129"/>
        </w:trPr>
        <w:tc>
          <w:tcPr>
            <w:tcW w:w="6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w w:val="83"/>
              </w:rPr>
              <w:t>December 31,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7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2018</w:t>
            </w:r>
          </w:p>
        </w:tc>
      </w:tr>
      <w:tr>
        <w:trPr>
          <w:trHeight w:val="142"/>
        </w:trPr>
        <w:tc>
          <w:tcPr>
            <w:tcW w:w="6760" w:type="dxa"/>
            <w:vAlign w:val="bottom"/>
            <w:shd w:val="clear" w:color="auto" w:fill="CCEEFF"/>
          </w:tcPr>
          <w:p>
            <w:pPr>
              <w:ind w:left="3180"/>
              <w:spacing w:after="0" w:line="142"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460,711</w:t>
            </w:r>
          </w:p>
        </w:tc>
        <w:tc>
          <w:tcPr>
            <w:tcW w:w="22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410,104</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Receivable from brokers and dealers and clearing organizations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30,641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174,591</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with clearing organizations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11,427</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Accounts receivable, net of allowance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92,814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87,192</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Furniture, equipment, purchased software and leasehold improvements, net of accumulated depreciation and amortization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40,405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38,128</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Right-of-use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24,504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 development costs, net of accumulated amortization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173,086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170,582</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2,694,797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2,694,797</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 of accumulated amortization</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1,281,441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1,380,848</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Receivable from affiliates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2,525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3,243</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256,450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7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27,236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25,027</w:t>
            </w:r>
          </w:p>
        </w:tc>
      </w:tr>
      <w:tr>
        <w:trPr>
          <w:trHeight w:val="149"/>
        </w:trPr>
        <w:tc>
          <w:tcPr>
            <w:tcW w:w="676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5,095,334</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4,997,139</w:t>
            </w:r>
          </w:p>
        </w:tc>
      </w:tr>
      <w:tr>
        <w:trPr>
          <w:trHeight w:val="149"/>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6760" w:type="dxa"/>
            <w:vAlign w:val="bottom"/>
            <w:shd w:val="clear" w:color="auto" w:fill="CCEEFF"/>
          </w:tcPr>
          <w:p>
            <w:pPr>
              <w:ind w:left="1780"/>
              <w:spacing w:after="0" w:line="149" w:lineRule="exact"/>
              <w:rPr>
                <w:sz w:val="20"/>
                <w:szCs w:val="20"/>
                <w:color w:val="auto"/>
              </w:rPr>
            </w:pPr>
            <w:r>
              <w:rPr>
                <w:rFonts w:ascii="Arial" w:cs="Arial" w:eastAsia="Arial" w:hAnsi="Arial"/>
                <w:sz w:val="14"/>
                <w:szCs w:val="14"/>
                <w:b w:val="1"/>
                <w:bCs w:val="1"/>
                <w:color w:val="auto"/>
              </w:rPr>
              <w:t>Liabilities and Stockholders' Equity/Members' Capital</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to brokers and dealers and clearing organizations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30,452</w:t>
            </w:r>
          </w:p>
        </w:tc>
        <w:tc>
          <w:tcPr>
            <w:tcW w:w="2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171,214</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Accrued compensation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119,415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120,158</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23,990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27,883</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Accounts payable, accrued expenses and other liabilities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32,834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42,548</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equity compensation payable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24,187</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Lease liability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30,955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to affiliates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5,009</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Deferred tax liability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21,572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19,627</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receivable agreement liability</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240,817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7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502,589</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410,626</w:t>
            </w:r>
          </w:p>
        </w:tc>
      </w:tr>
      <w:tr>
        <w:trPr>
          <w:trHeight w:val="142"/>
        </w:trPr>
        <w:tc>
          <w:tcPr>
            <w:tcW w:w="6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b w:val="1"/>
                <w:bCs w:val="1"/>
                <w:color w:val="auto"/>
              </w:rPr>
              <w:t>Mezzanine Capital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C Shares and Class P(C) Shares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14,179</w:t>
            </w:r>
          </w:p>
        </w:tc>
      </w:tr>
      <w:tr>
        <w:trPr>
          <w:trHeight w:val="149"/>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Equity/Members' Capital</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Members' capital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4,573,200</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$.00001 par value; 250,000,000 shares authorized; none issued or outstanding</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8"/>
        </w:trPr>
        <w:tc>
          <w:tcPr>
            <w:tcW w:w="6760" w:type="dxa"/>
            <w:vAlign w:val="bottom"/>
          </w:tcPr>
          <w:p>
            <w:pPr>
              <w:spacing w:after="0" w:line="138" w:lineRule="exact"/>
              <w:rPr>
                <w:sz w:val="20"/>
                <w:szCs w:val="20"/>
                <w:color w:val="auto"/>
              </w:rPr>
            </w:pPr>
            <w:r>
              <w:rPr>
                <w:rFonts w:ascii="Arial" w:cs="Arial" w:eastAsia="Arial" w:hAnsi="Arial"/>
                <w:sz w:val="14"/>
                <w:szCs w:val="14"/>
                <w:color w:val="auto"/>
                <w:w w:val="95"/>
              </w:rPr>
              <w:t>Class A common stock, $.00001 par value; 1,000,000,000 shares authorized; 66,408,328 shares outstanding as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59"/>
        </w:trPr>
        <w:tc>
          <w:tcPr>
            <w:tcW w:w="6760" w:type="dxa"/>
            <w:vAlign w:val="bottom"/>
          </w:tcPr>
          <w:p>
            <w:pPr>
              <w:spacing w:after="0" w:line="159" w:lineRule="exact"/>
              <w:rPr>
                <w:sz w:val="20"/>
                <w:szCs w:val="20"/>
                <w:color w:val="auto"/>
              </w:rPr>
            </w:pPr>
            <w:r>
              <w:rPr>
                <w:rFonts w:ascii="Arial" w:cs="Arial" w:eastAsia="Arial" w:hAnsi="Arial"/>
                <w:sz w:val="14"/>
                <w:szCs w:val="14"/>
                <w:color w:val="auto"/>
              </w:rPr>
              <w:t>December 31, 2019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38"/>
        </w:trPr>
        <w:tc>
          <w:tcPr>
            <w:tcW w:w="6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Class B common stock, $.00001 par value; 450,000,000 shares authorized; 96,933,192 shares outstanding as of December</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59"/>
        </w:trPr>
        <w:tc>
          <w:tcPr>
            <w:tcW w:w="6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31, 2019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r>
      <w:tr>
        <w:trPr>
          <w:trHeight w:val="138"/>
        </w:trPr>
        <w:tc>
          <w:tcPr>
            <w:tcW w:w="6760" w:type="dxa"/>
            <w:vAlign w:val="bottom"/>
          </w:tcPr>
          <w:p>
            <w:pPr>
              <w:spacing w:after="0" w:line="138" w:lineRule="exact"/>
              <w:rPr>
                <w:sz w:val="20"/>
                <w:szCs w:val="20"/>
                <w:color w:val="auto"/>
              </w:rPr>
            </w:pPr>
            <w:r>
              <w:rPr>
                <w:rFonts w:ascii="Arial" w:cs="Arial" w:eastAsia="Arial" w:hAnsi="Arial"/>
                <w:sz w:val="14"/>
                <w:szCs w:val="14"/>
                <w:color w:val="auto"/>
                <w:w w:val="88"/>
              </w:rPr>
              <w:t>Class C common stock, $.00001 par value; 350,000,000 shares authorized; 8,328,983 shares outstanding as of December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59"/>
        </w:trPr>
        <w:tc>
          <w:tcPr>
            <w:tcW w:w="6760" w:type="dxa"/>
            <w:vAlign w:val="bottom"/>
          </w:tcPr>
          <w:p>
            <w:pPr>
              <w:spacing w:after="0" w:line="159" w:lineRule="exact"/>
              <w:rPr>
                <w:sz w:val="20"/>
                <w:szCs w:val="20"/>
                <w:color w:val="auto"/>
              </w:rPr>
            </w:pPr>
            <w:r>
              <w:rPr>
                <w:rFonts w:ascii="Arial" w:cs="Arial" w:eastAsia="Arial" w:hAnsi="Arial"/>
                <w:sz w:val="14"/>
                <w:szCs w:val="14"/>
                <w:color w:val="auto"/>
              </w:rPr>
              <w:t>31, 2019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38"/>
        </w:trPr>
        <w:tc>
          <w:tcPr>
            <w:tcW w:w="6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7"/>
              </w:rPr>
              <w:t>Class D common stock, $.00001 par value; 300,000,000 shares authorized; 50,853,172 shares outstanding as of December</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59"/>
        </w:trPr>
        <w:tc>
          <w:tcPr>
            <w:tcW w:w="6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31, 2019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3,329,386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r>
      <w:tr>
        <w:trPr>
          <w:trHeight w:val="149"/>
        </w:trPr>
        <w:tc>
          <w:tcPr>
            <w:tcW w:w="67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47,833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7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stockholders' equity attributable to Tradeweb Markets Inc./members' capital</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3,378,588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4,572,334</w:t>
            </w:r>
          </w:p>
        </w:tc>
      </w:tr>
      <w:tr>
        <w:trPr>
          <w:trHeight w:val="149"/>
        </w:trPr>
        <w:tc>
          <w:tcPr>
            <w:tcW w:w="67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1,214,157</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7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Total equity</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4,592,745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4,572,334</w:t>
            </w:r>
          </w:p>
        </w:tc>
      </w:tr>
      <w:tr>
        <w:trPr>
          <w:trHeight w:val="149"/>
        </w:trPr>
        <w:tc>
          <w:tcPr>
            <w:tcW w:w="6760" w:type="dxa"/>
            <w:vAlign w:val="bottom"/>
          </w:tcPr>
          <w:p>
            <w:pPr>
              <w:spacing w:after="0" w:line="142" w:lineRule="exact"/>
              <w:rPr>
                <w:sz w:val="20"/>
                <w:szCs w:val="20"/>
                <w:color w:val="auto"/>
              </w:rPr>
            </w:pPr>
            <w:r>
              <w:rPr>
                <w:rFonts w:ascii="Arial" w:cs="Arial" w:eastAsia="Arial" w:hAnsi="Arial"/>
                <w:sz w:val="14"/>
                <w:szCs w:val="14"/>
                <w:b w:val="1"/>
                <w:bCs w:val="1"/>
                <w:color w:val="auto"/>
              </w:rPr>
              <w:t>Total liabilities and stockholders' equity/members' capital</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5,095,334</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4,997,139</w:t>
            </w:r>
          </w:p>
        </w:tc>
      </w:tr>
    </w:tbl>
    <w:p>
      <w:pPr>
        <w:spacing w:after="0" w:line="200" w:lineRule="exact"/>
        <w:rPr>
          <w:sz w:val="20"/>
          <w:szCs w:val="20"/>
          <w:color w:val="auto"/>
        </w:rPr>
      </w:pP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4"/>
              </w:rPr>
              <w:t>Successor</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5"/>
              </w:rPr>
              <w:t>Predecessor</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5"/>
              </w:rPr>
              <w:t>Predecessor</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rPr>
              <w:t>Year Ended</w:t>
            </w:r>
          </w:p>
        </w:tc>
        <w:tc>
          <w:tcPr>
            <w:tcW w:w="320" w:type="dxa"/>
            <w:vAlign w:val="bottom"/>
          </w:tcPr>
          <w:p>
            <w:pPr>
              <w:spacing w:after="0"/>
              <w:rPr>
                <w:sz w:val="10"/>
                <w:szCs w:val="10"/>
                <w:color w:val="auto"/>
              </w:rPr>
            </w:pPr>
          </w:p>
        </w:tc>
        <w:tc>
          <w:tcPr>
            <w:tcW w:w="11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October 1, 2018 to</w:t>
            </w:r>
          </w:p>
        </w:tc>
        <w:tc>
          <w:tcPr>
            <w:tcW w:w="2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January 1, 2018 to</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rPr>
              <w:t>Year Ended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Transaction fees</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423,583</w:t>
            </w:r>
          </w:p>
        </w:tc>
        <w:tc>
          <w:tcPr>
            <w:tcW w:w="3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97,130</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273,751</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267,020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Subscription fees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138,731</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33,052</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107,130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144,409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Commissions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149,365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32,840</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79,830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96,745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Refinitiv market data fees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55,635</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13,467</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36,851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50,125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Borders>
              <w:bottom w:val="single" w:sz="8" w:color="CCEEFF"/>
            </w:tcBorders>
            <w:gridSpan w:val="3"/>
          </w:tcPr>
          <w:p>
            <w:pPr>
              <w:ind w:left="120"/>
              <w:spacing w:after="0" w:line="149" w:lineRule="exact"/>
              <w:rPr>
                <w:sz w:val="20"/>
                <w:szCs w:val="20"/>
                <w:color w:val="auto"/>
              </w:rPr>
            </w:pPr>
            <w:r>
              <w:rPr>
                <w:rFonts w:ascii="Arial" w:cs="Arial" w:eastAsia="Arial" w:hAnsi="Arial"/>
                <w:sz w:val="14"/>
                <w:szCs w:val="14"/>
                <w:color w:val="auto"/>
              </w:rPr>
              <w:t>Other</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8,252</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2,148</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8,209</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4,669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gridSpan w:val="3"/>
            <w:shd w:val="clear" w:color="auto" w:fill="CCEEFF"/>
          </w:tcPr>
          <w:p>
            <w:pPr>
              <w:ind w:left="220"/>
              <w:spacing w:after="0" w:line="142" w:lineRule="exact"/>
              <w:rPr>
                <w:sz w:val="20"/>
                <w:szCs w:val="20"/>
                <w:color w:val="auto"/>
              </w:rPr>
            </w:pPr>
            <w:r>
              <w:rPr>
                <w:rFonts w:ascii="Arial" w:cs="Arial" w:eastAsia="Arial" w:hAnsi="Arial"/>
                <w:sz w:val="14"/>
                <w:szCs w:val="14"/>
                <w:b w:val="1"/>
                <w:bCs w:val="1"/>
                <w:color w:val="auto"/>
              </w:rPr>
              <w:t>Gross revenue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775,566</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178,637</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505,771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562,968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Contingent consideration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(26,830)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(58,520)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revenue</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775,566</w:t>
            </w:r>
          </w:p>
        </w:tc>
        <w:tc>
          <w:tcPr>
            <w:tcW w:w="32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178,637</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righ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478,941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504,448</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Employee compensation and benefits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329,457</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80,436</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209,053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248,963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139,330</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33,020</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48,808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68,615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Technology and communications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39,285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9,907</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26,598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30,013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34,960</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11,837</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23,056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Professional fees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28,029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8,194</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20,360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19,351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Occupancy</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14,686</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3,308</w:t>
            </w:r>
          </w:p>
        </w:tc>
        <w:tc>
          <w:tcPr>
            <w:tcW w:w="2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10,732</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14,441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tcBorders>
              <w:bottom w:val="single" w:sz="8" w:color="CCEEFF"/>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Total expenses</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585,747</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146,702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338,607</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415,356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189,819</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31,935</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140,334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89,092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 xml:space="preserve">Tax receivable agreement liability adjustment </w:t>
            </w:r>
            <w:r>
              <w:rPr>
                <w:rFonts w:ascii="Arial" w:cs="Arial" w:eastAsia="Arial" w:hAnsi="Arial"/>
                <w:sz w:val="14"/>
                <w:szCs w:val="14"/>
                <w:color w:val="auto"/>
                <w:vertAlign w:val="superscript"/>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33,134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interest income</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2,373</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787</w:t>
            </w:r>
          </w:p>
        </w:tc>
        <w:tc>
          <w:tcPr>
            <w:tcW w:w="2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1,726</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Income before taxes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225,326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32,722</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142,060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89,777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(52,302)</w:t>
            </w: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(3,415)</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rPr>
              <w:t>173,024</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29,307</w:t>
            </w:r>
          </w:p>
        </w:tc>
        <w:tc>
          <w:tcPr>
            <w:tcW w:w="2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130,160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83,648</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260" w:type="dxa"/>
            <w:vAlign w:val="bottom"/>
            <w:gridSpan w:val="3"/>
            <w:shd w:val="clear" w:color="auto" w:fill="CCEEFF"/>
          </w:tcPr>
          <w:p>
            <w:pPr>
              <w:spacing w:after="0" w:line="116" w:lineRule="exact"/>
              <w:rPr>
                <w:sz w:val="20"/>
                <w:szCs w:val="20"/>
                <w:color w:val="auto"/>
              </w:rPr>
            </w:pPr>
            <w:r>
              <w:rPr>
                <w:rFonts w:ascii="Arial" w:cs="Arial" w:eastAsia="Arial" w:hAnsi="Arial"/>
                <w:sz w:val="13"/>
                <w:szCs w:val="13"/>
                <w:color w:val="auto"/>
              </w:rPr>
              <w:t>Less: Pre-IPO net income attributable to Tradeweb</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Markets LLC</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42,352</w:t>
            </w:r>
          </w:p>
        </w:tc>
        <w:tc>
          <w:tcPr>
            <w:tcW w:w="3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260" w:type="dxa"/>
            <w:vAlign w:val="bottom"/>
            <w:gridSpan w:val="3"/>
          </w:tcPr>
          <w:p>
            <w:pPr>
              <w:spacing w:after="0" w:line="110" w:lineRule="exact"/>
              <w:rPr>
                <w:sz w:val="20"/>
                <w:szCs w:val="20"/>
                <w:color w:val="auto"/>
              </w:rPr>
            </w:pPr>
            <w:r>
              <w:rPr>
                <w:rFonts w:ascii="Arial" w:cs="Arial" w:eastAsia="Arial" w:hAnsi="Arial"/>
                <w:sz w:val="12"/>
                <w:szCs w:val="12"/>
                <w:color w:val="auto"/>
              </w:rPr>
              <w:t>Net income attributable to Tradeweb Markets Inc. and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260" w:type="dxa"/>
            <w:vAlign w:val="bottom"/>
            <w:gridSpan w:val="3"/>
          </w:tcPr>
          <w:p>
            <w:pPr>
              <w:spacing w:after="0"/>
              <w:rPr>
                <w:sz w:val="20"/>
                <w:szCs w:val="20"/>
                <w:color w:val="auto"/>
              </w:rPr>
            </w:pPr>
            <w:r>
              <w:rPr>
                <w:rFonts w:ascii="Arial" w:cs="Arial" w:eastAsia="Arial" w:hAnsi="Arial"/>
                <w:sz w:val="14"/>
                <w:szCs w:val="14"/>
                <w:color w:val="auto"/>
              </w:rPr>
              <w:t>non-controlling interests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130,672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Less: Net income attributable to non-controlling</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interests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46,903</w:t>
            </w:r>
          </w:p>
        </w:tc>
        <w:tc>
          <w:tcPr>
            <w:tcW w:w="3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w w:val="99"/>
              </w:rPr>
              <w:t>Net income attributable to Tradeweb Markets Inc.</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83,769</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EPS calculations for pre-IPO and post-IPO</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 xml:space="preserve">periods </w:t>
            </w:r>
            <w:r>
              <w:rPr>
                <w:rFonts w:ascii="Arial" w:cs="Arial" w:eastAsia="Arial" w:hAnsi="Arial"/>
                <w:sz w:val="14"/>
                <w:szCs w:val="14"/>
                <w:b w:val="1"/>
                <w:bCs w:val="1"/>
                <w:color w:val="auto"/>
                <w:vertAlign w:val="superscript"/>
              </w:rPr>
              <w:t>(2)</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Earnings per share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gridSpan w:val="3"/>
          </w:tcPr>
          <w:p>
            <w:pPr>
              <w:ind w:left="120"/>
              <w:spacing w:after="0" w:line="135"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8"/>
              <w:spacing w:after="0" w:line="135" w:lineRule="exact"/>
              <w:rPr>
                <w:sz w:val="20"/>
                <w:szCs w:val="20"/>
                <w:color w:val="auto"/>
              </w:rPr>
            </w:pPr>
            <w:r>
              <w:rPr>
                <w:rFonts w:ascii="Arial" w:cs="Arial" w:eastAsia="Arial" w:hAnsi="Arial"/>
                <w:sz w:val="14"/>
                <w:szCs w:val="14"/>
                <w:color w:val="auto"/>
              </w:rPr>
              <w:t>0.19</w:t>
            </w:r>
          </w:p>
        </w:tc>
        <w:tc>
          <w:tcPr>
            <w:tcW w:w="320" w:type="dxa"/>
            <w:vAlign w:val="bottom"/>
          </w:tcPr>
          <w:p>
            <w:pPr>
              <w:spacing w:after="0" w:line="135" w:lineRule="exact"/>
              <w:rPr>
                <w:sz w:val="20"/>
                <w:szCs w:val="20"/>
                <w:color w:val="auto"/>
              </w:rPr>
            </w:pPr>
            <w:r>
              <w:rPr>
                <w:rFonts w:ascii="Arial" w:cs="Arial" w:eastAsia="Arial" w:hAnsi="Arial"/>
                <w:sz w:val="14"/>
                <w:szCs w:val="14"/>
                <w:color w:val="auto"/>
              </w:rPr>
              <w:t>(a) /</w:t>
            </w:r>
          </w:p>
        </w:tc>
        <w:tc>
          <w:tcPr>
            <w:tcW w:w="100" w:type="dxa"/>
            <w:vAlign w:val="bottom"/>
          </w:tcPr>
          <w:p>
            <w:pPr>
              <w:spacing w:after="0"/>
              <w:rPr>
                <w:sz w:val="11"/>
                <w:szCs w:val="11"/>
                <w:color w:val="auto"/>
              </w:rPr>
            </w:pP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0.13 (a)</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4"/>
                <w:szCs w:val="14"/>
                <w:color w:val="auto"/>
                <w:w w:val="97"/>
              </w:rPr>
              <w:t>(a) $</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0.57</w:t>
            </w:r>
          </w:p>
        </w:tc>
        <w:tc>
          <w:tcPr>
            <w:tcW w:w="320" w:type="dxa"/>
            <w:vAlign w:val="bottom"/>
          </w:tcPr>
          <w:p>
            <w:pPr>
              <w:spacing w:after="0"/>
              <w:rPr>
                <w:sz w:val="20"/>
                <w:szCs w:val="20"/>
                <w:color w:val="auto"/>
              </w:rPr>
            </w:pPr>
            <w:r>
              <w:rPr>
                <w:rFonts w:ascii="Arial" w:cs="Arial" w:eastAsia="Arial" w:hAnsi="Arial"/>
                <w:sz w:val="14"/>
                <w:szCs w:val="14"/>
                <w:color w:val="auto"/>
              </w:rPr>
              <w:t>(b)</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0.60</w:t>
            </w:r>
          </w:p>
        </w:tc>
        <w:tc>
          <w:tcPr>
            <w:tcW w:w="320" w:type="dxa"/>
            <w:vAlign w:val="bottom"/>
            <w:gridSpan w:val="2"/>
            <w:vMerge w:val="continue"/>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0.39</w:t>
            </w:r>
          </w:p>
        </w:tc>
        <w:tc>
          <w:tcPr>
            <w:tcW w:w="220" w:type="dxa"/>
            <w:vAlign w:val="bottom"/>
          </w:tcPr>
          <w:p>
            <w:pP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
        </w:trPr>
        <w:tc>
          <w:tcPr>
            <w:tcW w:w="326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(a) /</w:t>
            </w: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60" w:type="dxa"/>
            <w:vAlign w:val="bottom"/>
            <w:gridSpan w:val="3"/>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0.19</w:t>
            </w:r>
          </w:p>
        </w:tc>
        <w:tc>
          <w:tcPr>
            <w:tcW w:w="32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0.13 (a)</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tcBorders>
              <w:right w:val="single" w:sz="8" w:color="CCEEFF"/>
            </w:tcBorders>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w w:val="97"/>
              </w:rPr>
              <w:t>(a) $</w:t>
            </w: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6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(b)</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0.60</w:t>
            </w:r>
          </w:p>
        </w:tc>
        <w:tc>
          <w:tcPr>
            <w:tcW w:w="320" w:type="dxa"/>
            <w:vAlign w:val="bottom"/>
            <w:gridSpan w:val="2"/>
            <w:vMerge w:val="continue"/>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36"/>
        </w:trPr>
        <w:tc>
          <w:tcPr>
            <w:tcW w:w="3260" w:type="dxa"/>
            <w:vAlign w:val="bottom"/>
            <w:tcBorders>
              <w:top w:val="single" w:sz="8" w:color="CCEEFF"/>
            </w:tcBorders>
            <w:gridSpan w:val="3"/>
          </w:tcPr>
          <w:p>
            <w:pPr>
              <w:spacing w:after="0" w:line="136" w:lineRule="exact"/>
              <w:rPr>
                <w:sz w:val="20"/>
                <w:szCs w:val="20"/>
                <w:color w:val="auto"/>
              </w:rPr>
            </w:pPr>
            <w:r>
              <w:rPr>
                <w:rFonts w:ascii="Arial" w:cs="Arial" w:eastAsia="Arial" w:hAnsi="Arial"/>
                <w:sz w:val="14"/>
                <w:szCs w:val="14"/>
                <w:color w:val="auto"/>
              </w:rPr>
              <w:t>Weighted average shares outstanding</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Basic</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222,222,197</w:t>
            </w:r>
          </w:p>
        </w:tc>
        <w:tc>
          <w:tcPr>
            <w:tcW w:w="32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color w:val="auto"/>
              </w:rPr>
              <w:t>(a) /</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148,013,274</w:t>
            </w: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(b)</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222,221,628 (a)</w:t>
            </w: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215,365,920</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215,568,635</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30"/>
        </w:trPr>
        <w:tc>
          <w:tcPr>
            <w:tcW w:w="3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line="130" w:lineRule="exact"/>
              <w:rPr>
                <w:sz w:val="20"/>
                <w:szCs w:val="20"/>
                <w:color w:val="auto"/>
              </w:rPr>
            </w:pPr>
            <w:r>
              <w:rPr>
                <w:rFonts w:ascii="Arial" w:cs="Arial" w:eastAsia="Arial" w:hAnsi="Arial"/>
                <w:sz w:val="14"/>
                <w:szCs w:val="14"/>
                <w:color w:val="auto"/>
              </w:rPr>
              <w:t>223,320,457</w:t>
            </w:r>
          </w:p>
        </w:tc>
        <w:tc>
          <w:tcPr>
            <w:tcW w:w="320" w:type="dxa"/>
            <w:vAlign w:val="bottom"/>
          </w:tcPr>
          <w:p>
            <w:pPr>
              <w:spacing w:after="0" w:line="130" w:lineRule="exact"/>
              <w:rPr>
                <w:sz w:val="20"/>
                <w:szCs w:val="20"/>
                <w:color w:val="auto"/>
              </w:rPr>
            </w:pPr>
            <w:r>
              <w:rPr>
                <w:rFonts w:ascii="Arial" w:cs="Arial" w:eastAsia="Arial" w:hAnsi="Arial"/>
                <w:sz w:val="14"/>
                <w:szCs w:val="14"/>
                <w:color w:val="auto"/>
              </w:rPr>
              <w:t>(a) /</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156,540,246</w:t>
            </w:r>
          </w:p>
        </w:tc>
        <w:tc>
          <w:tcPr>
            <w:tcW w:w="320" w:type="dxa"/>
            <w:vAlign w:val="bottom"/>
          </w:tcPr>
          <w:p>
            <w:pPr>
              <w:spacing w:after="0"/>
              <w:rPr>
                <w:sz w:val="20"/>
                <w:szCs w:val="20"/>
                <w:color w:val="auto"/>
              </w:rPr>
            </w:pPr>
            <w:r>
              <w:rPr>
                <w:rFonts w:ascii="Arial" w:cs="Arial" w:eastAsia="Arial" w:hAnsi="Arial"/>
                <w:sz w:val="14"/>
                <w:szCs w:val="14"/>
                <w:color w:val="auto"/>
              </w:rPr>
              <w:t>(b)</w:t>
            </w:r>
          </w:p>
        </w:tc>
        <w:tc>
          <w:tcPr>
            <w:tcW w:w="10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222,243,851 (a)</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215,365,920</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(a)</w:t>
            </w:r>
          </w:p>
        </w:tc>
        <w:tc>
          <w:tcPr>
            <w:tcW w:w="1020" w:type="dxa"/>
            <w:vAlign w:val="bottom"/>
          </w:tcPr>
          <w:p>
            <w:pPr>
              <w:jc w:val="right"/>
              <w:spacing w:after="0"/>
              <w:rPr>
                <w:sz w:val="20"/>
                <w:szCs w:val="20"/>
                <w:color w:val="auto"/>
              </w:rPr>
            </w:pPr>
            <w:r>
              <w:rPr>
                <w:rFonts w:ascii="Arial" w:cs="Arial" w:eastAsia="Arial" w:hAnsi="Arial"/>
                <w:sz w:val="14"/>
                <w:szCs w:val="14"/>
                <w:color w:val="auto"/>
              </w:rPr>
              <w:t>215,568,635</w:t>
            </w:r>
          </w:p>
        </w:tc>
        <w:tc>
          <w:tcPr>
            <w:tcW w:w="220" w:type="dxa"/>
            <w:vAlign w:val="bottom"/>
          </w:tcPr>
          <w:p>
            <w:pP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0" w:hanging="316"/>
        <w:spacing w:after="0"/>
        <w:tabs>
          <w:tab w:leader="none" w:pos="4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See Note 10 – Tax Receivable Agreement.</w:t>
      </w:r>
    </w:p>
    <w:p>
      <w:pPr>
        <w:ind w:left="400" w:right="40" w:hanging="316"/>
        <w:spacing w:after="0" w:line="216" w:lineRule="auto"/>
        <w:tabs>
          <w:tab w:leader="none" w:pos="4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 See Note 18 – Earnings Per Share for additional information.</w:t>
      </w:r>
    </w:p>
    <w:p>
      <w:pPr>
        <w:spacing w:after="0" w:line="2" w:lineRule="exact"/>
        <w:rPr>
          <w:rFonts w:ascii="Arial" w:cs="Arial" w:eastAsia="Arial" w:hAnsi="Arial"/>
          <w:sz w:val="13"/>
          <w:szCs w:val="13"/>
          <w:color w:val="auto"/>
        </w:rPr>
      </w:pPr>
    </w:p>
    <w:p>
      <w:pPr>
        <w:ind w:left="1060" w:hanging="328"/>
        <w:spacing w:after="0" w:line="216" w:lineRule="auto"/>
        <w:tabs>
          <w:tab w:leader="none" w:pos="1060" w:val="left"/>
        </w:tabs>
        <w:numPr>
          <w:ilvl w:val="1"/>
          <w:numId w:val="69"/>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ind w:left="1060" w:hanging="328"/>
        <w:spacing w:after="0"/>
        <w:tabs>
          <w:tab w:leader="none" w:pos="1060" w:val="left"/>
        </w:tabs>
        <w:numPr>
          <w:ilvl w:val="1"/>
          <w:numId w:val="69"/>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Statements of Comprehensive Income</w:t>
      </w: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5"/>
              </w:rPr>
              <w:t>Predecessor</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rPr>
              <w:t>Year Ended</w:t>
            </w:r>
          </w:p>
        </w:tc>
        <w:tc>
          <w:tcPr>
            <w:tcW w:w="80" w:type="dxa"/>
            <w:vAlign w:val="bottom"/>
          </w:tcPr>
          <w:p>
            <w:pPr>
              <w:spacing w:after="0"/>
              <w:rPr>
                <w:sz w:val="10"/>
                <w:szCs w:val="10"/>
                <w:color w:val="auto"/>
              </w:rPr>
            </w:pPr>
          </w:p>
        </w:tc>
        <w:tc>
          <w:tcPr>
            <w:tcW w:w="12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October 1, 2018 to</w:t>
            </w:r>
          </w:p>
        </w:tc>
        <w:tc>
          <w:tcPr>
            <w:tcW w:w="100" w:type="dxa"/>
            <w:vAlign w:val="bottom"/>
            <w:tcBorders>
              <w:left w:val="single" w:sz="8" w:color="auto"/>
            </w:tcBorders>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January 1, 2018 to</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4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Comprehensive income - Pre-IPO attributable to Tradeweb Markets</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LLC</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line="142" w:lineRule="exact"/>
              <w:rPr>
                <w:sz w:val="20"/>
                <w:szCs w:val="20"/>
                <w:color w:val="auto"/>
              </w:rPr>
            </w:pPr>
            <w:r>
              <w:rPr>
                <w:rFonts w:ascii="Arial" w:cs="Arial" w:eastAsia="Arial" w:hAnsi="Arial"/>
                <w:sz w:val="14"/>
                <w:szCs w:val="14"/>
                <w:color w:val="auto"/>
              </w:rPr>
              <w:t>Pre-IPO net income attributable to Tradeweb Markets LLC</w:t>
            </w:r>
          </w:p>
        </w:tc>
        <w:tc>
          <w:tcPr>
            <w:tcW w:w="220" w:type="dxa"/>
            <w:vAlign w:val="bottom"/>
            <w:gridSpan w:val="2"/>
          </w:tcPr>
          <w:p>
            <w:pPr>
              <w:ind w:left="140"/>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42,352</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line="142" w:lineRule="exact"/>
              <w:rPr>
                <w:sz w:val="20"/>
                <w:szCs w:val="20"/>
                <w:color w:val="auto"/>
              </w:rPr>
            </w:pPr>
            <w:r>
              <w:rPr>
                <w:rFonts w:ascii="Arial" w:cs="Arial" w:eastAsia="Arial" w:hAnsi="Arial"/>
                <w:sz w:val="14"/>
                <w:szCs w:val="14"/>
                <w:color w:val="auto"/>
              </w:rPr>
              <w:t>29,307</w:t>
            </w:r>
          </w:p>
        </w:tc>
        <w:tc>
          <w:tcPr>
            <w:tcW w:w="200" w:type="dxa"/>
            <w:vAlign w:val="bottom"/>
            <w:tcBorders>
              <w:lef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130,160</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83,648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40" w:type="dxa"/>
            <w:vAlign w:val="bottom"/>
          </w:tcPr>
          <w:p>
            <w:pPr>
              <w:ind w:left="100"/>
              <w:spacing w:after="0" w:line="130" w:lineRule="exact"/>
              <w:rPr>
                <w:sz w:val="20"/>
                <w:szCs w:val="20"/>
                <w:color w:val="auto"/>
              </w:rPr>
            </w:pPr>
            <w:r>
              <w:rPr>
                <w:rFonts w:ascii="Arial" w:cs="Arial" w:eastAsia="Arial" w:hAnsi="Arial"/>
                <w:sz w:val="14"/>
                <w:szCs w:val="14"/>
                <w:color w:val="auto"/>
                <w:w w:val="93"/>
              </w:rPr>
              <w:t>Foreign currency translation adjustments attributable to Tradeweb Markets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LLC</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(3,064)</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Pre-IPO comprehensive income attributable to Tradeweb Markets LLC</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43,340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28,441</w:t>
            </w:r>
          </w:p>
        </w:tc>
        <w:tc>
          <w:tcPr>
            <w:tcW w:w="100" w:type="dxa"/>
            <w:vAlign w:val="bottom"/>
            <w:tcBorders>
              <w:left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127,096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86,533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Comprehensive income - Tradeweb Markets Inc.</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line="142" w:lineRule="exact"/>
              <w:rPr>
                <w:sz w:val="20"/>
                <w:szCs w:val="20"/>
                <w:color w:val="auto"/>
              </w:rPr>
            </w:pPr>
            <w:r>
              <w:rPr>
                <w:rFonts w:ascii="Arial" w:cs="Arial" w:eastAsia="Arial" w:hAnsi="Arial"/>
                <w:sz w:val="14"/>
                <w:szCs w:val="14"/>
                <w:color w:val="auto"/>
              </w:rPr>
              <w:t>Net income attributable to Tradeweb Markets Inc.</w:t>
            </w:r>
          </w:p>
        </w:tc>
        <w:tc>
          <w:tcPr>
            <w:tcW w:w="220" w:type="dxa"/>
            <w:vAlign w:val="bottom"/>
            <w:gridSpan w:val="2"/>
          </w:tcPr>
          <w:p>
            <w:pPr>
              <w:ind w:left="140"/>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83,769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40" w:type="dxa"/>
            <w:vAlign w:val="bottom"/>
          </w:tcPr>
          <w:p>
            <w:pPr>
              <w:ind w:left="100"/>
              <w:spacing w:after="0" w:line="130" w:lineRule="exact"/>
              <w:rPr>
                <w:sz w:val="20"/>
                <w:szCs w:val="20"/>
                <w:color w:val="auto"/>
              </w:rPr>
            </w:pPr>
            <w:r>
              <w:rPr>
                <w:rFonts w:ascii="Arial" w:cs="Arial" w:eastAsia="Arial" w:hAnsi="Arial"/>
                <w:sz w:val="14"/>
                <w:szCs w:val="14"/>
                <w:color w:val="auto"/>
                <w:w w:val="93"/>
              </w:rPr>
              <w:t>Foreign currency translation adjustments attributable to Tradeweb Markets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Inc.</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Comprehensive income attributable to Tradeweb Markets Inc.</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85,210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left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Comprehensive income - Non-controlling interests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line="142" w:lineRule="exact"/>
              <w:rPr>
                <w:sz w:val="20"/>
                <w:szCs w:val="20"/>
                <w:color w:val="auto"/>
              </w:rPr>
            </w:pPr>
            <w:r>
              <w:rPr>
                <w:rFonts w:ascii="Arial" w:cs="Arial" w:eastAsia="Arial" w:hAnsi="Arial"/>
                <w:sz w:val="14"/>
                <w:szCs w:val="14"/>
                <w:color w:val="auto"/>
              </w:rPr>
              <w:t>Net income attributable to non-controlling interests</w:t>
            </w:r>
          </w:p>
        </w:tc>
        <w:tc>
          <w:tcPr>
            <w:tcW w:w="220" w:type="dxa"/>
            <w:vAlign w:val="bottom"/>
            <w:gridSpan w:val="2"/>
          </w:tcPr>
          <w:p>
            <w:pPr>
              <w:ind w:left="140"/>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46,903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40" w:type="dxa"/>
            <w:vAlign w:val="bottom"/>
          </w:tcPr>
          <w:p>
            <w:pPr>
              <w:ind w:left="100"/>
              <w:spacing w:after="0" w:line="130" w:lineRule="exact"/>
              <w:rPr>
                <w:sz w:val="20"/>
                <w:szCs w:val="20"/>
                <w:color w:val="auto"/>
              </w:rPr>
            </w:pPr>
            <w:r>
              <w:rPr>
                <w:rFonts w:ascii="Arial" w:cs="Arial" w:eastAsia="Arial" w:hAnsi="Arial"/>
                <w:sz w:val="14"/>
                <w:szCs w:val="14"/>
                <w:color w:val="auto"/>
                <w:w w:val="98"/>
              </w:rPr>
              <w:t>Foreign currency translation adjustments attributable to non-controlling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interests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Comprehensive income attributable to non-controlling interests</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47,201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left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Equity</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6"/>
              </w:rPr>
              <w:t>Accumulated</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6"/>
              </w:rPr>
              <w:t>Additional</w:t>
            </w:r>
          </w:p>
        </w:tc>
        <w:tc>
          <w:tcPr>
            <w:tcW w:w="14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Non-</w:t>
            </w:r>
          </w:p>
        </w:tc>
        <w:tc>
          <w:tcPr>
            <w:tcW w:w="100" w:type="dxa"/>
            <w:vAlign w:val="bottom"/>
          </w:tcPr>
          <w:p>
            <w:pPr>
              <w:spacing w:after="0"/>
              <w:rPr>
                <w:sz w:val="10"/>
                <w:szCs w:val="10"/>
                <w:color w:val="auto"/>
              </w:rPr>
            </w:pPr>
          </w:p>
        </w:tc>
        <w:tc>
          <w:tcPr>
            <w:tcW w:w="54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Members'</w:t>
            </w:r>
          </w:p>
        </w:tc>
        <w:tc>
          <w:tcPr>
            <w:tcW w:w="112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Class A</w:t>
            </w:r>
          </w:p>
        </w:tc>
        <w:tc>
          <w:tcPr>
            <w:tcW w:w="11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4"/>
              </w:rPr>
              <w:t>Class B</w:t>
            </w:r>
          </w:p>
        </w:tc>
        <w:tc>
          <w:tcPr>
            <w:tcW w:w="110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Class C</w:t>
            </w:r>
          </w:p>
        </w:tc>
        <w:tc>
          <w:tcPr>
            <w:tcW w:w="900" w:type="dxa"/>
            <w:vAlign w:val="bottom"/>
            <w:gridSpan w:val="3"/>
          </w:tcPr>
          <w:p>
            <w:pPr>
              <w:jc w:val="center"/>
              <w:ind w:left="108"/>
              <w:spacing w:after="0" w:line="122" w:lineRule="exact"/>
              <w:rPr>
                <w:sz w:val="20"/>
                <w:szCs w:val="20"/>
                <w:color w:val="auto"/>
              </w:rPr>
            </w:pPr>
            <w:r>
              <w:rPr>
                <w:rFonts w:ascii="Arial" w:cs="Arial" w:eastAsia="Arial" w:hAnsi="Arial"/>
                <w:sz w:val="11"/>
                <w:szCs w:val="11"/>
                <w:b w:val="1"/>
                <w:bCs w:val="1"/>
                <w:color w:val="auto"/>
                <w:w w:val="84"/>
              </w:rPr>
              <w:t>Class 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w w:val="98"/>
              </w:rPr>
              <w:t>Paid-In</w:t>
            </w:r>
          </w:p>
        </w:tc>
        <w:tc>
          <w:tcPr>
            <w:tcW w:w="8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5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Retained</w:t>
            </w:r>
          </w:p>
        </w:tc>
        <w:tc>
          <w:tcPr>
            <w:tcW w:w="6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Controlling</w:t>
            </w:r>
          </w:p>
        </w:tc>
        <w:tc>
          <w:tcPr>
            <w:tcW w:w="6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35"/>
        </w:trPr>
        <w:tc>
          <w:tcPr>
            <w:tcW w:w="12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Successor</w:t>
            </w:r>
          </w:p>
        </w:tc>
        <w:tc>
          <w:tcPr>
            <w:tcW w:w="80" w:type="dxa"/>
            <w:vAlign w:val="bottom"/>
          </w:tcPr>
          <w:p>
            <w:pPr>
              <w:spacing w:after="0"/>
              <w:rPr>
                <w:sz w:val="11"/>
                <w:szCs w:val="11"/>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112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6"/>
              </w:rPr>
              <w:t>Common Stock</w:t>
            </w:r>
          </w:p>
        </w:tc>
        <w:tc>
          <w:tcPr>
            <w:tcW w:w="11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6"/>
              </w:rPr>
              <w:t>Common Stock</w:t>
            </w:r>
          </w:p>
        </w:tc>
        <w:tc>
          <w:tcPr>
            <w:tcW w:w="11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9"/>
              </w:rPr>
              <w:t>Common Stock</w:t>
            </w:r>
          </w:p>
        </w:tc>
        <w:tc>
          <w:tcPr>
            <w:tcW w:w="900" w:type="dxa"/>
            <w:vAlign w:val="bottom"/>
            <w:gridSpan w:val="3"/>
          </w:tcPr>
          <w:p>
            <w:pPr>
              <w:jc w:val="center"/>
              <w:ind w:left="108"/>
              <w:spacing w:after="0"/>
              <w:rPr>
                <w:sz w:val="20"/>
                <w:szCs w:val="20"/>
                <w:color w:val="auto"/>
              </w:rPr>
            </w:pPr>
            <w:r>
              <w:rPr>
                <w:rFonts w:ascii="Arial" w:cs="Arial" w:eastAsia="Arial" w:hAnsi="Arial"/>
                <w:sz w:val="11"/>
                <w:szCs w:val="11"/>
                <w:b w:val="1"/>
                <w:bCs w:val="1"/>
                <w:color w:val="auto"/>
                <w:w w:val="86"/>
              </w:rPr>
              <w:t>Common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b w:val="1"/>
                <w:bCs w:val="1"/>
                <w:color w:val="auto"/>
              </w:rPr>
              <w:t>Capital</w:t>
            </w:r>
          </w:p>
        </w:tc>
        <w:tc>
          <w:tcPr>
            <w:tcW w:w="8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5"/>
              </w:rPr>
              <w:t>Income (Loss)</w:t>
            </w: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Earnings</w:t>
            </w:r>
          </w:p>
        </w:tc>
        <w:tc>
          <w:tcPr>
            <w:tcW w:w="60" w:type="dxa"/>
            <w:vAlign w:val="bottom"/>
          </w:tcPr>
          <w:p>
            <w:pPr>
              <w:spacing w:after="0"/>
              <w:rPr>
                <w:sz w:val="11"/>
                <w:szCs w:val="11"/>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Interests</w:t>
            </w:r>
          </w:p>
        </w:tc>
        <w:tc>
          <w:tcPr>
            <w:tcW w:w="10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24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gridSpan w:val="2"/>
          </w:tcPr>
          <w:p>
            <w:pPr>
              <w:ind w:left="120"/>
              <w:spacing w:after="0" w:line="115"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6"/>
              </w:rPr>
              <w:t>Amount</w:t>
            </w:r>
          </w:p>
        </w:tc>
        <w:tc>
          <w:tcPr>
            <w:tcW w:w="120" w:type="dxa"/>
            <w:vAlign w:val="bottom"/>
          </w:tcPr>
          <w:p>
            <w:pPr>
              <w:spacing w:after="0"/>
              <w:rPr>
                <w:sz w:val="10"/>
                <w:szCs w:val="10"/>
                <w:color w:val="auto"/>
              </w:rPr>
            </w:pPr>
          </w:p>
        </w:tc>
        <w:tc>
          <w:tcPr>
            <w:tcW w:w="60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1"/>
                <w:szCs w:val="11"/>
                <w:b w:val="1"/>
                <w:bCs w:val="1"/>
                <w:color w:val="auto"/>
              </w:rPr>
              <w:t>Shares</w:t>
            </w:r>
          </w:p>
        </w:tc>
        <w:tc>
          <w:tcPr>
            <w:tcW w:w="4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10"/>
                <w:szCs w:val="10"/>
                <w:color w:val="auto"/>
              </w:rPr>
            </w:pPr>
          </w:p>
        </w:tc>
        <w:tc>
          <w:tcPr>
            <w:tcW w:w="600" w:type="dxa"/>
            <w:vAlign w:val="bottom"/>
            <w:tcBorders>
              <w:top w:val="single" w:sz="8" w:color="auto"/>
            </w:tcBorders>
            <w:gridSpan w:val="2"/>
          </w:tcPr>
          <w:p>
            <w:pPr>
              <w:jc w:val="right"/>
              <w:ind w:right="180"/>
              <w:spacing w:after="0" w:line="115" w:lineRule="exact"/>
              <w:rPr>
                <w:sz w:val="20"/>
                <w:szCs w:val="20"/>
                <w:color w:val="auto"/>
              </w:rPr>
            </w:pPr>
            <w:r>
              <w:rPr>
                <w:rFonts w:ascii="Arial" w:cs="Arial" w:eastAsia="Arial" w:hAnsi="Arial"/>
                <w:sz w:val="11"/>
                <w:szCs w:val="11"/>
                <w:b w:val="1"/>
                <w:bCs w:val="1"/>
                <w:color w:val="auto"/>
              </w:rPr>
              <w:t>Shares</w:t>
            </w:r>
          </w:p>
        </w:tc>
        <w:tc>
          <w:tcPr>
            <w:tcW w:w="40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10"/>
                <w:szCs w:val="10"/>
                <w:color w:val="auto"/>
              </w:rPr>
            </w:pPr>
          </w:p>
        </w:tc>
        <w:tc>
          <w:tcPr>
            <w:tcW w:w="1040" w:type="dxa"/>
            <w:vAlign w:val="bottom"/>
            <w:tcBorders>
              <w:top w:val="single" w:sz="8" w:color="auto"/>
            </w:tcBorders>
            <w:gridSpan w:val="4"/>
          </w:tcPr>
          <w:p>
            <w:pPr>
              <w:jc w:val="right"/>
              <w:spacing w:after="0" w:line="115" w:lineRule="exact"/>
              <w:rPr>
                <w:sz w:val="20"/>
                <w:szCs w:val="20"/>
                <w:color w:val="auto"/>
              </w:rPr>
            </w:pPr>
            <w:r>
              <w:rPr>
                <w:rFonts w:ascii="Arial" w:cs="Arial" w:eastAsia="Arial" w:hAnsi="Arial"/>
                <w:sz w:val="11"/>
                <w:szCs w:val="11"/>
                <w:b w:val="1"/>
                <w:bCs w:val="1"/>
                <w:color w:val="auto"/>
                <w:w w:val="91"/>
              </w:rPr>
              <w:t>SharesAmount</w:t>
            </w: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4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90"/>
              </w:rPr>
              <w:t>Balance at December 31,</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2018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4,573,200</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1"/>
                <w:szCs w:val="11"/>
                <w:color w:val="auto"/>
              </w:rPr>
              <w:t>— $</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(866)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4,572,334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240" w:type="dxa"/>
            <w:vAlign w:val="bottom"/>
            <w:gridSpan w:val="2"/>
          </w:tcPr>
          <w:p>
            <w:pPr>
              <w:spacing w:after="0" w:line="112" w:lineRule="exact"/>
              <w:rPr>
                <w:sz w:val="20"/>
                <w:szCs w:val="20"/>
                <w:color w:val="auto"/>
              </w:rPr>
            </w:pPr>
            <w:r>
              <w:rPr>
                <w:rFonts w:ascii="Arial" w:cs="Arial" w:eastAsia="Arial" w:hAnsi="Arial"/>
                <w:sz w:val="11"/>
                <w:szCs w:val="11"/>
                <w:color w:val="auto"/>
              </w:rPr>
              <w:t>Adjustment to Class C</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gridSpan w:val="2"/>
          </w:tcPr>
          <w:p>
            <w:pPr>
              <w:spacing w:after="0" w:line="122" w:lineRule="exact"/>
              <w:rPr>
                <w:sz w:val="20"/>
                <w:szCs w:val="20"/>
                <w:color w:val="auto"/>
              </w:rPr>
            </w:pPr>
            <w:r>
              <w:rPr>
                <w:rFonts w:ascii="Arial" w:cs="Arial" w:eastAsia="Arial" w:hAnsi="Arial"/>
                <w:sz w:val="11"/>
                <w:szCs w:val="11"/>
                <w:color w:val="auto"/>
              </w:rPr>
              <w:t>Shares and Class P(C)</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gridSpan w:val="2"/>
          </w:tcPr>
          <w:p>
            <w:pPr>
              <w:spacing w:after="0" w:line="122" w:lineRule="exact"/>
              <w:rPr>
                <w:sz w:val="20"/>
                <w:szCs w:val="20"/>
                <w:color w:val="auto"/>
              </w:rPr>
            </w:pPr>
            <w:r>
              <w:rPr>
                <w:rFonts w:ascii="Arial" w:cs="Arial" w:eastAsia="Arial" w:hAnsi="Arial"/>
                <w:sz w:val="11"/>
                <w:szCs w:val="11"/>
                <w:color w:val="auto"/>
              </w:rPr>
              <w:t>shares in mezzanine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capital</w:t>
            </w:r>
          </w:p>
        </w:tc>
        <w:tc>
          <w:tcPr>
            <w:tcW w:w="8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(2,369)</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(2,369)</w:t>
            </w: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Capital distributions</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(20,000)</w:t>
            </w: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360"/>
              <w:spacing w:after="0" w:line="122"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240" w:type="dxa"/>
            <w:vAlign w:val="bottom"/>
            <w:gridSpan w:val="2"/>
          </w:tcPr>
          <w:p>
            <w:pPr>
              <w:spacing w:after="0" w:line="112" w:lineRule="exact"/>
              <w:rPr>
                <w:sz w:val="20"/>
                <w:szCs w:val="20"/>
                <w:color w:val="auto"/>
              </w:rPr>
            </w:pPr>
            <w:r>
              <w:rPr>
                <w:rFonts w:ascii="Arial" w:cs="Arial" w:eastAsia="Arial" w:hAnsi="Arial"/>
                <w:sz w:val="11"/>
                <w:szCs w:val="11"/>
                <w:color w:val="auto"/>
              </w:rPr>
              <w:t>Stock-based</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compensation</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4,674</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4,674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Net income</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42,352</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360"/>
              <w:spacing w:after="0" w:line="122"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42,352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240" w:type="dxa"/>
            <w:vAlign w:val="bottom"/>
            <w:gridSpan w:val="2"/>
          </w:tcPr>
          <w:p>
            <w:pPr>
              <w:spacing w:after="0" w:line="112" w:lineRule="exact"/>
              <w:rPr>
                <w:sz w:val="20"/>
                <w:szCs w:val="20"/>
                <w:color w:val="auto"/>
              </w:rPr>
            </w:pPr>
            <w:r>
              <w:rPr>
                <w:rFonts w:ascii="Arial" w:cs="Arial" w:eastAsia="Arial" w:hAnsi="Arial"/>
                <w:sz w:val="11"/>
                <w:szCs w:val="11"/>
                <w:color w:val="auto"/>
              </w:rPr>
              <w:t>Foreign currency</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translation adjustments</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72"/>
              </w:rPr>
              <w:t>—</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988</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240" w:type="dxa"/>
            <w:vAlign w:val="bottom"/>
            <w:gridSpan w:val="2"/>
            <w:shd w:val="clear" w:color="auto" w:fill="CCEEFF"/>
          </w:tcPr>
          <w:p>
            <w:pPr>
              <w:spacing w:after="0" w:line="92" w:lineRule="exact"/>
              <w:rPr>
                <w:sz w:val="20"/>
                <w:szCs w:val="20"/>
                <w:color w:val="auto"/>
              </w:rPr>
            </w:pPr>
            <w:r>
              <w:rPr>
                <w:rFonts w:ascii="Arial" w:cs="Arial" w:eastAsia="Arial" w:hAnsi="Arial"/>
                <w:sz w:val="10"/>
                <w:szCs w:val="10"/>
                <w:color w:val="auto"/>
              </w:rPr>
              <w:t>Balance at March 31,</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4,597,857</w:t>
            </w:r>
          </w:p>
        </w:tc>
        <w:tc>
          <w:tcPr>
            <w:tcW w:w="100" w:type="dxa"/>
            <w:vAlign w:val="bottom"/>
            <w:shd w:val="clear" w:color="auto" w:fill="CCEEFF"/>
          </w:tcPr>
          <w:p>
            <w:pPr>
              <w:spacing w:after="0"/>
              <w:rPr>
                <w:sz w:val="7"/>
                <w:szCs w:val="7"/>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vMerge w:val="restart"/>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90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 $</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10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4,597,979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240" w:type="dxa"/>
            <w:vAlign w:val="bottom"/>
            <w:gridSpan w:val="2"/>
            <w:shd w:val="clear" w:color="auto" w:fill="CCEEFF"/>
          </w:tcPr>
          <w:p>
            <w:pPr>
              <w:spacing w:after="0" w:line="118" w:lineRule="exact"/>
              <w:rPr>
                <w:sz w:val="20"/>
                <w:szCs w:val="20"/>
                <w:color w:val="auto"/>
              </w:rPr>
            </w:pPr>
            <w:r>
              <w:rPr>
                <w:rFonts w:ascii="Arial" w:cs="Arial" w:eastAsia="Arial" w:hAnsi="Arial"/>
                <w:sz w:val="11"/>
                <w:szCs w:val="11"/>
                <w:color w:val="auto"/>
              </w:rPr>
              <w:t>2019 (Pre-IPO Period)</w:t>
            </w:r>
          </w:p>
        </w:tc>
        <w:tc>
          <w:tcPr>
            <w:tcW w:w="8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900" w:type="dxa"/>
            <w:vAlign w:val="bottom"/>
            <w:gridSpan w:val="3"/>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240" w:type="dxa"/>
            <w:vAlign w:val="bottom"/>
            <w:tcBorders>
              <w:top w:val="single" w:sz="8" w:color="CCEEFF"/>
            </w:tcBorders>
            <w:gridSpan w:val="2"/>
          </w:tcPr>
          <w:p>
            <w:pPr>
              <w:spacing w:after="0" w:line="109" w:lineRule="exact"/>
              <w:rPr>
                <w:sz w:val="20"/>
                <w:szCs w:val="20"/>
                <w:color w:val="auto"/>
              </w:rPr>
            </w:pPr>
            <w:r>
              <w:rPr>
                <w:rFonts w:ascii="Arial" w:cs="Arial" w:eastAsia="Arial" w:hAnsi="Arial"/>
                <w:sz w:val="11"/>
                <w:szCs w:val="11"/>
                <w:color w:val="auto"/>
              </w:rPr>
              <w:t>Capital distributions</w:t>
            </w: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(100,000)</w:t>
            </w:r>
          </w:p>
        </w:tc>
        <w:tc>
          <w:tcPr>
            <w:tcW w:w="10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9"/>
                <w:szCs w:val="9"/>
                <w:color w:val="auto"/>
              </w:rPr>
            </w:pPr>
          </w:p>
        </w:tc>
        <w:tc>
          <w:tcPr>
            <w:tcW w:w="3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9"/>
                <w:szCs w:val="9"/>
                <w:color w:val="auto"/>
              </w:rPr>
            </w:pPr>
          </w:p>
        </w:tc>
        <w:tc>
          <w:tcPr>
            <w:tcW w:w="40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9"/>
                <w:szCs w:val="9"/>
                <w:color w:val="auto"/>
              </w:rPr>
            </w:pPr>
          </w:p>
        </w:tc>
        <w:tc>
          <w:tcPr>
            <w:tcW w:w="400" w:type="dxa"/>
            <w:vAlign w:val="bottom"/>
            <w:tcBorders>
              <w:top w:val="single" w:sz="8" w:color="auto"/>
            </w:tcBorders>
          </w:tcPr>
          <w:p>
            <w:pPr>
              <w:ind w:left="260"/>
              <w:spacing w:after="0" w:line="109"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9"/>
                <w:szCs w:val="9"/>
                <w:color w:val="auto"/>
              </w:rPr>
            </w:pPr>
          </w:p>
        </w:tc>
        <w:tc>
          <w:tcPr>
            <w:tcW w:w="5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w w:val="72"/>
              </w:rPr>
              <w:t>—</w:t>
            </w: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1"/>
                <w:szCs w:val="11"/>
                <w:color w:val="auto"/>
              </w:rPr>
              <w:t>(100,000)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Effect of the</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reorganization</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transactions</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5"/>
              </w:rPr>
              <w:t>(4,497,857)</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4,521,132</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240" w:type="dxa"/>
            <w:vAlign w:val="bottom"/>
            <w:gridSpan w:val="2"/>
          </w:tcPr>
          <w:p>
            <w:pPr>
              <w:spacing w:after="0" w:line="112" w:lineRule="exact"/>
              <w:rPr>
                <w:sz w:val="20"/>
                <w:szCs w:val="20"/>
                <w:color w:val="auto"/>
              </w:rPr>
            </w:pPr>
            <w:r>
              <w:rPr>
                <w:rFonts w:ascii="Arial" w:cs="Arial" w:eastAsia="Arial" w:hAnsi="Arial"/>
                <w:sz w:val="11"/>
                <w:szCs w:val="11"/>
                <w:color w:val="auto"/>
              </w:rPr>
              <w:t>Issuance of common</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gridSpan w:val="2"/>
          </w:tcPr>
          <w:p>
            <w:pPr>
              <w:spacing w:after="0" w:line="122" w:lineRule="exact"/>
              <w:rPr>
                <w:sz w:val="20"/>
                <w:szCs w:val="20"/>
                <w:color w:val="auto"/>
              </w:rPr>
            </w:pPr>
            <w:r>
              <w:rPr>
                <w:rFonts w:ascii="Arial" w:cs="Arial" w:eastAsia="Arial" w:hAnsi="Arial"/>
                <w:sz w:val="11"/>
                <w:szCs w:val="11"/>
                <w:color w:val="auto"/>
                <w:w w:val="95"/>
              </w:rPr>
              <w:t>stock, net of offering costs</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and cancellations</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87"/>
              </w:rPr>
              <w:t>46,000,000</w:t>
            </w:r>
          </w:p>
        </w:tc>
        <w:tc>
          <w:tcPr>
            <w:tcW w:w="8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83"/>
              </w:rPr>
              <w:t>96,933,192</w:t>
            </w: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83"/>
              </w:rPr>
              <w:t>10,006,269</w:t>
            </w:r>
          </w:p>
        </w:tc>
        <w:tc>
          <w:tcPr>
            <w:tcW w:w="80" w:type="dxa"/>
            <w:vAlign w:val="bottom"/>
          </w:tcPr>
          <w:p>
            <w:pPr>
              <w:spacing w:after="0"/>
              <w:rPr>
                <w:sz w:val="11"/>
                <w:szCs w:val="11"/>
                <w:color w:val="auto"/>
              </w:rPr>
            </w:pPr>
          </w:p>
        </w:tc>
        <w:tc>
          <w:tcPr>
            <w:tcW w:w="50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w w:val="94"/>
              </w:rPr>
              <w:t>69,282,736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(18,492)</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(18,490)</w:t>
            </w:r>
          </w:p>
        </w:tc>
        <w:tc>
          <w:tcPr>
            <w:tcW w:w="0" w:type="dxa"/>
            <w:vAlign w:val="bottom"/>
          </w:tcPr>
          <w:p>
            <w:pPr>
              <w:spacing w:after="0"/>
              <w:rPr>
                <w:sz w:val="1"/>
                <w:szCs w:val="1"/>
                <w:color w:val="auto"/>
              </w:rPr>
            </w:pPr>
          </w:p>
        </w:tc>
      </w:tr>
      <w:tr>
        <w:trPr>
          <w:trHeight w:val="112"/>
        </w:trPr>
        <w:tc>
          <w:tcPr>
            <w:tcW w:w="12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Activities related to the</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follow-on offering and</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exchanges of LLC</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Interests, net of offering</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costs and cancellations</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7"/>
              </w:rPr>
              <w:t>20,106,850</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88"/>
              </w:rPr>
              <w:t>(1,677,286)</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89"/>
              </w:rPr>
              <w:t>(18,429,564)</w:t>
            </w:r>
          </w:p>
        </w:tc>
        <w:tc>
          <w:tcPr>
            <w:tcW w:w="2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240" w:type="dxa"/>
            <w:vAlign w:val="bottom"/>
            <w:gridSpan w:val="2"/>
          </w:tcPr>
          <w:p>
            <w:pPr>
              <w:spacing w:after="0" w:line="112" w:lineRule="exact"/>
              <w:rPr>
                <w:sz w:val="20"/>
                <w:szCs w:val="20"/>
                <w:color w:val="auto"/>
              </w:rPr>
            </w:pPr>
            <w:r>
              <w:rPr>
                <w:rFonts w:ascii="Arial" w:cs="Arial" w:eastAsia="Arial" w:hAnsi="Arial"/>
                <w:sz w:val="11"/>
                <w:szCs w:val="11"/>
                <w:color w:val="auto"/>
              </w:rPr>
              <w:t>Issuance of common</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gridSpan w:val="2"/>
          </w:tcPr>
          <w:p>
            <w:pPr>
              <w:spacing w:after="0" w:line="122" w:lineRule="exact"/>
              <w:rPr>
                <w:sz w:val="20"/>
                <w:szCs w:val="20"/>
                <w:color w:val="auto"/>
              </w:rPr>
            </w:pPr>
            <w:r>
              <w:rPr>
                <w:rFonts w:ascii="Arial" w:cs="Arial" w:eastAsia="Arial" w:hAnsi="Arial"/>
                <w:sz w:val="11"/>
                <w:szCs w:val="11"/>
                <w:color w:val="auto"/>
              </w:rPr>
              <w:t>stock from equity</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incentive plans</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301,478</w:t>
            </w:r>
          </w:p>
        </w:tc>
        <w:tc>
          <w:tcPr>
            <w:tcW w:w="8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2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Tax receivable agreement</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liability and deferred</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taxes arising from the</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reorganization</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transactions, IPO and</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follow-on offering and</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LLC Interest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ownership changes</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(4,382)</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240" w:type="dxa"/>
            <w:vAlign w:val="bottom"/>
            <w:gridSpan w:val="2"/>
          </w:tcPr>
          <w:p>
            <w:pPr>
              <w:spacing w:after="0" w:line="112" w:lineRule="exact"/>
              <w:rPr>
                <w:sz w:val="20"/>
                <w:szCs w:val="20"/>
                <w:color w:val="auto"/>
              </w:rPr>
            </w:pPr>
            <w:r>
              <w:rPr>
                <w:rFonts w:ascii="Arial" w:cs="Arial" w:eastAsia="Arial" w:hAnsi="Arial"/>
                <w:sz w:val="11"/>
                <w:szCs w:val="11"/>
                <w:color w:val="auto"/>
              </w:rPr>
              <w:t>Allocation of equity to</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non-controlling interests</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85"/>
              </w:rPr>
              <w:t>(1,607,529)</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85"/>
              </w:rPr>
              <w:t>1,607,529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2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Adjustments to non-</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controlling interests</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402,424</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(197)</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7"/>
              </w:rPr>
              <w:t>(402,227)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240" w:type="dxa"/>
            <w:vAlign w:val="bottom"/>
            <w:gridSpan w:val="2"/>
          </w:tcPr>
          <w:p>
            <w:pPr>
              <w:spacing w:after="0" w:line="112" w:lineRule="exact"/>
              <w:rPr>
                <w:sz w:val="20"/>
                <w:szCs w:val="20"/>
                <w:color w:val="auto"/>
              </w:rPr>
            </w:pPr>
            <w:r>
              <w:rPr>
                <w:rFonts w:ascii="Arial" w:cs="Arial" w:eastAsia="Arial" w:hAnsi="Arial"/>
                <w:sz w:val="11"/>
                <w:szCs w:val="11"/>
                <w:color w:val="auto"/>
              </w:rPr>
              <w:t>Distributions to non-</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controlling interests</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(38,346)</w:t>
            </w:r>
          </w:p>
        </w:tc>
        <w:tc>
          <w:tcPr>
            <w:tcW w:w="10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(38,346)</w:t>
            </w:r>
          </w:p>
        </w:tc>
        <w:tc>
          <w:tcPr>
            <w:tcW w:w="0" w:type="dxa"/>
            <w:vAlign w:val="bottom"/>
          </w:tcPr>
          <w:p>
            <w:pPr>
              <w:spacing w:after="0"/>
              <w:rPr>
                <w:sz w:val="1"/>
                <w:szCs w:val="1"/>
                <w:color w:val="auto"/>
              </w:rPr>
            </w:pPr>
          </w:p>
        </w:tc>
      </w:tr>
      <w:tr>
        <w:trPr>
          <w:trHeight w:val="112"/>
        </w:trPr>
        <w:tc>
          <w:tcPr>
            <w:tcW w:w="12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Dividends ($0.24 per</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share)</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7"/>
              </w:rPr>
              <w:t>(35,936)</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(35,936)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240" w:type="dxa"/>
            <w:vAlign w:val="bottom"/>
            <w:gridSpan w:val="2"/>
          </w:tcPr>
          <w:p>
            <w:pPr>
              <w:spacing w:after="0" w:line="112" w:lineRule="exact"/>
              <w:rPr>
                <w:sz w:val="20"/>
                <w:szCs w:val="20"/>
                <w:color w:val="auto"/>
              </w:rPr>
            </w:pPr>
            <w:r>
              <w:rPr>
                <w:rFonts w:ascii="Arial" w:cs="Arial" w:eastAsia="Arial" w:hAnsi="Arial"/>
                <w:sz w:val="11"/>
                <w:szCs w:val="11"/>
                <w:color w:val="auto"/>
              </w:rPr>
              <w:t>Stock-based</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gridSpan w:val="2"/>
          </w:tcPr>
          <w:p>
            <w:pPr>
              <w:spacing w:after="0" w:line="122" w:lineRule="exact"/>
              <w:rPr>
                <w:sz w:val="20"/>
                <w:szCs w:val="20"/>
                <w:color w:val="auto"/>
              </w:rPr>
            </w:pPr>
            <w:r>
              <w:rPr>
                <w:rFonts w:ascii="Arial" w:cs="Arial" w:eastAsia="Arial" w:hAnsi="Arial"/>
                <w:sz w:val="11"/>
                <w:szCs w:val="11"/>
                <w:color w:val="auto"/>
              </w:rPr>
              <w:t>compensation expense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under the PRSU Plan</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20,718</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20,718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2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Stock-based</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compensation expense</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under the Option Plan</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24,432</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240" w:type="dxa"/>
            <w:vAlign w:val="bottom"/>
            <w:gridSpan w:val="2"/>
          </w:tcPr>
          <w:p>
            <w:pPr>
              <w:spacing w:after="0" w:line="112" w:lineRule="exact"/>
              <w:rPr>
                <w:sz w:val="20"/>
                <w:szCs w:val="20"/>
                <w:color w:val="auto"/>
              </w:rPr>
            </w:pPr>
            <w:r>
              <w:rPr>
                <w:rFonts w:ascii="Arial" w:cs="Arial" w:eastAsia="Arial" w:hAnsi="Arial"/>
                <w:sz w:val="11"/>
                <w:szCs w:val="11"/>
                <w:color w:val="auto"/>
              </w:rPr>
              <w:t>Payroll taxes paid for</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gridSpan w:val="2"/>
          </w:tcPr>
          <w:p>
            <w:pPr>
              <w:spacing w:after="0" w:line="122" w:lineRule="exact"/>
              <w:rPr>
                <w:sz w:val="20"/>
                <w:szCs w:val="20"/>
                <w:color w:val="auto"/>
              </w:rPr>
            </w:pPr>
            <w:r>
              <w:rPr>
                <w:rFonts w:ascii="Arial" w:cs="Arial" w:eastAsia="Arial" w:hAnsi="Arial"/>
                <w:sz w:val="11"/>
                <w:szCs w:val="11"/>
                <w:color w:val="auto"/>
                <w:w w:val="93"/>
              </w:rPr>
              <w:t>stock-based compensation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exercises</w:t>
            </w: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(8,917)</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(8,917)</w:t>
            </w:r>
          </w:p>
        </w:tc>
        <w:tc>
          <w:tcPr>
            <w:tcW w:w="0" w:type="dxa"/>
            <w:vAlign w:val="bottom"/>
          </w:tcPr>
          <w:p>
            <w:pPr>
              <w:spacing w:after="0"/>
              <w:rPr>
                <w:sz w:val="1"/>
                <w:szCs w:val="1"/>
                <w:color w:val="auto"/>
              </w:rPr>
            </w:pPr>
          </w:p>
        </w:tc>
      </w:tr>
      <w:tr>
        <w:trPr>
          <w:trHeight w:val="122"/>
        </w:trPr>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Net income</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2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360"/>
              <w:spacing w:after="0" w:line="122"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72"/>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83,769</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46,903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130,672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240" w:type="dxa"/>
            <w:vAlign w:val="bottom"/>
            <w:gridSpan w:val="2"/>
          </w:tcPr>
          <w:p>
            <w:pPr>
              <w:spacing w:after="0" w:line="112" w:lineRule="exact"/>
              <w:rPr>
                <w:sz w:val="20"/>
                <w:szCs w:val="20"/>
                <w:color w:val="auto"/>
              </w:rPr>
            </w:pPr>
            <w:r>
              <w:rPr>
                <w:rFonts w:ascii="Arial" w:cs="Arial" w:eastAsia="Arial" w:hAnsi="Arial"/>
                <w:sz w:val="11"/>
                <w:szCs w:val="11"/>
                <w:color w:val="auto"/>
              </w:rPr>
              <w:t>Foreign currency</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translation adjustments</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72"/>
              </w:rPr>
              <w:t>—</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1,441</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240" w:type="dxa"/>
            <w:vAlign w:val="bottom"/>
            <w:gridSpan w:val="2"/>
            <w:shd w:val="clear" w:color="auto" w:fill="CCEEFF"/>
          </w:tcPr>
          <w:p>
            <w:pPr>
              <w:spacing w:after="0" w:line="92" w:lineRule="exact"/>
              <w:rPr>
                <w:sz w:val="20"/>
                <w:szCs w:val="20"/>
                <w:color w:val="auto"/>
              </w:rPr>
            </w:pPr>
            <w:r>
              <w:rPr>
                <w:rFonts w:ascii="Arial" w:cs="Arial" w:eastAsia="Arial" w:hAnsi="Arial"/>
                <w:sz w:val="10"/>
                <w:szCs w:val="10"/>
                <w:color w:val="auto"/>
              </w:rPr>
              <w:t>Balance at December 31,</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7"/>
              </w:rPr>
              <w:t>66,408,328</w:t>
            </w:r>
          </w:p>
        </w:tc>
        <w:tc>
          <w:tcPr>
            <w:tcW w:w="80" w:type="dxa"/>
            <w:vAlign w:val="bottom"/>
            <w:shd w:val="clear" w:color="auto" w:fill="CCEEFF"/>
          </w:tcPr>
          <w:p>
            <w:pPr>
              <w:spacing w:after="0"/>
              <w:rPr>
                <w:sz w:val="7"/>
                <w:szCs w:val="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3"/>
              </w:rPr>
              <w:t>96,933,192</w:t>
            </w:r>
          </w:p>
        </w:tc>
        <w:tc>
          <w:tcPr>
            <w:tcW w:w="8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8,328,983</w:t>
            </w:r>
          </w:p>
        </w:tc>
        <w:tc>
          <w:tcPr>
            <w:tcW w:w="8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50,853,172</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3,329,386</w:t>
            </w:r>
          </w:p>
        </w:tc>
        <w:tc>
          <w:tcPr>
            <w:tcW w:w="140" w:type="dxa"/>
            <w:vAlign w:val="bottom"/>
            <w:vMerge w:val="restart"/>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1,366</w:t>
            </w:r>
          </w:p>
        </w:tc>
        <w:tc>
          <w:tcPr>
            <w:tcW w:w="10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47,833</w:t>
            </w:r>
          </w:p>
        </w:tc>
        <w:tc>
          <w:tcPr>
            <w:tcW w:w="10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5"/>
              </w:rPr>
              <w:t>1,214,157</w:t>
            </w:r>
          </w:p>
        </w:tc>
        <w:tc>
          <w:tcPr>
            <w:tcW w:w="10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4,592,745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240" w:type="dxa"/>
            <w:vAlign w:val="bottom"/>
            <w:tcBorders>
              <w:bottom w:val="single" w:sz="8" w:color="CCEEFF"/>
            </w:tcBorders>
            <w:gridSpan w:val="2"/>
            <w:shd w:val="clear" w:color="auto" w:fill="CCEEFF"/>
          </w:tcPr>
          <w:p>
            <w:pPr>
              <w:spacing w:after="0" w:line="118" w:lineRule="exact"/>
              <w:rPr>
                <w:sz w:val="20"/>
                <w:szCs w:val="20"/>
                <w:color w:val="auto"/>
              </w:rPr>
            </w:pPr>
            <w:r>
              <w:rPr>
                <w:rFonts w:ascii="Arial" w:cs="Arial" w:eastAsia="Arial" w:hAnsi="Arial"/>
                <w:sz w:val="11"/>
                <w:szCs w:val="11"/>
                <w:color w:val="auto"/>
              </w:rPr>
              <w:t>2019 (Post-IPO Period)</w:t>
            </w:r>
          </w:p>
        </w:tc>
        <w:tc>
          <w:tcPr>
            <w:tcW w:w="80" w:type="dxa"/>
            <w:vAlign w:val="bottom"/>
            <w:tcBorders>
              <w:bottom w:val="single" w:sz="8" w:color="auto"/>
            </w:tcBorders>
            <w:vMerge w:val="continue"/>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vMerge w:val="continue"/>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140" w:type="dxa"/>
            <w:vAlign w:val="bottom"/>
            <w:tcBorders>
              <w:bottom w:val="single" w:sz="8" w:color="auto"/>
            </w:tcBorders>
            <w:vMerge w:val="continue"/>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vMerge w:val="continue"/>
            <w:shd w:val="clear" w:color="auto" w:fill="CCEEFF"/>
          </w:tcPr>
          <w:p>
            <w:pPr>
              <w:spacing w:after="0"/>
              <w:rPr>
                <w:sz w:val="10"/>
                <w:szCs w:val="10"/>
                <w:color w:val="auto"/>
              </w:rPr>
            </w:pPr>
          </w:p>
        </w:tc>
        <w:tc>
          <w:tcPr>
            <w:tcW w:w="3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vMerge w:val="continue"/>
            <w:shd w:val="clear" w:color="auto" w:fill="CCEEFF"/>
          </w:tcPr>
          <w:p>
            <w:pPr>
              <w:spacing w:after="0"/>
              <w:rPr>
                <w:sz w:val="10"/>
                <w:szCs w:val="10"/>
                <w:color w:val="auto"/>
              </w:rPr>
            </w:pPr>
          </w:p>
        </w:tc>
        <w:tc>
          <w:tcPr>
            <w:tcW w:w="4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vMerge w:val="continue"/>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609727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600"/>
          </w:cols>
          <w:pgMar w:left="1160" w:top="125" w:right="113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Equity – (Continued)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Members'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15"/>
        </w:trPr>
        <w:tc>
          <w:tcPr>
            <w:tcW w:w="610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Successor</w:t>
            </w: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100" w:type="dxa"/>
            <w:vAlign w:val="bottom"/>
            <w:gridSpan w:val="3"/>
          </w:tcPr>
          <w:p>
            <w:pPr>
              <w:spacing w:after="0" w:line="149" w:lineRule="exact"/>
              <w:rPr>
                <w:sz w:val="20"/>
                <w:szCs w:val="20"/>
                <w:color w:val="auto"/>
              </w:rPr>
            </w:pPr>
            <w:r>
              <w:rPr>
                <w:rFonts w:ascii="Arial" w:cs="Arial" w:eastAsia="Arial" w:hAnsi="Arial"/>
                <w:sz w:val="14"/>
                <w:szCs w:val="14"/>
                <w:color w:val="auto"/>
              </w:rPr>
              <w:t>Members' capital at October 1, 2018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4,562,154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4,562,154</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29,307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29,307</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42"/>
        </w:trPr>
        <w:tc>
          <w:tcPr>
            <w:tcW w:w="6100" w:type="dxa"/>
            <w:vAlign w:val="bottom"/>
            <w:gridSpan w:val="3"/>
          </w:tcPr>
          <w:p>
            <w:pPr>
              <w:spacing w:after="0" w:line="142" w:lineRule="exact"/>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29,307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(866)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28,441</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Adjustment to Class C Shares and Class P(C) Shares in mezzanine capital</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149"/>
        </w:trPr>
        <w:tc>
          <w:tcPr>
            <w:tcW w:w="61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Conversion of certain cash-settled PRSUs to equity-settled PRSUs</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19,072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19,072</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Capital distributions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w:t>
            </w:r>
          </w:p>
        </w:tc>
        <w:tc>
          <w:tcPr>
            <w:tcW w:w="0" w:type="dxa"/>
            <w:vAlign w:val="bottom"/>
          </w:tcPr>
          <w:p>
            <w:pPr>
              <w:spacing w:after="0"/>
              <w:rPr>
                <w:sz w:val="1"/>
                <w:szCs w:val="1"/>
                <w:color w:val="auto"/>
              </w:rPr>
            </w:pPr>
          </w:p>
        </w:tc>
      </w:tr>
      <w:tr>
        <w:trPr>
          <w:trHeight w:val="149"/>
        </w:trPr>
        <w:tc>
          <w:tcPr>
            <w:tcW w:w="6100" w:type="dxa"/>
            <w:vAlign w:val="bottom"/>
            <w:gridSpan w:val="3"/>
          </w:tcPr>
          <w:p>
            <w:pPr>
              <w:spacing w:after="0" w:line="142" w:lineRule="exact"/>
              <w:rPr>
                <w:sz w:val="20"/>
                <w:szCs w:val="20"/>
                <w:color w:val="auto"/>
              </w:rPr>
            </w:pPr>
            <w:r>
              <w:rPr>
                <w:rFonts w:ascii="Arial" w:cs="Arial" w:eastAsia="Arial" w:hAnsi="Arial"/>
                <w:sz w:val="14"/>
                <w:szCs w:val="14"/>
                <w:color w:val="auto"/>
              </w:rPr>
              <w:t>Members' capital at December 31, 2018</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4,573,200</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(866)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4,572,334</w:t>
            </w:r>
          </w:p>
        </w:tc>
        <w:tc>
          <w:tcPr>
            <w:tcW w:w="0" w:type="dxa"/>
            <w:vAlign w:val="bottom"/>
          </w:tcPr>
          <w:p>
            <w:pPr>
              <w:spacing w:after="0"/>
              <w:rPr>
                <w:sz w:val="1"/>
                <w:szCs w:val="1"/>
                <w:color w:val="auto"/>
              </w:rPr>
            </w:pPr>
          </w:p>
        </w:tc>
      </w:tr>
      <w:tr>
        <w:trPr>
          <w:trHeight w:val="572"/>
        </w:trPr>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Members'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22"/>
        </w:trPr>
        <w:tc>
          <w:tcPr>
            <w:tcW w:w="740" w:type="dxa"/>
            <w:vAlign w:val="bottom"/>
            <w:tcBorders>
              <w:top w:val="single" w:sz="8" w:color="CCEEFF"/>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b w:val="1"/>
                <w:bCs w:val="1"/>
                <w:color w:val="auto"/>
                <w:w w:val="92"/>
              </w:rPr>
              <w:t>Predecessor</w:t>
            </w:r>
          </w:p>
        </w:tc>
        <w:tc>
          <w:tcPr>
            <w:tcW w:w="53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00" w:type="dxa"/>
            <w:vAlign w:val="bottom"/>
            <w:gridSpan w:val="3"/>
          </w:tcPr>
          <w:p>
            <w:pPr>
              <w:spacing w:after="0" w:line="149" w:lineRule="exact"/>
              <w:rPr>
                <w:sz w:val="20"/>
                <w:szCs w:val="20"/>
                <w:color w:val="auto"/>
              </w:rPr>
            </w:pPr>
            <w:r>
              <w:rPr>
                <w:rFonts w:ascii="Arial" w:cs="Arial" w:eastAsia="Arial" w:hAnsi="Arial"/>
                <w:sz w:val="14"/>
                <w:szCs w:val="14"/>
                <w:color w:val="auto"/>
              </w:rPr>
              <w:t>Members' capital at December 31, 2016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1,040,911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(16,152)</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1,024,759</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83,648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83,648</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2,885</w:t>
            </w:r>
          </w:p>
        </w:tc>
        <w:tc>
          <w:tcPr>
            <w:tcW w:w="0" w:type="dxa"/>
            <w:vAlign w:val="bottom"/>
          </w:tcPr>
          <w:p>
            <w:pPr>
              <w:spacing w:after="0"/>
              <w:rPr>
                <w:sz w:val="1"/>
                <w:szCs w:val="1"/>
                <w:color w:val="auto"/>
              </w:rPr>
            </w:pPr>
          </w:p>
        </w:tc>
      </w:tr>
      <w:tr>
        <w:trPr>
          <w:trHeight w:val="142"/>
        </w:trPr>
        <w:tc>
          <w:tcPr>
            <w:tcW w:w="6100" w:type="dxa"/>
            <w:vAlign w:val="bottom"/>
            <w:gridSpan w:val="3"/>
          </w:tcPr>
          <w:p>
            <w:pPr>
              <w:spacing w:after="0" w:line="142" w:lineRule="exact"/>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83,648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2,885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86,533</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Adjustment to Class C Shares and Class P(C) Shares in mezzanine capital</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(2,109)</w:t>
            </w:r>
          </w:p>
        </w:tc>
        <w:tc>
          <w:tcPr>
            <w:tcW w:w="0" w:type="dxa"/>
            <w:vAlign w:val="bottom"/>
          </w:tcPr>
          <w:p>
            <w:pPr>
              <w:spacing w:after="0"/>
              <w:rPr>
                <w:sz w:val="1"/>
                <w:szCs w:val="1"/>
                <w:color w:val="auto"/>
              </w:rPr>
            </w:pPr>
          </w:p>
        </w:tc>
      </w:tr>
      <w:tr>
        <w:trPr>
          <w:trHeight w:val="149"/>
        </w:trPr>
        <w:tc>
          <w:tcPr>
            <w:tcW w:w="61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Capital contributions</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29,285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29,285</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distributions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(152,000)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(152,000)</w:t>
            </w:r>
          </w:p>
        </w:tc>
        <w:tc>
          <w:tcPr>
            <w:tcW w:w="0" w:type="dxa"/>
            <w:vAlign w:val="bottom"/>
          </w:tcPr>
          <w:p>
            <w:pPr>
              <w:spacing w:after="0"/>
              <w:rPr>
                <w:sz w:val="1"/>
                <w:szCs w:val="1"/>
                <w:color w:val="auto"/>
              </w:rPr>
            </w:pPr>
          </w:p>
        </w:tc>
      </w:tr>
      <w:tr>
        <w:trPr>
          <w:trHeight w:val="149"/>
        </w:trPr>
        <w:tc>
          <w:tcPr>
            <w:tcW w:w="610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Members' capital at December 31, 2017</w:t>
            </w:r>
          </w:p>
        </w:tc>
        <w:tc>
          <w:tcPr>
            <w:tcW w:w="10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999,735</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(13,267)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986,468</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130,160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130,160</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(3,064)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(3,064)</w:t>
            </w:r>
          </w:p>
        </w:tc>
        <w:tc>
          <w:tcPr>
            <w:tcW w:w="0" w:type="dxa"/>
            <w:vAlign w:val="bottom"/>
          </w:tcPr>
          <w:p>
            <w:pPr>
              <w:spacing w:after="0"/>
              <w:rPr>
                <w:sz w:val="1"/>
                <w:szCs w:val="1"/>
                <w:color w:val="auto"/>
              </w:rPr>
            </w:pPr>
          </w:p>
        </w:tc>
      </w:tr>
      <w:tr>
        <w:trPr>
          <w:trHeight w:val="142"/>
        </w:trPr>
        <w:tc>
          <w:tcPr>
            <w:tcW w:w="6100" w:type="dxa"/>
            <w:vAlign w:val="bottom"/>
            <w:gridSpan w:val="3"/>
          </w:tcPr>
          <w:p>
            <w:pPr>
              <w:spacing w:after="0" w:line="142" w:lineRule="exact"/>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130,160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(3,064)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127,096</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Capital distributions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(139,350)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(139,350)</w:t>
            </w:r>
          </w:p>
        </w:tc>
        <w:tc>
          <w:tcPr>
            <w:tcW w:w="0" w:type="dxa"/>
            <w:vAlign w:val="bottom"/>
          </w:tcPr>
          <w:p>
            <w:pPr>
              <w:spacing w:after="0"/>
              <w:rPr>
                <w:sz w:val="1"/>
                <w:szCs w:val="1"/>
                <w:color w:val="auto"/>
              </w:rPr>
            </w:pPr>
          </w:p>
        </w:tc>
      </w:tr>
      <w:tr>
        <w:trPr>
          <w:trHeight w:val="149"/>
        </w:trPr>
        <w:tc>
          <w:tcPr>
            <w:tcW w:w="61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Adjustment to Class C Shares and Class P(C) Shares in mezzanine capital</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49"/>
        </w:trPr>
        <w:tc>
          <w:tcPr>
            <w:tcW w:w="61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Vesting of contingent consideration</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150,495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150,495</w:t>
            </w:r>
          </w:p>
        </w:tc>
        <w:tc>
          <w:tcPr>
            <w:tcW w:w="0" w:type="dxa"/>
            <w:vAlign w:val="bottom"/>
          </w:tcPr>
          <w:p>
            <w:pPr>
              <w:spacing w:after="0"/>
              <w:rPr>
                <w:sz w:val="1"/>
                <w:szCs w:val="1"/>
                <w:color w:val="auto"/>
              </w:rPr>
            </w:pPr>
          </w:p>
        </w:tc>
      </w:tr>
      <w:tr>
        <w:trPr>
          <w:trHeight w:val="149"/>
        </w:trPr>
        <w:tc>
          <w:tcPr>
            <w:tcW w:w="6100" w:type="dxa"/>
            <w:vAlign w:val="bottom"/>
            <w:gridSpan w:val="3"/>
          </w:tcPr>
          <w:p>
            <w:pPr>
              <w:spacing w:after="0" w:line="142" w:lineRule="exact"/>
              <w:rPr>
                <w:sz w:val="20"/>
                <w:szCs w:val="20"/>
                <w:color w:val="auto"/>
              </w:rPr>
            </w:pPr>
            <w:r>
              <w:rPr>
                <w:rFonts w:ascii="Arial" w:cs="Arial" w:eastAsia="Arial" w:hAnsi="Arial"/>
                <w:sz w:val="14"/>
                <w:szCs w:val="14"/>
                <w:color w:val="auto"/>
              </w:rPr>
              <w:t>Members' capital at September 30, 2018</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1,141,496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(16,331)</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1,125,165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78"/>
              </w:rPr>
              <w:t>Successor</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1"/>
              </w:rPr>
              <w:t>Predecessor</w:t>
            </w: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1"/>
              </w:rPr>
              <w:t>Predecessor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Year Ended</w:t>
            </w:r>
          </w:p>
        </w:tc>
        <w:tc>
          <w:tcPr>
            <w:tcW w:w="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85"/>
              </w:rPr>
              <w:t>October 1, 2018 to</w:t>
            </w:r>
          </w:p>
        </w:tc>
        <w:tc>
          <w:tcPr>
            <w:tcW w:w="4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January 1, 2018 to</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center"/>
              <w:ind w:right="6"/>
              <w:spacing w:after="0"/>
              <w:rPr>
                <w:sz w:val="20"/>
                <w:szCs w:val="20"/>
                <w:color w:val="auto"/>
              </w:rPr>
            </w:pPr>
            <w:r>
              <w:rPr>
                <w:rFonts w:ascii="Arial" w:cs="Arial" w:eastAsia="Arial" w:hAnsi="Arial"/>
                <w:sz w:val="11"/>
                <w:szCs w:val="11"/>
                <w:b w:val="1"/>
                <w:bCs w:val="1"/>
                <w:color w:val="auto"/>
                <w:w w:val="89"/>
              </w:rPr>
              <w:t>Year Ended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center"/>
              <w:ind w:right="86"/>
              <w:spacing w:after="0" w:line="122" w:lineRule="exact"/>
              <w:rPr>
                <w:sz w:val="20"/>
                <w:szCs w:val="20"/>
                <w:color w:val="auto"/>
              </w:rPr>
            </w:pPr>
            <w:r>
              <w:rPr>
                <w:rFonts w:ascii="Arial" w:cs="Arial" w:eastAsia="Arial" w:hAnsi="Arial"/>
                <w:sz w:val="11"/>
                <w:szCs w:val="11"/>
                <w:b w:val="1"/>
                <w:bCs w:val="1"/>
                <w:color w:val="auto"/>
                <w:w w:val="86"/>
              </w:rPr>
              <w:t>December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9"/>
              </w:rPr>
              <w:t>2019</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2018</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2018</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9"/>
              </w:rPr>
              <w:t>2017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Cash flows from operating activities</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2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173,024</w:t>
            </w: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29,307</w:t>
            </w: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130,160</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83,648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Adjustments to reconcile net income to net cash provided by operating activities:</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100"/>
              <w:spacing w:after="0" w:line="122" w:lineRule="exact"/>
              <w:rPr>
                <w:sz w:val="20"/>
                <w:szCs w:val="20"/>
                <w:color w:val="auto"/>
              </w:rPr>
            </w:pPr>
            <w:r>
              <w:rPr>
                <w:rFonts w:ascii="Arial" w:cs="Arial" w:eastAsia="Arial" w:hAnsi="Arial"/>
                <w:sz w:val="11"/>
                <w:szCs w:val="11"/>
                <w:color w:val="auto"/>
              </w:rPr>
              <w:t>Depreciation and amortization</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139,330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33,020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48,808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68,615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Contingent consideration</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26,830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58,520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100"/>
              <w:spacing w:after="0" w:line="122" w:lineRule="exact"/>
              <w:rPr>
                <w:sz w:val="20"/>
                <w:szCs w:val="20"/>
                <w:color w:val="auto"/>
              </w:rPr>
            </w:pPr>
            <w:r>
              <w:rPr>
                <w:rFonts w:ascii="Arial" w:cs="Arial" w:eastAsia="Arial" w:hAnsi="Arial"/>
                <w:sz w:val="11"/>
                <w:szCs w:val="11"/>
                <w:color w:val="auto"/>
              </w:rPr>
              <w:t>Vesting of P-1 (C) Shares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(5,728)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Stock-based compensation expense</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49,824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100"/>
              <w:spacing w:after="0" w:line="122" w:lineRule="exact"/>
              <w:rPr>
                <w:sz w:val="20"/>
                <w:szCs w:val="20"/>
                <w:color w:val="auto"/>
              </w:rPr>
            </w:pPr>
            <w:r>
              <w:rPr>
                <w:rFonts w:ascii="Arial" w:cs="Arial" w:eastAsia="Arial" w:hAnsi="Arial"/>
                <w:sz w:val="11"/>
                <w:szCs w:val="11"/>
                <w:color w:val="auto"/>
              </w:rPr>
              <w:t>Deferred taxes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15,024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968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2,602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(950)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Tax receivable agreement liability adjustment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(33,134)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100"/>
              <w:spacing w:after="0" w:line="122" w:lineRule="exact"/>
              <w:rPr>
                <w:sz w:val="20"/>
                <w:szCs w:val="20"/>
                <w:color w:val="auto"/>
              </w:rPr>
            </w:pPr>
            <w:r>
              <w:rPr>
                <w:rFonts w:ascii="Arial" w:cs="Arial" w:eastAsia="Arial" w:hAnsi="Arial"/>
                <w:sz w:val="11"/>
                <w:szCs w:val="11"/>
                <w:color w:val="auto"/>
              </w:rPr>
              <w:t>(Increase) decrease in operating assets: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Receivable from/payable to brokers and dealers and clearing organizations, net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3,188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1,265</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(4,640)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200"/>
              <w:spacing w:after="0" w:line="122" w:lineRule="exact"/>
              <w:rPr>
                <w:sz w:val="20"/>
                <w:szCs w:val="20"/>
                <w:color w:val="auto"/>
              </w:rPr>
            </w:pPr>
            <w:r>
              <w:rPr>
                <w:rFonts w:ascii="Arial" w:cs="Arial" w:eastAsia="Arial" w:hAnsi="Arial"/>
                <w:sz w:val="11"/>
                <w:szCs w:val="11"/>
                <w:color w:val="auto"/>
              </w:rPr>
              <w:t>Deposits with clearing organizations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1,789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(2,248)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726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606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Accounts receivable</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(4,283)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8,085</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(28,434)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11,196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200"/>
              <w:spacing w:after="0" w:line="122" w:lineRule="exact"/>
              <w:rPr>
                <w:sz w:val="20"/>
                <w:szCs w:val="20"/>
                <w:color w:val="auto"/>
              </w:rPr>
            </w:pPr>
            <w:r>
              <w:rPr>
                <w:rFonts w:ascii="Arial" w:cs="Arial" w:eastAsia="Arial" w:hAnsi="Arial"/>
                <w:sz w:val="11"/>
                <w:szCs w:val="11"/>
                <w:color w:val="auto"/>
              </w:rPr>
              <w:t>Receivable from/payable to affiliates, net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(2,461)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(1,102)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(1,850)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Other assets</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(5,648)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(4,695)</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(6,371)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100"/>
              <w:spacing w:after="0" w:line="122" w:lineRule="exact"/>
              <w:rPr>
                <w:sz w:val="20"/>
                <w:szCs w:val="20"/>
                <w:color w:val="auto"/>
              </w:rPr>
            </w:pPr>
            <w:r>
              <w:rPr>
                <w:rFonts w:ascii="Arial" w:cs="Arial" w:eastAsia="Arial" w:hAnsi="Arial"/>
                <w:sz w:val="11"/>
                <w:szCs w:val="11"/>
                <w:color w:val="auto"/>
              </w:rPr>
              <w:t>Increase (decrease) in operating liabilities: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Accrued compensation</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(1,783)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38,368</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(7,568)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12,364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200"/>
              <w:spacing w:after="0" w:line="122" w:lineRule="exact"/>
              <w:rPr>
                <w:sz w:val="20"/>
                <w:szCs w:val="20"/>
                <w:color w:val="auto"/>
              </w:rPr>
            </w:pPr>
            <w:r>
              <w:rPr>
                <w:rFonts w:ascii="Arial" w:cs="Arial" w:eastAsia="Arial" w:hAnsi="Arial"/>
                <w:sz w:val="11"/>
                <w:szCs w:val="11"/>
                <w:color w:val="auto"/>
              </w:rPr>
              <w:t>Deferred revenue</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(3,905)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(396)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(1,396)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(12,555)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Accounts payable, accrued expenses and other liabilities</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(3,550)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639</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8,793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Borders>
              <w:bottom w:val="single" w:sz="8" w:color="CCEEFF"/>
            </w:tcBorders>
          </w:tcPr>
          <w:p>
            <w:pPr>
              <w:ind w:left="200"/>
              <w:spacing w:after="0" w:line="122" w:lineRule="exact"/>
              <w:rPr>
                <w:sz w:val="20"/>
                <w:szCs w:val="20"/>
                <w:color w:val="auto"/>
              </w:rPr>
            </w:pPr>
            <w:r>
              <w:rPr>
                <w:rFonts w:ascii="Arial" w:cs="Arial" w:eastAsia="Arial" w:hAnsi="Arial"/>
                <w:sz w:val="11"/>
                <w:szCs w:val="11"/>
                <w:color w:val="auto"/>
              </w:rPr>
              <w:t>Employee equity compensation payable</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(16,412)</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9,345</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2,896</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2,380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shd w:val="clear" w:color="auto" w:fill="CCEEFF"/>
          </w:tcPr>
          <w:p>
            <w:pPr>
              <w:ind w:left="300"/>
              <w:spacing w:after="0" w:line="115" w:lineRule="exact"/>
              <w:rPr>
                <w:sz w:val="20"/>
                <w:szCs w:val="20"/>
                <w:color w:val="auto"/>
              </w:rPr>
            </w:pPr>
            <w:r>
              <w:rPr>
                <w:rFonts w:ascii="Arial" w:cs="Arial" w:eastAsia="Arial" w:hAnsi="Arial"/>
                <w:sz w:val="11"/>
                <w:szCs w:val="11"/>
                <w:color w:val="auto"/>
              </w:rPr>
              <w:t>Net cash provided by operating activities</w:t>
            </w:r>
          </w:p>
        </w:tc>
        <w:tc>
          <w:tcPr>
            <w:tcW w:w="1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311,003</w:t>
            </w: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auto"/>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112,556</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164,828</w:t>
            </w:r>
          </w:p>
        </w:tc>
        <w:tc>
          <w:tcPr>
            <w:tcW w:w="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224,580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Pr>
          <w:p>
            <w:pPr>
              <w:spacing w:after="0" w:line="115" w:lineRule="exact"/>
              <w:rPr>
                <w:sz w:val="20"/>
                <w:szCs w:val="20"/>
                <w:color w:val="auto"/>
              </w:rPr>
            </w:pPr>
            <w:r>
              <w:rPr>
                <w:rFonts w:ascii="Arial" w:cs="Arial" w:eastAsia="Arial" w:hAnsi="Arial"/>
                <w:sz w:val="11"/>
                <w:szCs w:val="11"/>
                <w:b w:val="1"/>
                <w:bCs w:val="1"/>
                <w:color w:val="auto"/>
              </w:rPr>
              <w:t>Cash flows from investing activities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Purchase of furniture, equipment, software and leasehold improvements</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(15,781)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(9,090)</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(6,327)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(13,461)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100"/>
              <w:spacing w:after="0" w:line="122" w:lineRule="exact"/>
              <w:rPr>
                <w:sz w:val="20"/>
                <w:szCs w:val="20"/>
                <w:color w:val="auto"/>
              </w:rPr>
            </w:pPr>
            <w:r>
              <w:rPr>
                <w:rFonts w:ascii="Arial" w:cs="Arial" w:eastAsia="Arial" w:hAnsi="Arial"/>
                <w:sz w:val="11"/>
                <w:szCs w:val="11"/>
                <w:color w:val="auto"/>
              </w:rPr>
              <w:t>Capitalized software development costs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(28,681)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(7,156)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(19,523)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(27,157)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Business acquisitions</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Borders>
              <w:bottom w:val="single" w:sz="8" w:color="CCEEFF"/>
            </w:tcBorders>
          </w:tcPr>
          <w:p>
            <w:pPr>
              <w:ind w:left="100"/>
              <w:spacing w:after="0" w:line="122" w:lineRule="exact"/>
              <w:rPr>
                <w:sz w:val="20"/>
                <w:szCs w:val="20"/>
                <w:color w:val="auto"/>
              </w:rPr>
            </w:pPr>
            <w:r>
              <w:rPr>
                <w:rFonts w:ascii="Arial" w:cs="Arial" w:eastAsia="Arial" w:hAnsi="Arial"/>
                <w:sz w:val="11"/>
                <w:szCs w:val="11"/>
                <w:color w:val="auto"/>
              </w:rPr>
              <w:t>Purchase of investments</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(5,000)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shd w:val="clear" w:color="auto" w:fill="CCEEFF"/>
          </w:tcPr>
          <w:p>
            <w:pPr>
              <w:ind w:left="300"/>
              <w:spacing w:after="0" w:line="115" w:lineRule="exact"/>
              <w:rPr>
                <w:sz w:val="20"/>
                <w:szCs w:val="20"/>
                <w:color w:val="auto"/>
              </w:rPr>
            </w:pPr>
            <w:r>
              <w:rPr>
                <w:rFonts w:ascii="Arial" w:cs="Arial" w:eastAsia="Arial" w:hAnsi="Arial"/>
                <w:sz w:val="11"/>
                <w:szCs w:val="11"/>
                <w:color w:val="auto"/>
              </w:rPr>
              <w:t>Net cash used in investing activities</w:t>
            </w:r>
          </w:p>
        </w:tc>
        <w:tc>
          <w:tcPr>
            <w:tcW w:w="1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(44,462)</w:t>
            </w: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(16,246)</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(25,850)</w:t>
            </w:r>
          </w:p>
        </w:tc>
        <w:tc>
          <w:tcPr>
            <w:tcW w:w="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(45,552)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Pr>
          <w:p>
            <w:pPr>
              <w:spacing w:after="0" w:line="115" w:lineRule="exact"/>
              <w:rPr>
                <w:sz w:val="20"/>
                <w:szCs w:val="20"/>
                <w:color w:val="auto"/>
              </w:rPr>
            </w:pPr>
            <w:r>
              <w:rPr>
                <w:rFonts w:ascii="Arial" w:cs="Arial" w:eastAsia="Arial" w:hAnsi="Arial"/>
                <w:sz w:val="11"/>
                <w:szCs w:val="11"/>
                <w:b w:val="1"/>
                <w:bCs w:val="1"/>
                <w:color w:val="auto"/>
              </w:rPr>
              <w:t>Cash flows from financing activities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Mezzanine capital contributions</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100"/>
              <w:spacing w:after="0" w:line="122" w:lineRule="exact"/>
              <w:rPr>
                <w:sz w:val="20"/>
                <w:szCs w:val="20"/>
                <w:color w:val="auto"/>
              </w:rPr>
            </w:pPr>
            <w:r>
              <w:rPr>
                <w:rFonts w:ascii="Arial" w:cs="Arial" w:eastAsia="Arial" w:hAnsi="Arial"/>
                <w:sz w:val="11"/>
                <w:szCs w:val="11"/>
                <w:color w:val="auto"/>
              </w:rPr>
              <w:t>Mezzanine capital distributions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(1,543)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Pre-IPO capital distributions</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(36,000)</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(139,350)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100"/>
              <w:spacing w:after="0" w:line="122" w:lineRule="exact"/>
              <w:rPr>
                <w:sz w:val="20"/>
                <w:szCs w:val="20"/>
                <w:color w:val="auto"/>
              </w:rPr>
            </w:pPr>
            <w:r>
              <w:rPr>
                <w:rFonts w:ascii="Arial" w:cs="Arial" w:eastAsia="Arial" w:hAnsi="Arial"/>
                <w:sz w:val="11"/>
                <w:szCs w:val="11"/>
                <w:color w:val="auto"/>
              </w:rPr>
              <w:t>Proceeds from issuance of Class A common stock in the IPO, net of underwriting discounts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1,161,270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Purchase of LLC Interests in connection with the IPO</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(1,161,270)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100"/>
              <w:spacing w:after="0" w:line="122" w:lineRule="exact"/>
              <w:rPr>
                <w:sz w:val="20"/>
                <w:szCs w:val="20"/>
                <w:color w:val="auto"/>
              </w:rPr>
            </w:pPr>
            <w:r>
              <w:rPr>
                <w:rFonts w:ascii="Arial" w:cs="Arial" w:eastAsia="Arial" w:hAnsi="Arial"/>
                <w:sz w:val="11"/>
                <w:szCs w:val="11"/>
                <w:color w:val="auto"/>
              </w:rPr>
              <w:t>Proceeds from issuance of Class A common stock in the follow-on offering</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809,954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Purchase of LLC Interests and Class A common stock in connection with the follow-on offering</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(809,954)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100"/>
              <w:spacing w:after="0" w:line="122" w:lineRule="exact"/>
              <w:rPr>
                <w:sz w:val="20"/>
                <w:szCs w:val="20"/>
                <w:color w:val="auto"/>
              </w:rPr>
            </w:pPr>
            <w:r>
              <w:rPr>
                <w:rFonts w:ascii="Arial" w:cs="Arial" w:eastAsia="Arial" w:hAnsi="Arial"/>
                <w:sz w:val="11"/>
                <w:szCs w:val="11"/>
                <w:color w:val="auto"/>
              </w:rPr>
              <w:t>Offering costs from IPO and follow-on offering</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(14,943)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Dividends</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(35,936)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100"/>
              <w:spacing w:after="0" w:line="122" w:lineRule="exact"/>
              <w:rPr>
                <w:sz w:val="20"/>
                <w:szCs w:val="20"/>
                <w:color w:val="auto"/>
              </w:rPr>
            </w:pPr>
            <w:r>
              <w:rPr>
                <w:rFonts w:ascii="Arial" w:cs="Arial" w:eastAsia="Arial" w:hAnsi="Arial"/>
                <w:sz w:val="11"/>
                <w:szCs w:val="11"/>
                <w:color w:val="auto"/>
              </w:rPr>
              <w:t>Distributions to non-controlling interests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(38,346)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Payroll taxes paid for stock-based compensation exercises</w:t>
            </w:r>
          </w:p>
        </w:tc>
        <w:tc>
          <w:tcPr>
            <w:tcW w:w="1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(8,917)</w:t>
            </w: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Borders>
              <w:bottom w:val="single" w:sz="8" w:color="CCEEFF"/>
            </w:tcBorders>
          </w:tcPr>
          <w:p>
            <w:pPr>
              <w:ind w:left="300"/>
              <w:spacing w:after="0" w:line="115" w:lineRule="exact"/>
              <w:rPr>
                <w:sz w:val="20"/>
                <w:szCs w:val="20"/>
                <w:color w:val="auto"/>
              </w:rPr>
            </w:pPr>
            <w:r>
              <w:rPr>
                <w:rFonts w:ascii="Arial" w:cs="Arial" w:eastAsia="Arial" w:hAnsi="Arial"/>
                <w:sz w:val="11"/>
                <w:szCs w:val="11"/>
                <w:color w:val="auto"/>
              </w:rPr>
              <w:t>Net cash used in financing activities</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(218,142)</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(36,000)</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(139,350)</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(153,461)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Effect of exchange rate changes on cash and cash equivalents</w:t>
            </w:r>
          </w:p>
        </w:tc>
        <w:tc>
          <w:tcPr>
            <w:tcW w:w="1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2,008</w:t>
            </w: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(389)</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(2,043)</w:t>
            </w:r>
          </w:p>
        </w:tc>
        <w:tc>
          <w:tcPr>
            <w:tcW w:w="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3,157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Pr>
          <w:p>
            <w:pPr>
              <w:ind w:left="300"/>
              <w:spacing w:after="0" w:line="115" w:lineRule="exact"/>
              <w:rPr>
                <w:sz w:val="20"/>
                <w:szCs w:val="20"/>
                <w:color w:val="auto"/>
              </w:rPr>
            </w:pPr>
            <w:r>
              <w:rPr>
                <w:rFonts w:ascii="Arial" w:cs="Arial" w:eastAsia="Arial" w:hAnsi="Arial"/>
                <w:sz w:val="11"/>
                <w:szCs w:val="11"/>
                <w:color w:val="auto"/>
              </w:rPr>
              <w:t>Net increase (decrease) in cash and cash equivalents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Arial" w:cs="Arial" w:eastAsia="Arial" w:hAnsi="Arial"/>
                <w:sz w:val="11"/>
                <w:szCs w:val="11"/>
                <w:color w:val="auto"/>
              </w:rPr>
              <w:t>50,407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jc w:val="right"/>
              <w:ind w:right="26"/>
              <w:spacing w:after="0" w:line="115" w:lineRule="exact"/>
              <w:rPr>
                <w:sz w:val="20"/>
                <w:szCs w:val="20"/>
                <w:color w:val="auto"/>
              </w:rPr>
            </w:pPr>
            <w:r>
              <w:rPr>
                <w:rFonts w:ascii="Arial" w:cs="Arial" w:eastAsia="Arial" w:hAnsi="Arial"/>
                <w:sz w:val="11"/>
                <w:szCs w:val="11"/>
                <w:color w:val="auto"/>
              </w:rPr>
              <w:t>59,921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1"/>
                <w:szCs w:val="11"/>
                <w:color w:val="auto"/>
              </w:rPr>
              <w:t>(2,415)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Arial" w:cs="Arial" w:eastAsia="Arial" w:hAnsi="Arial"/>
                <w:sz w:val="11"/>
                <w:szCs w:val="11"/>
                <w:color w:val="auto"/>
              </w:rPr>
              <w:t>28,724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Cash and cash equivalents and restricted cash</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Beginning of period</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411,304</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351,383</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353,798</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325,074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End of period</w:t>
            </w:r>
          </w:p>
        </w:tc>
        <w:tc>
          <w:tcPr>
            <w:tcW w:w="1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461,711</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right w:val="single" w:sz="8" w:color="auto"/>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411,304</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351,383</w:t>
            </w:r>
          </w:p>
        </w:tc>
        <w:tc>
          <w:tcPr>
            <w:tcW w:w="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353,798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2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Supplemental disclosure of cash flow information</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spacing w:after="0" w:line="122" w:lineRule="exact"/>
              <w:rPr>
                <w:sz w:val="20"/>
                <w:szCs w:val="20"/>
                <w:color w:val="auto"/>
              </w:rPr>
            </w:pPr>
            <w:r>
              <w:rPr>
                <w:rFonts w:ascii="Arial" w:cs="Arial" w:eastAsia="Arial" w:hAnsi="Arial"/>
                <w:sz w:val="11"/>
                <w:szCs w:val="11"/>
                <w:color w:val="auto"/>
              </w:rPr>
              <w:t>Interest paid</w:t>
            </w:r>
          </w:p>
        </w:tc>
        <w:tc>
          <w:tcPr>
            <w:tcW w:w="2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455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Income taxes paid</w:t>
            </w:r>
          </w:p>
        </w:tc>
        <w:tc>
          <w:tcPr>
            <w:tcW w:w="2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43,842</w:t>
            </w: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2,659</w:t>
            </w: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5,500</w:t>
            </w:r>
          </w:p>
        </w:tc>
        <w:tc>
          <w:tcPr>
            <w:tcW w:w="1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6,312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2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Non-cash financing activities</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spacing w:after="0" w:line="122" w:lineRule="exact"/>
              <w:rPr>
                <w:sz w:val="20"/>
                <w:szCs w:val="20"/>
                <w:color w:val="auto"/>
              </w:rPr>
            </w:pPr>
            <w:r>
              <w:rPr>
                <w:rFonts w:ascii="Arial" w:cs="Arial" w:eastAsia="Arial" w:hAnsi="Arial"/>
                <w:sz w:val="11"/>
                <w:szCs w:val="11"/>
                <w:color w:val="auto"/>
                <w:w w:val="92"/>
              </w:rPr>
              <w:t>Items arising from the reorganization transactions, IPO, follow-on offering and other LLC Interest ownership changes: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Establishment of liabilities under tax receivable agreement</w:t>
            </w:r>
          </w:p>
        </w:tc>
        <w:tc>
          <w:tcPr>
            <w:tcW w:w="2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273,951</w:t>
            </w: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ind w:left="100"/>
              <w:spacing w:after="0" w:line="122" w:lineRule="exact"/>
              <w:rPr>
                <w:sz w:val="20"/>
                <w:szCs w:val="20"/>
                <w:color w:val="auto"/>
              </w:rPr>
            </w:pPr>
            <w:r>
              <w:rPr>
                <w:rFonts w:ascii="Arial" w:cs="Arial" w:eastAsia="Arial" w:hAnsi="Arial"/>
                <w:sz w:val="11"/>
                <w:szCs w:val="11"/>
                <w:color w:val="auto"/>
              </w:rPr>
              <w:t>Deferred tax asset</w:t>
            </w:r>
          </w:p>
        </w:tc>
        <w:tc>
          <w:tcPr>
            <w:tcW w:w="2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269,569</w:t>
            </w: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contingent consideration</w:t>
            </w:r>
          </w:p>
        </w:tc>
        <w:tc>
          <w:tcPr>
            <w:tcW w:w="2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150,495</w:t>
            </w:r>
          </w:p>
        </w:tc>
        <w:tc>
          <w:tcPr>
            <w:tcW w:w="1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Pr>
          <w:p>
            <w:pPr>
              <w:spacing w:after="0" w:line="122" w:lineRule="exact"/>
              <w:rPr>
                <w:sz w:val="20"/>
                <w:szCs w:val="20"/>
                <w:color w:val="auto"/>
              </w:rPr>
            </w:pPr>
            <w:r>
              <w:rPr>
                <w:rFonts w:ascii="Arial" w:cs="Arial" w:eastAsia="Arial" w:hAnsi="Arial"/>
                <w:sz w:val="11"/>
                <w:szCs w:val="11"/>
                <w:color w:val="auto"/>
              </w:rPr>
              <w:t>Conversion of convertible term note payable to Thomson Reuters to Class A Shares</w:t>
            </w:r>
          </w:p>
        </w:tc>
        <w:tc>
          <w:tcPr>
            <w:tcW w:w="2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29,285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Conversion of certain cash-settled PRSUs to equity-settled PRSUs</w:t>
            </w:r>
          </w:p>
        </w:tc>
        <w:tc>
          <w:tcPr>
            <w:tcW w:w="2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19,072</w:t>
            </w: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89"/>
              </w:rPr>
              <w:t>December 31,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auto"/>
                <w:w w:val="86"/>
              </w:rPr>
              <w:t>December 31,</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00" w:type="dxa"/>
            <w:vAlign w:val="bottom"/>
            <w:gridSpan w:val="2"/>
          </w:tcPr>
          <w:p>
            <w:pPr>
              <w:spacing w:after="0"/>
              <w:rPr>
                <w:sz w:val="20"/>
                <w:szCs w:val="20"/>
                <w:color w:val="auto"/>
              </w:rPr>
            </w:pPr>
            <w:r>
              <w:rPr>
                <w:rFonts w:ascii="Arial" w:cs="Arial" w:eastAsia="Arial" w:hAnsi="Arial"/>
                <w:sz w:val="11"/>
                <w:szCs w:val="11"/>
                <w:b w:val="1"/>
                <w:bCs w:val="1"/>
                <w:color w:val="auto"/>
                <w:w w:val="90"/>
              </w:rPr>
              <w:t>Reconciliation of cash, cash equivalents and restricted cash as shown on the statements of financial condition:</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46"/>
              <w:spacing w:after="0"/>
              <w:rPr>
                <w:sz w:val="20"/>
                <w:szCs w:val="20"/>
                <w:color w:val="auto"/>
              </w:rPr>
            </w:pPr>
            <w:r>
              <w:rPr>
                <w:rFonts w:ascii="Arial" w:cs="Arial" w:eastAsia="Arial" w:hAnsi="Arial"/>
                <w:sz w:val="11"/>
                <w:szCs w:val="11"/>
                <w:b w:val="1"/>
                <w:bCs w:val="1"/>
                <w:color w:val="auto"/>
                <w:w w:val="89"/>
              </w:rPr>
              <w:t>2018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Cash and cash equivalents</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460,711</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right w:val="single" w:sz="8" w:color="CCEEFF"/>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410,104</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Borders>
              <w:bottom w:val="single" w:sz="8" w:color="CCEEFF"/>
            </w:tcBorders>
          </w:tcPr>
          <w:p>
            <w:pPr>
              <w:spacing w:after="0" w:line="122" w:lineRule="exact"/>
              <w:rPr>
                <w:sz w:val="20"/>
                <w:szCs w:val="20"/>
                <w:color w:val="auto"/>
              </w:rPr>
            </w:pPr>
            <w:r>
              <w:rPr>
                <w:rFonts w:ascii="Arial" w:cs="Arial" w:eastAsia="Arial" w:hAnsi="Arial"/>
                <w:sz w:val="11"/>
                <w:szCs w:val="11"/>
                <w:color w:val="auto"/>
              </w:rPr>
              <w:t>Restricted cash</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1,000</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1,200</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Cash, cash equivalents and restricted cash shown in the statement of cash flows</w:t>
            </w:r>
          </w:p>
        </w:tc>
        <w:tc>
          <w:tcPr>
            <w:tcW w:w="1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461,711</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right w:val="single" w:sz="8" w:color="CCEEFF"/>
            </w:tcBorders>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411,304</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gridSpan w:val="2"/>
            <w:vMerge w:val="restart"/>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Note 1</w:t>
              </w:r>
            </w:hyperlink>
          </w:p>
        </w:tc>
        <w:tc>
          <w:tcPr>
            <w:tcW w:w="3700" w:type="dxa"/>
            <w:vAlign w:val="bottom"/>
            <w:gridSpan w:val="19"/>
            <w:vMerge w:val="restart"/>
          </w:tcPr>
          <w:p>
            <w:pPr>
              <w:ind w:left="160"/>
              <w:spacing w:after="0"/>
              <w:rPr>
                <w:rFonts w:ascii="Arial" w:cs="Arial" w:eastAsia="Arial" w:hAnsi="Arial"/>
                <w:sz w:val="18"/>
                <w:szCs w:val="18"/>
                <w:color w:val="0000EE"/>
              </w:rPr>
            </w:pPr>
            <w:hyperlink w:anchor="page126">
              <w:r>
                <w:rPr>
                  <w:rFonts w:ascii="Arial" w:cs="Arial" w:eastAsia="Arial" w:hAnsi="Arial"/>
                  <w:sz w:val="18"/>
                  <w:szCs w:val="18"/>
                  <w:color w:val="0000EE"/>
                </w:rPr>
                <w:t>Organization</w:t>
              </w:r>
            </w:hyperlink>
          </w:p>
        </w:tc>
        <w:tc>
          <w:tcPr>
            <w:tcW w:w="4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580" w:type="dxa"/>
            <w:vAlign w:val="bottom"/>
            <w:gridSpan w:val="2"/>
            <w:vMerge w:val="continue"/>
          </w:tcPr>
          <w:p>
            <w:pPr>
              <w:spacing w:after="0"/>
              <w:rPr>
                <w:sz w:val="13"/>
                <w:szCs w:val="13"/>
                <w:color w:val="auto"/>
              </w:rPr>
            </w:pPr>
          </w:p>
        </w:tc>
        <w:tc>
          <w:tcPr>
            <w:tcW w:w="3700" w:type="dxa"/>
            <w:vAlign w:val="bottom"/>
            <w:gridSpan w:val="19"/>
            <w:vMerge w:val="continue"/>
          </w:tcPr>
          <w:p>
            <w:pPr>
              <w:spacing w:after="0"/>
              <w:rPr>
                <w:sz w:val="13"/>
                <w:szCs w:val="13"/>
                <w:color w:val="auto"/>
              </w:rPr>
            </w:pPr>
          </w:p>
        </w:tc>
        <w:tc>
          <w:tcPr>
            <w:tcW w:w="3940" w:type="dxa"/>
            <w:vAlign w:val="bottom"/>
          </w:tcPr>
          <w:p>
            <w:pPr>
              <w:spacing w:after="0"/>
              <w:rPr>
                <w:sz w:val="13"/>
                <w:szCs w:val="13"/>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7"/>
        </w:trPr>
        <w:tc>
          <w:tcPr>
            <w:tcW w:w="4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gridSpan w:val="2"/>
          </w:tcPr>
          <w:p>
            <w:pPr>
              <w:spacing w:after="0" w:line="202" w:lineRule="exact"/>
              <w:rPr>
                <w:rFonts w:ascii="Arial" w:cs="Arial" w:eastAsia="Arial" w:hAnsi="Arial"/>
                <w:sz w:val="18"/>
                <w:szCs w:val="18"/>
                <w:color w:val="0000EE"/>
              </w:rPr>
            </w:pPr>
            <w:hyperlink w:anchor="page129">
              <w:r>
                <w:rPr>
                  <w:rFonts w:ascii="Arial" w:cs="Arial" w:eastAsia="Arial" w:hAnsi="Arial"/>
                  <w:sz w:val="18"/>
                  <w:szCs w:val="18"/>
                  <w:color w:val="0000EE"/>
                </w:rPr>
                <w:t>Note 2</w:t>
              </w:r>
            </w:hyperlink>
          </w:p>
        </w:tc>
        <w:tc>
          <w:tcPr>
            <w:tcW w:w="3700" w:type="dxa"/>
            <w:vAlign w:val="bottom"/>
            <w:gridSpan w:val="19"/>
          </w:tcPr>
          <w:p>
            <w:pPr>
              <w:ind w:left="160"/>
              <w:spacing w:after="0" w:line="202" w:lineRule="exact"/>
              <w:rPr>
                <w:rFonts w:ascii="Arial" w:cs="Arial" w:eastAsia="Arial" w:hAnsi="Arial"/>
                <w:sz w:val="18"/>
                <w:szCs w:val="18"/>
                <w:color w:val="0000EE"/>
              </w:rPr>
            </w:pPr>
            <w:hyperlink w:anchor="page129">
              <w:r>
                <w:rPr>
                  <w:rFonts w:ascii="Arial" w:cs="Arial" w:eastAsia="Arial" w:hAnsi="Arial"/>
                  <w:sz w:val="18"/>
                  <w:szCs w:val="18"/>
                  <w:color w:val="0000EE"/>
                </w:rPr>
                <w:t>Significant Accounting Policies</w:t>
              </w:r>
            </w:hyperlink>
          </w:p>
        </w:tc>
        <w:tc>
          <w:tcPr>
            <w:tcW w:w="4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Note 3</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Pushdown Accounting</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Note 4</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Intangible Assets and Goodwill</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Note 5</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Leases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Note 6</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Restricted Cash</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Note 7</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Deferred Revenue</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Note 8</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Software Development Costs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Note 9</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Income Taxes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Note 10</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Tax Receivable Agreement</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Note 11</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Stockholders’ Equity</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Note 12</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Non-Controlling Interests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Note 13</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Stock-Based Compensation Plans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Note 14</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Related Party Transactions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0">
              <w:r>
                <w:rPr>
                  <w:rFonts w:ascii="Arial" w:cs="Arial" w:eastAsia="Arial" w:hAnsi="Arial"/>
                  <w:sz w:val="18"/>
                  <w:szCs w:val="18"/>
                  <w:color w:val="0000EE"/>
                  <w:w w:val="88"/>
                </w:rPr>
                <w:t>Note 15</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Fair Value of Financial Instruments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0">
              <w:r>
                <w:rPr>
                  <w:rFonts w:ascii="Arial" w:cs="Arial" w:eastAsia="Arial" w:hAnsi="Arial"/>
                  <w:sz w:val="18"/>
                  <w:szCs w:val="18"/>
                  <w:color w:val="0000EE"/>
                  <w:w w:val="88"/>
                </w:rPr>
                <w:t>Note 16</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Credit Risk</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1">
              <w:r>
                <w:rPr>
                  <w:rFonts w:ascii="Arial" w:cs="Arial" w:eastAsia="Arial" w:hAnsi="Arial"/>
                  <w:sz w:val="18"/>
                  <w:szCs w:val="18"/>
                  <w:color w:val="0000EE"/>
                  <w:w w:val="88"/>
                </w:rPr>
                <w:t>Note 17</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Commitments and Contingencies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EE"/>
            </w:tcBorders>
            <w:gridSpan w:val="7"/>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2">
              <w:r>
                <w:rPr>
                  <w:rFonts w:ascii="Arial" w:cs="Arial" w:eastAsia="Arial" w:hAnsi="Arial"/>
                  <w:sz w:val="18"/>
                  <w:szCs w:val="18"/>
                  <w:color w:val="0000EE"/>
                  <w:w w:val="88"/>
                </w:rPr>
                <w:t>Note 18</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Earnings Per Share</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EE"/>
            </w:tcBorders>
            <w:gridSpan w:val="7"/>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3">
              <w:r>
                <w:rPr>
                  <w:rFonts w:ascii="Arial" w:cs="Arial" w:eastAsia="Arial" w:hAnsi="Arial"/>
                  <w:sz w:val="18"/>
                  <w:szCs w:val="18"/>
                  <w:color w:val="0000EE"/>
                  <w:w w:val="88"/>
                </w:rPr>
                <w:t>Note 19</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Regulatory Capital Requirements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EE"/>
            </w:tcBorders>
            <w:gridSpan w:val="7"/>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4">
              <w:r>
                <w:rPr>
                  <w:rFonts w:ascii="Arial" w:cs="Arial" w:eastAsia="Arial" w:hAnsi="Arial"/>
                  <w:sz w:val="18"/>
                  <w:szCs w:val="18"/>
                  <w:color w:val="0000EE"/>
                  <w:w w:val="88"/>
                </w:rPr>
                <w:t>Note 20</w:t>
              </w:r>
            </w:hyperlink>
          </w:p>
        </w:tc>
        <w:tc>
          <w:tcPr>
            <w:tcW w:w="3700" w:type="dxa"/>
            <w:vAlign w:val="bottom"/>
            <w:gridSpan w:val="19"/>
          </w:tcPr>
          <w:p>
            <w:pPr>
              <w:ind w:left="160"/>
              <w:spacing w:after="0" w:line="196"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Business Segment and Geographic Information</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EE"/>
            </w:tcBorders>
            <w:gridSpan w:val="7"/>
            <w:shd w:val="clear" w:color="auto" w:fill="0000EE"/>
          </w:tcPr>
          <w:p>
            <w:pPr>
              <w:spacing w:after="0" w:line="20" w:lineRule="exact"/>
              <w:rPr>
                <w:sz w:val="1"/>
                <w:szCs w:val="1"/>
                <w:color w:val="auto"/>
              </w:rPr>
            </w:pPr>
          </w:p>
        </w:tc>
        <w:tc>
          <w:tcPr>
            <w:tcW w:w="182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5">
              <w:r>
                <w:rPr>
                  <w:rFonts w:ascii="Arial" w:cs="Arial" w:eastAsia="Arial" w:hAnsi="Arial"/>
                  <w:sz w:val="18"/>
                  <w:szCs w:val="18"/>
                  <w:color w:val="0000EE"/>
                  <w:w w:val="88"/>
                </w:rPr>
                <w:t>Note 21</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Quarterly Results of Operations (Unaudited)</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right w:val="single" w:sz="8" w:color="0000EE"/>
            </w:tcBorders>
            <w:gridSpan w:val="7"/>
            <w:shd w:val="clear" w:color="auto" w:fill="0000EE"/>
          </w:tcPr>
          <w:p>
            <w:pPr>
              <w:spacing w:after="0" w:line="20" w:lineRule="exact"/>
              <w:rPr>
                <w:sz w:val="1"/>
                <w:szCs w:val="1"/>
                <w:color w:val="auto"/>
              </w:rPr>
            </w:pPr>
          </w:p>
        </w:tc>
        <w:tc>
          <w:tcPr>
            <w:tcW w:w="1820" w:type="dxa"/>
            <w:vAlign w:val="bottom"/>
            <w:gridSpan w:val="9"/>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w w:val="88"/>
              </w:rPr>
            </w:pPr>
            <w:hyperlink w:anchor="page156">
              <w:r>
                <w:rPr>
                  <w:rFonts w:ascii="Arial" w:cs="Arial" w:eastAsia="Arial" w:hAnsi="Arial"/>
                  <w:sz w:val="18"/>
                  <w:szCs w:val="18"/>
                  <w:color w:val="0000EE"/>
                  <w:w w:val="88"/>
                </w:rPr>
                <w:t>Note 22</w:t>
              </w:r>
            </w:hyperlink>
          </w:p>
        </w:tc>
        <w:tc>
          <w:tcPr>
            <w:tcW w:w="3700" w:type="dxa"/>
            <w:vAlign w:val="bottom"/>
            <w:gridSpan w:val="19"/>
          </w:tcPr>
          <w:p>
            <w:pPr>
              <w:ind w:left="160"/>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Subsequent Events</w:t>
              </w:r>
            </w:hyperlink>
          </w:p>
        </w:tc>
        <w:tc>
          <w:tcPr>
            <w:tcW w:w="4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885"/>
        </w:trPr>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tcPr>
          <w:p>
            <w:pPr>
              <w:jc w:val="right"/>
              <w:ind w:right="3470"/>
              <w:spacing w:after="0"/>
              <w:rPr>
                <w:sz w:val="20"/>
                <w:szCs w:val="20"/>
                <w:color w:val="auto"/>
              </w:rPr>
            </w:pPr>
            <w:r>
              <w:rPr>
                <w:rFonts w:ascii="Arial" w:cs="Arial" w:eastAsia="Arial" w:hAnsi="Arial"/>
                <w:sz w:val="18"/>
                <w:szCs w:val="18"/>
                <w:color w:val="auto"/>
              </w:rPr>
              <w:t>125</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18" w:lineRule="exact"/>
        <w:rPr>
          <w:sz w:val="20"/>
          <w:szCs w:val="20"/>
          <w:color w:val="auto"/>
        </w:rPr>
      </w:pPr>
    </w:p>
    <w:p>
      <w:pPr>
        <w:ind w:left="580" w:hanging="577"/>
        <w:spacing w:after="0"/>
        <w:tabs>
          <w:tab w:leader="none" w:pos="5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Tradeweb Markets Inc. (the “Corporation”) was incorporated as a Delaware corporation on November 7, 2018 for the purpose of completing certain reorganization transactions in order to carry on the business of Tradeweb Markets LLC (“TWM LLC”) and conducting an initial public offering (“IPO”) as described below under “—Initial Public Offering” and “—Reorganization Transactions.”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Corporation is a consolidating subsidiary of BCP York Holdings, (“BCP”) a company owned by certain investment funds affiliated with The Blackstone Group Inc. (f/k/a The Blackstone Group L.P.) (“Blackstone”), through BCP’s majority ownership interest in Refinitiv Holdings Limited (the “Parent” and, unless otherwise stated or the context otherwise requires, together with all of its subsidiaries, “Refinitiv”). Refinitiv owns a majority ownership interest in the Company (as defined below).</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December 31, 2019, Tradeweb Markets Inc. owns 73.4% of TWM LLC and the non-controlling interest holders own the remaining 26.6% of TWM LLC.</w:t>
      </w:r>
    </w:p>
    <w:p>
      <w:pPr>
        <w:spacing w:after="0" w:line="165"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Unless the context otherwise requires, references to the “Company” refer to Tradeweb Markets Inc. and its consolidated subsidiaries, including TWM LLC, following the completion of the Reorganization Transactions (as defined below), and TWM LLC and its consolidated subsidiaries prior to the completion of the Reorganization Transactions.</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70" w:lineRule="exact"/>
        <w:rPr>
          <w:sz w:val="20"/>
          <w:szCs w:val="20"/>
          <w:color w:val="auto"/>
        </w:rPr>
      </w:pPr>
    </w:p>
    <w:p>
      <w:pPr>
        <w:ind w:left="1020" w:right="140" w:hanging="328"/>
        <w:spacing w:after="0" w:line="259"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86" w:lineRule="exact"/>
        <w:rPr>
          <w:rFonts w:ascii="Arial" w:cs="Arial" w:eastAsia="Arial" w:hAnsi="Arial"/>
          <w:sz w:val="18"/>
          <w:szCs w:val="18"/>
          <w:color w:val="auto"/>
        </w:rPr>
      </w:pPr>
    </w:p>
    <w:p>
      <w:pPr>
        <w:ind w:left="1020" w:right="180" w:hanging="328"/>
        <w:spacing w:after="0" w:line="264"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DW is a registered broker-dealer under the Securities Exchange Act of 1934 and a member of FINRA. DW is also registered as an introducing broker with the CFTC and NFA.</w:t>
      </w:r>
    </w:p>
    <w:p>
      <w:pPr>
        <w:spacing w:after="0" w:line="181" w:lineRule="exact"/>
        <w:rPr>
          <w:rFonts w:ascii="Arial" w:cs="Arial" w:eastAsia="Arial" w:hAnsi="Arial"/>
          <w:sz w:val="18"/>
          <w:szCs w:val="18"/>
          <w:color w:val="auto"/>
        </w:rPr>
      </w:pPr>
    </w:p>
    <w:p>
      <w:pPr>
        <w:ind w:left="1020" w:hanging="328"/>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Securities Exchange Act of 1934 and a member of FINRA.</w:t>
      </w:r>
    </w:p>
    <w:p>
      <w:pPr>
        <w:spacing w:after="0" w:line="170" w:lineRule="exact"/>
        <w:rPr>
          <w:rFonts w:ascii="Arial" w:cs="Arial" w:eastAsia="Arial" w:hAnsi="Arial"/>
          <w:sz w:val="18"/>
          <w:szCs w:val="18"/>
          <w:color w:val="auto"/>
        </w:rPr>
      </w:pPr>
    </w:p>
    <w:p>
      <w:pPr>
        <w:ind w:left="1020" w:right="440" w:hanging="328"/>
        <w:spacing w:after="0" w:line="264"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81" w:lineRule="exact"/>
        <w:rPr>
          <w:rFonts w:ascii="Arial" w:cs="Arial" w:eastAsia="Arial" w:hAnsi="Arial"/>
          <w:sz w:val="18"/>
          <w:szCs w:val="18"/>
          <w:color w:val="auto"/>
        </w:rPr>
      </w:pPr>
    </w:p>
    <w:p>
      <w:pPr>
        <w:ind w:left="1020" w:hanging="328"/>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225" w:lineRule="exact"/>
        <w:rPr>
          <w:rFonts w:ascii="Arial" w:cs="Arial" w:eastAsia="Arial" w:hAnsi="Arial"/>
          <w:sz w:val="18"/>
          <w:szCs w:val="18"/>
          <w:color w:val="auto"/>
        </w:rPr>
      </w:pPr>
    </w:p>
    <w:p>
      <w:pPr>
        <w:ind w:left="1020" w:right="700" w:hanging="328"/>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right="440" w:hanging="328"/>
        <w:spacing w:after="0" w:line="277"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Tradeweb EU B.V. (“TWEU”), a Trading Venue and Approved Publication Arrangement regulated by the Netherlands Authority for the Financial Markets (“AFM”).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Parent Company and Presentation of Financial Statements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majority interest of Refinitiv (formerly the Thomson Reuters Financial &amp; Risk Business) was acquired by BCP on October 1, 2018 (the “Refinitiv Transaction”) from Thomson Reuters Corporation (“TR”). The accompanying consolidated financial statements are presented for two periods: predecessor and successor, which relate to the periods preceding and succeeding the Refinitiv Transaction, respectively. The Refinitiv Transaction results in a new basis of accounting beginning on October 1, 2018 and the financial reporting periods are presented as follows:</w:t>
      </w:r>
    </w:p>
    <w:p>
      <w:pPr>
        <w:spacing w:after="0" w:line="173" w:lineRule="exact"/>
        <w:rPr>
          <w:sz w:val="20"/>
          <w:szCs w:val="20"/>
          <w:color w:val="auto"/>
        </w:rPr>
      </w:pPr>
    </w:p>
    <w:p>
      <w:pPr>
        <w:jc w:val="both"/>
        <w:ind w:left="700" w:right="160" w:hanging="333"/>
        <w:spacing w:after="0" w:line="264"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successor period of the Company, reflecting the Refinitiv Transaction, as of and for the year ended December 31, 2019 and as of December 31, 2018 and for the period from October 1, 2018 to December 31, 2018 (the “2018 Successor Period”).</w:t>
      </w:r>
    </w:p>
    <w:p>
      <w:pPr>
        <w:spacing w:after="0" w:line="181" w:lineRule="exact"/>
        <w:rPr>
          <w:rFonts w:ascii="Arial" w:cs="Arial" w:eastAsia="Arial" w:hAnsi="Arial"/>
          <w:sz w:val="18"/>
          <w:szCs w:val="18"/>
          <w:color w:val="auto"/>
        </w:rPr>
      </w:pPr>
    </w:p>
    <w:p>
      <w:pPr>
        <w:ind w:left="700" w:right="400" w:hanging="333"/>
        <w:spacing w:after="0" w:line="27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predecessor period of the Company for the period from January 1, 2018 to September 30, 2018 (the “2018 Predecessor Period”) and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3 – Pushdown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April 8, 2019, the Corporation completed its IPO of 46,000,000 shares of Class A common stock, par value $0.00001 per share, of the Corporation (the “Class A common stock”) at a public offering price of $27.00, which included 6,000,000 shares of Class A common stock issued pursuant to the underwriters’ option to purchase additional shares of Class A common stock. The Corporation received $1.2 billion in net proceeds, after deducting underwriting discounts and commissions but before deducting offering expenses, which were used to purchase membership interests of TWM LLC from certain existing equity holders of TWM LLC (and the corresponding shares of common stock were cancelled as described below), at a purchase price per interest equal to the public offering price of $27.00, less the underwriting discounts and commissions payable thereon. See Note 11 – Stockholders’ Equity.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Prior to the closing of the IPO, a series of reorganization transactions (the “Reorganization Transactions”) was completed among the Corporation, TWM LLC and the owners of TWM LLC prior to the Reorganization Transactions (collectively, the “Original LLC Owners”), including the following parties:</w:t>
      </w:r>
    </w:p>
    <w:p>
      <w:pPr>
        <w:spacing w:after="0" w:line="181" w:lineRule="exact"/>
        <w:rPr>
          <w:sz w:val="20"/>
          <w:szCs w:val="20"/>
          <w:color w:val="auto"/>
        </w:rPr>
      </w:pPr>
    </w:p>
    <w:p>
      <w:pPr>
        <w:ind w:left="980" w:hanging="329"/>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investment and commercial banks (collectively, the “Bank Stockholders”);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members of management;</w:t>
      </w:r>
    </w:p>
    <w:p>
      <w:pPr>
        <w:spacing w:after="0" w:line="225" w:lineRule="exact"/>
        <w:rPr>
          <w:rFonts w:ascii="Arial" w:cs="Arial" w:eastAsia="Arial" w:hAnsi="Arial"/>
          <w:sz w:val="18"/>
          <w:szCs w:val="18"/>
          <w:color w:val="auto"/>
        </w:rPr>
      </w:pPr>
    </w:p>
    <w:p>
      <w:pPr>
        <w:ind w:left="980" w:right="100" w:hanging="329"/>
        <w:spacing w:after="0" w:line="272" w:lineRule="auto"/>
        <w:tabs>
          <w:tab w:leader="none" w:pos="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Refinitiv Direct Owner, (i) prior to June 28, 2019, a direct subsidiary of Refinitiv that owned interests in an entity that held membership interests of TWM LLC prior to the Reorganization Transactions and contributed such entity to the Corporation (the “Refinitiv Contribution”) in exchange for shares of Class B common stock, par value $0.00001 per share, of the Corporation (the “Class B common stock”) in connection with the completion of the Reorganization Transactions and (ii) on and after June 28, 2019, an indirect subsidiary of Refinitiv that owns shares of Class B common stock which shares were contributed by the direct subsidiary of Refinitiv referred to in the foregoing clause (i); and</w:t>
      </w:r>
    </w:p>
    <w:p>
      <w:pPr>
        <w:spacing w:after="0" w:line="177" w:lineRule="exact"/>
        <w:rPr>
          <w:rFonts w:ascii="Arial" w:cs="Arial" w:eastAsia="Arial" w:hAnsi="Arial"/>
          <w:sz w:val="17"/>
          <w:szCs w:val="17"/>
          <w:color w:val="auto"/>
        </w:rPr>
      </w:pPr>
    </w:p>
    <w:p>
      <w:pPr>
        <w:ind w:left="980" w:right="40" w:hanging="329"/>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indirect subsidiary (the “Refinitiv LLC Owner” and, together with the Refinitiv Direct Owner, the “Refinitiv Owners”) of Refinitiv.</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70" w:lineRule="auto"/>
        <w:rPr>
          <w:sz w:val="20"/>
          <w:szCs w:val="20"/>
          <w:color w:val="auto"/>
        </w:rPr>
      </w:pPr>
      <w:r>
        <w:rPr>
          <w:rFonts w:ascii="Arial" w:cs="Arial" w:eastAsia="Arial" w:hAnsi="Arial"/>
          <w:sz w:val="17"/>
          <w:szCs w:val="17"/>
          <w:color w:val="auto"/>
        </w:rPr>
        <w:t>As used herein, references to “Continuing LLC Owners” refer collectively to (i) those Original LLC Owners, including the Refinitiv LLC Owner, certain Bank Stockholders and members of management, that continued to own LLC Interests (as defined below) after the completion of the IPO and Reorganization Transactions,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and that may redeem or exchange their LLC Interests for shares of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Reorganization Transactions occurred:</w:t>
      </w:r>
    </w:p>
    <w:p>
      <w:pPr>
        <w:spacing w:after="0" w:line="225" w:lineRule="exact"/>
        <w:rPr>
          <w:sz w:val="20"/>
          <w:szCs w:val="20"/>
          <w:color w:val="auto"/>
        </w:rPr>
      </w:pPr>
    </w:p>
    <w:p>
      <w:pPr>
        <w:ind w:left="980" w:right="39" w:hanging="329"/>
        <w:spacing w:after="0" w:line="279" w:lineRule="auto"/>
        <w:tabs>
          <w:tab w:leader="none" w:pos="9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TWM LLC’s limited liability company agreement (the “TWM LLC Agreement”) was amended and restated to, among other things, (i) provide for a new single class of common membership interests in TWM LLC (“LLC Interests”), (ii) exchange all of the then existing membership interests in TWM LLC for LLC Interests and (iii) appoint the Corporation as the sole manager of TWM LLC. See Note 11 – Stockholders’ Equity.</w:t>
      </w:r>
    </w:p>
    <w:p>
      <w:pPr>
        <w:spacing w:after="0" w:line="171" w:lineRule="exact"/>
        <w:rPr>
          <w:rFonts w:ascii="Arial" w:cs="Arial" w:eastAsia="Arial" w:hAnsi="Arial"/>
          <w:sz w:val="17"/>
          <w:szCs w:val="17"/>
          <w:color w:val="auto"/>
        </w:rPr>
      </w:pPr>
    </w:p>
    <w:p>
      <w:pPr>
        <w:ind w:left="980" w:right="159" w:hanging="329"/>
        <w:spacing w:after="0" w:line="264"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amended and restated to, among other things, provide for Class A common stock, Class B common stock, Class C common stock and Class D common stock. See Note 11 – Stockholders’ Equity.</w:t>
      </w:r>
    </w:p>
    <w:p>
      <w:pPr>
        <w:spacing w:after="0" w:line="181" w:lineRule="exact"/>
        <w:rPr>
          <w:rFonts w:ascii="Arial" w:cs="Arial" w:eastAsia="Arial" w:hAnsi="Arial"/>
          <w:sz w:val="18"/>
          <w:szCs w:val="18"/>
          <w:color w:val="auto"/>
        </w:rPr>
      </w:pPr>
    </w:p>
    <w:p>
      <w:pPr>
        <w:ind w:left="980" w:right="59" w:hanging="329"/>
        <w:spacing w:after="0" w:line="255"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(and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189" w:lineRule="exact"/>
        <w:rPr>
          <w:rFonts w:ascii="Arial" w:cs="Arial" w:eastAsia="Arial" w:hAnsi="Arial"/>
          <w:sz w:val="18"/>
          <w:szCs w:val="18"/>
          <w:color w:val="auto"/>
        </w:rPr>
      </w:pPr>
    </w:p>
    <w:p>
      <w:pPr>
        <w:ind w:left="980" w:right="79" w:hanging="329"/>
        <w:spacing w:after="0" w:line="264"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a result of the Refinitiv Contribution (described above), the Corporation received 96,933,192 LLC Interests and the Refinitiv Direct Owner received 96,933,192 shares of Class B common stock. See Note 11 – Stockholders’ Equity.</w:t>
      </w:r>
    </w:p>
    <w:p>
      <w:pPr>
        <w:spacing w:after="0" w:line="181" w:lineRule="exact"/>
        <w:rPr>
          <w:rFonts w:ascii="Arial" w:cs="Arial" w:eastAsia="Arial" w:hAnsi="Arial"/>
          <w:sz w:val="18"/>
          <w:szCs w:val="18"/>
          <w:color w:val="auto"/>
        </w:rPr>
      </w:pPr>
    </w:p>
    <w:p>
      <w:pPr>
        <w:jc w:val="both"/>
        <w:ind w:left="980" w:right="79" w:hanging="329"/>
        <w:spacing w:after="0" w:line="312" w:lineRule="auto"/>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Corporation’s board of directors adopted a new omnibus equity incentive plan, under which equity awards may be made in respect of shares of Class A common stock. It also assumed sponsorship of an option plan and PRSU plan formerly sponsored by TWM LLC. See Note 13 – Stock-Based Compensation Plans.</w:t>
      </w:r>
    </w:p>
    <w:p>
      <w:pPr>
        <w:spacing w:after="0" w:line="146" w:lineRule="exact"/>
        <w:rPr>
          <w:rFonts w:ascii="Arial" w:cs="Arial" w:eastAsia="Arial" w:hAnsi="Arial"/>
          <w:sz w:val="16"/>
          <w:szCs w:val="16"/>
          <w:color w:val="auto"/>
        </w:rPr>
      </w:pPr>
    </w:p>
    <w:p>
      <w:pPr>
        <w:ind w:left="980" w:right="219" w:hanging="329"/>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Corporation entered into a tax receivable agreement (the “Tax Receivable Agreement”) with TWM LLC and the Continuing LLC Owners. See Note 10 – Tax Receivable Agreement.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LSEG Transaction</w:t>
      </w:r>
    </w:p>
    <w:p>
      <w:pPr>
        <w:spacing w:after="0" w:line="225" w:lineRule="exact"/>
        <w:rPr>
          <w:sz w:val="20"/>
          <w:szCs w:val="20"/>
          <w:color w:val="auto"/>
        </w:rPr>
      </w:pPr>
    </w:p>
    <w:p>
      <w:pPr>
        <w:ind w:right="199"/>
        <w:spacing w:after="0" w:line="259" w:lineRule="auto"/>
        <w:rPr>
          <w:sz w:val="20"/>
          <w:szCs w:val="20"/>
          <w:color w:val="auto"/>
        </w:rPr>
      </w:pPr>
      <w:r>
        <w:rPr>
          <w:rFonts w:ascii="Arial" w:cs="Arial" w:eastAsia="Arial" w:hAnsi="Arial"/>
          <w:sz w:val="18"/>
          <w:szCs w:val="18"/>
          <w:color w:val="auto"/>
        </w:rPr>
        <w:t>On August 1, 2019, London Stock Exchange Group plc announced that it has agreed to definitive terms with a consortium including certain investment funds affiliated with Blackstone as well as TR to acquire the Refinitiv business in an all share transaction (the “LSEG Transaction”). The LSEG Transaction is subject to customary regulatory approvals and closing conditions, and is expected to close during the second half of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80" w:hanging="577"/>
        <w:spacing w:after="0"/>
        <w:tabs>
          <w:tab w:leader="none" w:pos="5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consolidated financial statements have been presented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transactions and balances have been eliminated in consolidation.</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discussed in Note 1—Organization, as a result of the Reorganization Transactions, Tradeweb Markets Inc. consolidates TWM LLC and TWM LLC is considered to be the predecessor to Tradeweb Markets Inc. for financial reporting purposes. As a result, the consolidated financial statements for periods prior to the Reorganization Transactions have been adjusted to combine the previously separate entities for presentation purposes. However, Tradeweb Markets Inc. had no business transactions or activities and no substantial assets or liabilities prior to the Reorganization Transactions. As such, for periods prior to the completion of the Reorganization Transactions, the consolidated financial statements represent the historical financial condition and results of operations of TWM LLC and its subsidiaries. For periods after the completion of the Reorganization Transactions, the consolidated financial statements represent the financial condition and results of operations of the Company and report a non-controlling interest related to the LLC Interests held by the other members of TWM LLC.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less than three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Receivable from and payable to brokers and dealers and clearing organizations consists of proceeds from transactions which failed to settle due to the inability of a transaction party to deliver or receive the transacted security. These securities transactions are generally collateralized by those securities.</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At times, transactions executed on the Company’s wholesale platform fail to settle due to the inability of a transaction party to deliver or receive the transacted security. Until the failed transaction settles, a receivable from (and a matching payable to) brokers and dealers and clearing organizations is recognized for the proceeds from the unsettled transaction.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22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Furniture, equipment, purchased software and leasehold improvements are carried at cost less accumulated depreciation. Depreciation for furniture, equipment and purchased software, including the allocated fair value of assets as a result of pushdown accounting (see Note 3 – Pushdown Accounting),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Furniture, equipment, purchased software and leasehold improvements are tested for impairment whenever events or changes in circumstances suggest that an asset’s carrying value may not be fully recoverable in accordance with Accounting Standards Codification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Company capitalizes costs associated with the development of internal use software at the point at which the conceptual formulation, design and testing of possible software project alternatives have been completed, 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The Company capitalizes employee compensation and related benefits and third party</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costs incurred during the application development stage which directly contribute to such development. Such costs are amortized on a straight-line basis over three years. Costs capitalized as part of the pushdown accounting allocation (see Note 3 – Pushdown Accounting)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Goodwill is the excess of the fair value of the Company above the fair value accounting basis of the net assets and liabilities of the Company under pushdown accounting. Goodwill is also the cost of acquired companies in excess of the fair value of identifiable net assets at the acquisition date. Goodwill is not amortized, but in accordance with ASC 350, goodwill is tested for impairment annually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2019, the Company changed the annual date on which goodwill is tested for impairment from July 1</w:t>
      </w:r>
      <w:r>
        <w:rPr>
          <w:rFonts w:ascii="Arial" w:cs="Arial" w:eastAsia="Arial" w:hAnsi="Arial"/>
          <w:sz w:val="8"/>
          <w:szCs w:val="8"/>
          <w:color w:val="auto"/>
        </w:rPr>
        <w:t>st</w:t>
      </w:r>
      <w:r>
        <w:rPr>
          <w:rFonts w:ascii="Arial" w:cs="Arial" w:eastAsia="Arial" w:hAnsi="Arial"/>
          <w:sz w:val="18"/>
          <w:szCs w:val="18"/>
          <w:color w:val="auto"/>
        </w:rPr>
        <w:t xml:space="preserve"> to October 1</w:t>
      </w:r>
      <w:r>
        <w:rPr>
          <w:rFonts w:ascii="Arial" w:cs="Arial" w:eastAsia="Arial" w:hAnsi="Arial"/>
          <w:sz w:val="8"/>
          <w:szCs w:val="8"/>
          <w:color w:val="auto"/>
        </w:rPr>
        <w:t>st</w:t>
      </w:r>
      <w:r>
        <w:rPr>
          <w:rFonts w:ascii="Arial" w:cs="Arial" w:eastAsia="Arial" w:hAnsi="Arial"/>
          <w:sz w:val="18"/>
          <w:szCs w:val="18"/>
          <w:color w:val="auto"/>
        </w:rPr>
        <w:t xml:space="preserve"> to align with the annual impairment testing date of the Company’s Parent. This change did not accelerate, delay, avoid or cause an impairment charge, nor did this change result in adjustments to any previously issued financial statements. Goodwill was last assessed on October 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Intangible assets with a finite life are amortized over the estimated lives, ranging from seven to sixteen years, in accordance with ASC 350. Intangible assets subject to amortization are tested for impairment whenever events or changes in circumstances suggest that an asset's or asset group's carrying value may not be fully recoverable in accordance with ASC</w:t>
      </w:r>
    </w:p>
    <w:p>
      <w:pPr>
        <w:ind w:firstLine="3"/>
        <w:spacing w:after="0" w:line="255" w:lineRule="auto"/>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and Follow-On Offering Costs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Company began incurring costs in connection with the filing of a Registration Statement on Form S-1 for an IPO and a Registration Statement on Form S-1 for a follow-on offering in 2018 and in the third quarter of 2019, respectively. IPO and follow-on offering costs consist of legal, accounting, and other costs directly related to the Company’s efforts to raise capital. In accordance with ASC 505-10-25, </w:t>
      </w:r>
      <w:r>
        <w:rPr>
          <w:rFonts w:ascii="Arial" w:cs="Arial" w:eastAsia="Arial" w:hAnsi="Arial"/>
          <w:sz w:val="17"/>
          <w:szCs w:val="17"/>
          <w:i w:val="1"/>
          <w:iCs w:val="1"/>
          <w:color w:val="auto"/>
        </w:rPr>
        <w:t>Equity</w:t>
      </w:r>
      <w:r>
        <w:rPr>
          <w:rFonts w:ascii="Arial" w:cs="Arial" w:eastAsia="Arial" w:hAnsi="Arial"/>
          <w:sz w:val="17"/>
          <w:szCs w:val="17"/>
          <w:color w:val="auto"/>
        </w:rPr>
        <w:t>, these costs are recognized in additional paid-in capital within the consolidated statements of financial condition when the offering is effective. As of December 31, 2019, $15.9 million of deferred costs related to the IPO and $2.6 million of deferred costs related to the follow-on offering were recognized in additional paid-in capital in the consolidated statements of financial condition. See Note 11 – Stockholders’ Equity.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Company records uncertain tax positions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elected to treat taxes due on future U.S. inclusions in taxable income under the global intangible low-taxed income (“GILTI”) provision of the Tax Cuts and Jobs Act as a current period expense when incurred.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 Correction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fourth quarter of 2019, the Company identified and corrected immaterial errors in the calculation of the deferred tax asset associated with the Reorganization Transactions that reduced additional paid-in-capital by $10.2 million and reduced the deferred tax asset by $10.2 million. This correction relates to immaterial errors associated with inputs (including estimates) used in the calculation of the deferred tax balances related to the Refinitiv Contribution. This correction, if it had been recorded in the interim periods of 2019, would have reduced additional paid-in capital by $10.2 million and reduced the deferred tax asset by $10.2 million at June 30, 2019 and September 30, 2019 and would not have had a material impact on our net assets and would not have had a material impact on our consolidated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earns transaction fees from transactions executed on the Company’s trading platforms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earns subscription fees from granting access to institutional investors to the Company's electronic marketplaces. Subscription fees are recognized into income in the period that access is provided. Also included in subscription fees are viewer fees from institutional investors accessing fixed income market data. The frequency of subscription fee billings varies from monthly to annually, depending on contract terms. Fees received by the Company which are not yet earned are included in deferred revenue on the consolidated statements of financial condition until the revenue recognition criteria has been met.</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 related commission revenue for brokerage transactions are recognized and recorded on a trade-date basis. Commission revenue is collected by the Company when the trade settles or is billed monthly.</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earns fees from Refinitiv, formerly TR in the predecessor periods,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On January 1, 2018,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using the modified retrospective approach. The adoption of ASU 2014-09 did not have a material impact on the measurement or recognition of revenue in any prior reporting periods. However, subsequent to the adoption, the Company was required to make significant judgements for the Refinitiv market data fees. Significant judgements used in accounting for this contract include:</w:t>
      </w:r>
    </w:p>
    <w:p>
      <w:pPr>
        <w:spacing w:after="0" w:line="154" w:lineRule="exact"/>
        <w:rPr>
          <w:sz w:val="20"/>
          <w:szCs w:val="20"/>
          <w:color w:val="auto"/>
        </w:rPr>
      </w:pPr>
    </w:p>
    <w:p>
      <w:pPr>
        <w:ind w:left="660" w:hanging="333"/>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provision of real-time market data feeds and annual historical data sets are distinct performance obligations.</w:t>
      </w:r>
    </w:p>
    <w:p>
      <w:pPr>
        <w:spacing w:after="0" w:line="248" w:lineRule="exact"/>
        <w:rPr>
          <w:rFonts w:ascii="Arial" w:cs="Arial" w:eastAsia="Arial" w:hAnsi="Arial"/>
          <w:sz w:val="16"/>
          <w:szCs w:val="16"/>
          <w:color w:val="auto"/>
        </w:rPr>
      </w:pPr>
    </w:p>
    <w:p>
      <w:pPr>
        <w:ind w:left="660" w:right="120" w:hanging="333"/>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ind w:left="660" w:right="160" w:hanging="333"/>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color w:val="auto"/>
        </w:rPr>
        <w:t>Some revenues earned by the Company have fixed fee components, such as monthly minimums or fixed monthly fees, and variable components, such as transaction-based fees. The breakdown of revenues between fixed and variable revenues, in thousands, for the year ended December 31, 2019, the 2018 Successor Period and the 2018 Predecessor Period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line="20" w:lineRule="exact"/>
              <w:rPr>
                <w:sz w:val="1"/>
                <w:szCs w:val="1"/>
                <w:color w:val="auto"/>
              </w:rPr>
            </w:pPr>
          </w:p>
        </w:tc>
        <w:tc>
          <w:tcPr>
            <w:tcW w:w="1100" w:type="dxa"/>
            <w:vAlign w:val="bottom"/>
            <w:gridSpan w:val="3"/>
            <w:vMerge w:val="restart"/>
          </w:tcPr>
          <w:p>
            <w:pPr>
              <w:jc w:val="center"/>
              <w:ind w:left="379"/>
              <w:spacing w:after="0"/>
              <w:rPr>
                <w:sz w:val="20"/>
                <w:szCs w:val="20"/>
                <w:color w:val="auto"/>
              </w:rPr>
            </w:pPr>
            <w:r>
              <w:rPr>
                <w:rFonts w:ascii="Arial" w:cs="Arial" w:eastAsia="Arial" w:hAnsi="Arial"/>
                <w:sz w:val="14"/>
                <w:szCs w:val="14"/>
                <w:b w:val="1"/>
                <w:bCs w:val="1"/>
                <w:color w:val="auto"/>
                <w:w w:val="84"/>
              </w:rPr>
              <w:t>Successor</w:t>
            </w: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4"/>
            <w:vMerge w:val="restart"/>
          </w:tcPr>
          <w:p>
            <w:pPr>
              <w:jc w:val="center"/>
              <w:ind w:right="33"/>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4"/>
          </w:tcPr>
          <w:p>
            <w:pPr>
              <w:jc w:val="center"/>
              <w:ind w:right="33"/>
              <w:spacing w:after="0" w:line="119" w:lineRule="exact"/>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4"/>
          </w:tcPr>
          <w:p>
            <w:pPr>
              <w:jc w:val="center"/>
              <w:ind w:right="36"/>
              <w:spacing w:after="0" w:line="119" w:lineRule="exact"/>
              <w:rPr>
                <w:sz w:val="20"/>
                <w:szCs w:val="20"/>
                <w:color w:val="auto"/>
              </w:rPr>
            </w:pPr>
            <w:r>
              <w:rPr>
                <w:rFonts w:ascii="Arial" w:cs="Arial" w:eastAsia="Arial" w:hAnsi="Arial"/>
                <w:sz w:val="13"/>
                <w:szCs w:val="13"/>
                <w:b w:val="1"/>
                <w:bCs w:val="1"/>
                <w:color w:val="auto"/>
                <w:w w:val="99"/>
              </w:rPr>
              <w:t>October 1, 2018 to</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4"/>
          </w:tcPr>
          <w:p>
            <w:pPr>
              <w:jc w:val="center"/>
              <w:ind w:right="33"/>
              <w:spacing w:after="0" w:line="119" w:lineRule="exact"/>
              <w:rPr>
                <w:sz w:val="20"/>
                <w:szCs w:val="20"/>
                <w:color w:val="auto"/>
              </w:rPr>
            </w:pPr>
            <w:r>
              <w:rPr>
                <w:rFonts w:ascii="Arial" w:cs="Arial" w:eastAsia="Arial" w:hAnsi="Arial"/>
                <w:sz w:val="13"/>
                <w:szCs w:val="13"/>
                <w:b w:val="1"/>
                <w:bCs w:val="1"/>
                <w:color w:val="auto"/>
              </w:rPr>
              <w:t>January 1, 2018 to</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right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Variable</w:t>
            </w:r>
          </w:p>
        </w:tc>
        <w:tc>
          <w:tcPr>
            <w:tcW w:w="140" w:type="dxa"/>
            <w:vAlign w:val="bottom"/>
          </w:tcPr>
          <w:p>
            <w:pPr>
              <w:spacing w:after="0"/>
              <w:rPr>
                <w:sz w:val="10"/>
                <w:szCs w:val="10"/>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0"/>
                <w:szCs w:val="10"/>
                <w:color w:val="auto"/>
              </w:rPr>
            </w:pPr>
          </w:p>
        </w:tc>
        <w:tc>
          <w:tcPr>
            <w:tcW w:w="7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9"/>
              </w:rPr>
              <w:t>Variable</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6"/>
          </w:tcPr>
          <w:p>
            <w:pPr>
              <w:ind w:left="320"/>
              <w:spacing w:after="0" w:line="119" w:lineRule="exact"/>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0"/>
                <w:szCs w:val="10"/>
                <w:color w:val="auto"/>
              </w:rPr>
            </w:pPr>
          </w:p>
        </w:tc>
        <w:tc>
          <w:tcPr>
            <w:tcW w:w="7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Variable</w:t>
            </w: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Transaction fees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325,178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98,405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73,800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23,330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208,049</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65,702</w:t>
            </w: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Subscription Fees including Refinitiv</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 data fees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192,630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46,094</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142,676</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Commissions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109,995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10,232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30,463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17"/>
        </w:trPr>
        <w:tc>
          <w:tcPr>
            <w:tcW w:w="2980" w:type="dxa"/>
            <w:vAlign w:val="bottom"/>
          </w:tcPr>
          <w:p>
            <w:pPr>
              <w:ind w:left="120"/>
              <w:spacing w:after="0"/>
              <w:rPr>
                <w:sz w:val="20"/>
                <w:szCs w:val="20"/>
                <w:color w:val="auto"/>
              </w:rPr>
            </w:pPr>
            <w:r>
              <w:rPr>
                <w:rFonts w:ascii="Arial" w:cs="Arial" w:eastAsia="Arial" w:hAnsi="Arial"/>
                <w:sz w:val="18"/>
                <w:szCs w:val="18"/>
                <w:color w:val="auto"/>
              </w:rPr>
              <w:t>Gross revenue</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437,743</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337,823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96,833</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81,804</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258,761</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247,010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 accounts for stock-based compensation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ASC 718 focuses primarily on accounting for a transaction in which an entity obtains employee services in exchange for stock-based payments. Under ASC 718, the stock-based payments received by the employees of the Company are accounted for either as equity awards or as liability awards.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6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1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periods following the Reorganization Transactions and the IPO, the fair value of new equity instrument grants is determined based on the price of the Class A common stock on the grant date.</w:t>
      </w:r>
    </w:p>
    <w:p>
      <w:pPr>
        <w:spacing w:after="0" w:line="17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Under ASC 718, the grant-date fair value of stock-based awards that do not require future service (i.e., vested awards) are expensed immediately. The grant-date fair value of stock-based awards that require future service, and are graded-vesting awards, are amortized over the relevant service period on a straight-line basis, with each tranche separately measured. The grant-date fair value of stock-based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1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Prior to the IPO, the Company awarded options to management and other employees (collectively, the “Special Option Award”) under the Amended and Restated Tradeweb Markets Inc. Option Plan (the “Option Plan”). In accounting for options issued under the Option Plan, or which may be issued under the Tradeweb Markets Inc. 2019 Omnibus Equity Incentive Plan (the “Omnibus Equity Plan”) in the future, compensation expense is measured and recognized for all awards based on their estimated fair values measured as of the grant date. Costs related to options are recognized as an expense in the consolidated statements of income over the requisite service period, with an offsetting increase to additional paid-in capital. In conjunction with the IPO, the non-cash stock-based compensation expense associated with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Special Option Award began being expensed in the second quarter of 2019 and will continue to be expensed over the following three years.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Determining the appropriate fair value model and calculating the fair value of the stock-based awards requires the input of highly subjective assumptions, including the expected life of the stock-based awards and the stock price volatility. The Company uses the Black-Scholes pricing model to value some of its stock-based awards. Application of alternative assumptions could produce significantly different estimates of the fair value of stock-based compensation and consequently, the related amounts recognized in the Company’s consolidated statements of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securities that qualify as participating securities were converted into or exchanged or exercised for TWM LLC’s shares, in the pre-IPO period, and the Class A or Class B common stock, in the post-IPO period, using the treasury stock method, as applicable.</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fair value hierarchy under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229" w:lineRule="exact"/>
        <w:rPr>
          <w:sz w:val="20"/>
          <w:szCs w:val="20"/>
          <w:color w:val="auto"/>
        </w:rPr>
      </w:pPr>
    </w:p>
    <w:p>
      <w:pPr>
        <w:ind w:left="1300" w:right="380" w:hanging="1295"/>
        <w:spacing w:after="0" w:line="277" w:lineRule="auto"/>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w:t>
      </w:r>
    </w:p>
    <w:p>
      <w:pPr>
        <w:spacing w:after="0" w:line="170" w:lineRule="exact"/>
        <w:rPr>
          <w:sz w:val="20"/>
          <w:szCs w:val="20"/>
          <w:color w:val="auto"/>
        </w:rPr>
      </w:pPr>
    </w:p>
    <w:p>
      <w:pPr>
        <w:ind w:left="1300" w:right="480" w:hanging="1295"/>
        <w:spacing w:after="0" w:line="277" w:lineRule="auto"/>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markets that are not considered to be active or financial instruments for which all significant inputs are observable, either directly or indirectly;</w:t>
      </w:r>
    </w:p>
    <w:p>
      <w:pPr>
        <w:spacing w:after="0" w:line="170" w:lineRule="exact"/>
        <w:rPr>
          <w:sz w:val="20"/>
          <w:szCs w:val="20"/>
          <w:color w:val="auto"/>
        </w:rPr>
      </w:pPr>
    </w:p>
    <w:p>
      <w:pPr>
        <w:ind w:left="1300" w:right="540" w:hanging="1295"/>
        <w:spacing w:after="0" w:line="277" w:lineRule="auto"/>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Prices or valuations that require inputs that are both significant to the fair value measurement and unobservable.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 Adopted</w:t>
      </w:r>
    </w:p>
    <w:p>
      <w:pPr>
        <w:spacing w:after="0" w:line="229"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In June 2016, the Financial Accounting Standards Board (“FASB”) issued ASU 2016</w:t>
      </w:r>
      <w:r>
        <w:rPr>
          <w:rFonts w:ascii="MS PGothic" w:cs="MS PGothic" w:eastAsia="MS PGothic" w:hAnsi="MS PGothic"/>
          <w:sz w:val="18"/>
          <w:szCs w:val="18"/>
          <w:color w:val="auto"/>
        </w:rPr>
        <w:t>‑</w:t>
      </w:r>
      <w:r>
        <w:rPr>
          <w:rFonts w:ascii="Arial" w:cs="Arial" w:eastAsia="Arial" w:hAnsi="Arial"/>
          <w:sz w:val="18"/>
          <w:szCs w:val="18"/>
          <w:color w:val="auto"/>
        </w:rPr>
        <w:t xml:space="preserve">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w:t>
      </w:r>
      <w:r>
        <w:rPr>
          <w:rFonts w:ascii="Arial" w:cs="Arial" w:eastAsia="Arial" w:hAnsi="Arial"/>
          <w:sz w:val="18"/>
          <w:szCs w:val="18"/>
          <w:color w:val="auto"/>
        </w:rPr>
        <w:t>. The ASU provides new guidance for estimating credit losses on certain types of financial instruments by introducing</w:t>
      </w:r>
      <w:r>
        <w:rPr>
          <w:rFonts w:ascii="Arial" w:cs="Arial" w:eastAsia="Arial" w:hAnsi="Arial"/>
          <w:sz w:val="18"/>
          <w:szCs w:val="18"/>
          <w:i w:val="1"/>
          <w:iCs w:val="1"/>
          <w:color w:val="auto"/>
        </w:rPr>
        <w:t xml:space="preserve"> </w:t>
      </w:r>
      <w:r>
        <w:rPr>
          <w:rFonts w:ascii="Arial" w:cs="Arial" w:eastAsia="Arial" w:hAnsi="Arial"/>
          <w:sz w:val="18"/>
          <w:szCs w:val="18"/>
          <w:color w:val="auto"/>
        </w:rPr>
        <w:t>an approach based on expected losses. This requires a modified retrospective method of adoption. ASU 2016-13 was adopted on January 1, 2020. The adoption of this ASU did not have a material impact on the Company’s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In January 2017, the FASB issued ASU 2017</w:t>
      </w:r>
      <w:r>
        <w:rPr>
          <w:rFonts w:ascii="MS PGothic" w:cs="MS PGothic" w:eastAsia="MS PGothic" w:hAnsi="MS PGothic"/>
          <w:sz w:val="18"/>
          <w:szCs w:val="18"/>
          <w:color w:val="auto"/>
        </w:rPr>
        <w:t>‑</w:t>
      </w:r>
      <w:r>
        <w:rPr>
          <w:rFonts w:ascii="Arial" w:cs="Arial" w:eastAsia="Arial" w:hAnsi="Arial"/>
          <w:sz w:val="18"/>
          <w:szCs w:val="18"/>
          <w:color w:val="auto"/>
        </w:rPr>
        <w:t xml:space="preserve">04,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The ASU simplifies the quantitative goodwill impairment test by eliminating the second step of the test. Under this ASU, impairment will be measured by comparing the estimated fair value of the reporting unit with its carrying value. The new guidance does not amend the optional qualitative assessment of goodwill impairment. ASU 2017-04 was adopted on January 1, 2020. The adoption of this ASU did not impact the Company’s consolidated financial statements.</w:t>
      </w:r>
    </w:p>
    <w:p>
      <w:pPr>
        <w:spacing w:after="0" w:line="20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The amendments in this ASU simplify the accounting for income taxes by removing certain exceptions for investments, intraperiod allocations and interim calculations and include additional guidance in order to reduce complexity in accounting for income taxes. ASU 2019-12 is effective for annual periods beginning after December 15, 2020, with early adoption permitted. ASU 2019-12 was early adopted on January 1, 2020 and the adoption of this ASU did not have a material impact on the Company’s consolidated financial statements.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lessees to recognize a right-of-use asset and a lease liability for all leases with an initial term in excess of twelve months. The asset reflects the present value of unpaid lease payments coupled with initial direct costs, prepaid lease payments and lease incentives. The amount of the lease liability is calculated as the present value of unpaid lease payments. ASU 2016-02 was adopted on January 1, 2019 using the modified retrospective method of adoption. Upon adoption, the Company:</w:t>
      </w:r>
    </w:p>
    <w:p>
      <w:pPr>
        <w:spacing w:after="0" w:line="173" w:lineRule="exact"/>
        <w:rPr>
          <w:sz w:val="20"/>
          <w:szCs w:val="20"/>
          <w:color w:val="auto"/>
        </w:rPr>
      </w:pPr>
    </w:p>
    <w:p>
      <w:pPr>
        <w:ind w:left="640" w:hanging="313"/>
        <w:spacing w:after="0"/>
        <w:tabs>
          <w:tab w:leader="none" w:pos="6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Recorded right-of-use assets of $31.8 million,</w:t>
      </w:r>
    </w:p>
    <w:p>
      <w:pPr>
        <w:spacing w:after="0" w:line="23" w:lineRule="exact"/>
        <w:rPr>
          <w:rFonts w:ascii="Arial" w:cs="Arial" w:eastAsia="Arial" w:hAnsi="Arial"/>
          <w:sz w:val="18"/>
          <w:szCs w:val="18"/>
          <w:color w:val="auto"/>
        </w:rPr>
      </w:pPr>
    </w:p>
    <w:p>
      <w:pPr>
        <w:ind w:left="640" w:hanging="313"/>
        <w:spacing w:after="0"/>
        <w:tabs>
          <w:tab w:leader="none" w:pos="6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Recorded a lease liability of $39.6 million,</w:t>
      </w:r>
    </w:p>
    <w:p>
      <w:pPr>
        <w:spacing w:after="0" w:line="9" w:lineRule="exact"/>
        <w:rPr>
          <w:rFonts w:ascii="Arial" w:cs="Arial" w:eastAsia="Arial" w:hAnsi="Arial"/>
          <w:sz w:val="18"/>
          <w:szCs w:val="18"/>
          <w:color w:val="auto"/>
        </w:rPr>
      </w:pPr>
    </w:p>
    <w:p>
      <w:pPr>
        <w:ind w:left="640" w:hanging="313"/>
        <w:spacing w:after="0"/>
        <w:tabs>
          <w:tab w:leader="none" w:pos="6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Eliminated deferred rent of $4.9 million,</w:t>
      </w:r>
    </w:p>
    <w:p>
      <w:pPr>
        <w:spacing w:after="0" w:line="9" w:lineRule="exact"/>
        <w:rPr>
          <w:rFonts w:ascii="Arial" w:cs="Arial" w:eastAsia="Arial" w:hAnsi="Arial"/>
          <w:sz w:val="18"/>
          <w:szCs w:val="18"/>
          <w:color w:val="auto"/>
        </w:rPr>
      </w:pPr>
    </w:p>
    <w:p>
      <w:pPr>
        <w:ind w:left="640" w:hanging="313"/>
        <w:spacing w:after="0"/>
        <w:tabs>
          <w:tab w:leader="none" w:pos="6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Eliminated leasehold interests of $2.9 million,</w:t>
      </w:r>
    </w:p>
    <w:p>
      <w:pPr>
        <w:spacing w:after="0" w:line="9" w:lineRule="exact"/>
        <w:rPr>
          <w:rFonts w:ascii="Arial" w:cs="Arial" w:eastAsia="Arial" w:hAnsi="Arial"/>
          <w:sz w:val="18"/>
          <w:szCs w:val="18"/>
          <w:color w:val="auto"/>
        </w:rPr>
      </w:pPr>
    </w:p>
    <w:p>
      <w:pPr>
        <w:ind w:left="640" w:hanging="313"/>
        <w:spacing w:after="0"/>
        <w:tabs>
          <w:tab w:leader="none" w:pos="6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Elected to take the optional package of practical expedients, which allows for no reassessment of</w:t>
      </w:r>
    </w:p>
    <w:p>
      <w:pPr>
        <w:spacing w:after="0" w:line="9" w:lineRule="exact"/>
        <w:rPr>
          <w:rFonts w:ascii="Arial" w:cs="Arial" w:eastAsia="Arial" w:hAnsi="Arial"/>
          <w:sz w:val="18"/>
          <w:szCs w:val="18"/>
          <w:color w:val="auto"/>
        </w:rPr>
      </w:pPr>
    </w:p>
    <w:p>
      <w:pPr>
        <w:ind w:left="1940" w:hanging="412"/>
        <w:spacing w:after="0"/>
        <w:tabs>
          <w:tab w:leader="none" w:pos="1940" w:val="left"/>
        </w:tabs>
        <w:numPr>
          <w:ilvl w:val="2"/>
          <w:numId w:val="79"/>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w:t>
      </w:r>
    </w:p>
    <w:p>
      <w:pPr>
        <w:spacing w:after="0" w:line="9" w:lineRule="exact"/>
        <w:rPr>
          <w:rFonts w:ascii="Arial" w:cs="Arial" w:eastAsia="Arial" w:hAnsi="Arial"/>
          <w:sz w:val="18"/>
          <w:szCs w:val="18"/>
          <w:color w:val="auto"/>
        </w:rPr>
      </w:pPr>
    </w:p>
    <w:p>
      <w:pPr>
        <w:ind w:left="1940" w:hanging="462"/>
        <w:spacing w:after="0"/>
        <w:tabs>
          <w:tab w:leader="none" w:pos="194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lease classification for any expired or existing leases, and</w:t>
      </w:r>
    </w:p>
    <w:p>
      <w:pPr>
        <w:spacing w:after="0" w:line="9" w:lineRule="exact"/>
        <w:rPr>
          <w:rFonts w:ascii="Arial" w:cs="Arial" w:eastAsia="Arial" w:hAnsi="Arial"/>
          <w:sz w:val="18"/>
          <w:szCs w:val="18"/>
          <w:color w:val="auto"/>
        </w:rPr>
      </w:pPr>
    </w:p>
    <w:p>
      <w:pPr>
        <w:ind w:left="1940" w:hanging="512"/>
        <w:spacing w:after="0"/>
        <w:tabs>
          <w:tab w:leader="none" w:pos="1940" w:val="left"/>
        </w:tabs>
        <w:numPr>
          <w:ilvl w:val="2"/>
          <w:numId w:val="79"/>
        </w:numPr>
        <w:rPr>
          <w:rFonts w:ascii="Arial" w:cs="Arial" w:eastAsia="Arial" w:hAnsi="Arial"/>
          <w:sz w:val="18"/>
          <w:szCs w:val="18"/>
          <w:color w:val="auto"/>
        </w:rPr>
      </w:pPr>
      <w:r>
        <w:rPr>
          <w:rFonts w:ascii="Arial" w:cs="Arial" w:eastAsia="Arial" w:hAnsi="Arial"/>
          <w:sz w:val="18"/>
          <w:szCs w:val="18"/>
          <w:color w:val="auto"/>
        </w:rPr>
        <w:t>initial direct costs for any existing leases.</w:t>
      </w:r>
    </w:p>
    <w:p>
      <w:pPr>
        <w:spacing w:after="0" w:line="220" w:lineRule="exact"/>
        <w:rPr>
          <w:rFonts w:ascii="Arial" w:cs="Arial" w:eastAsia="Arial" w:hAnsi="Arial"/>
          <w:sz w:val="18"/>
          <w:szCs w:val="18"/>
          <w:color w:val="auto"/>
        </w:rPr>
      </w:pPr>
    </w:p>
    <w:p>
      <w:pPr>
        <w:ind w:left="580" w:hanging="577"/>
        <w:spacing w:after="0"/>
        <w:tabs>
          <w:tab w:leader="none" w:pos="5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Pushdown Accounting</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Refinitiv Transaction was accounted for by Refinitiv in accordance with the acquisition method of accounting pursuant to ASC 805,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Under pushdown accounting, the excess of the fair value of the Company above the fair value accounting basis of the net assets and liabilities of the Company is recorded as goodwill. The fair value of assets acquired and liabilities assumed was determined based on assumptions that reasonable market participants would use in the principal (or most advantageous) market for the asset or liability.</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adjusted valuations resulted in an increase in depreciation and amortization expense, due to the increased carrying value of the Company’s assets and the related increase in depreciation of tangible assets and amortization of intangible assets, and a decrease in occupancy expense as a result of the recognition of a leasehold interest liability.</w:t>
      </w:r>
    </w:p>
    <w:p>
      <w:pPr>
        <w:spacing w:after="0" w:line="16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 fair value of $168.5 million was assigned to software development costs of the Company. The excess of the fair value of the Company above the fair value accounting basis of the net assets and liabilities of the Company was recorded as goodwill.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The allocation applying pushdown accounting as of October 1, 2018 is summarized in the table below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Company's Net Assets</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4,575,000</w:t>
            </w: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Carrying Value of the Company's Net Assets</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1,880,203</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2,694,797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and December 31, 2018, goodwill amounted to $2.7 billion.</w:t>
      </w:r>
    </w:p>
    <w:p>
      <w:pPr>
        <w:spacing w:after="0" w:line="221" w:lineRule="exact"/>
        <w:rPr>
          <w:sz w:val="20"/>
          <w:szCs w:val="20"/>
          <w:color w:val="auto"/>
        </w:rPr>
      </w:pPr>
    </w:p>
    <w:p>
      <w:pPr>
        <w:ind w:left="580" w:hanging="577"/>
        <w:spacing w:after="0"/>
        <w:tabs>
          <w:tab w:leader="none" w:pos="5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Intangible assets and goodwill relate to the allocation of purchase price associated with the Refinitiv Transaction (see Note 3 – Pushdown Accounting).</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is a summary of intangible assets which have an indefinite useful life at both December 31,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r>
      <w:tr>
        <w:trPr>
          <w:trHeight w:val="216"/>
        </w:trPr>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Tradename</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154,300</w:t>
            </w:r>
          </w:p>
        </w:tc>
      </w:tr>
      <w:tr>
        <w:trPr>
          <w:trHeight w:val="21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323,100</w:t>
            </w: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Intangible assets that are subject to amortization, including the related accumulated amortization, are comprised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Successor</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Successor</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5"/>
          </w:tcPr>
          <w:p>
            <w:pPr>
              <w:jc w:val="right"/>
              <w:ind w:right="50"/>
              <w:spacing w:after="0" w:line="142" w:lineRule="exact"/>
              <w:rPr>
                <w:sz w:val="20"/>
                <w:szCs w:val="20"/>
                <w:color w:val="auto"/>
              </w:rPr>
            </w:pPr>
            <w:r>
              <w:rPr>
                <w:rFonts w:ascii="Arial" w:cs="Arial" w:eastAsia="Arial" w:hAnsi="Arial"/>
                <w:sz w:val="14"/>
                <w:szCs w:val="14"/>
                <w:b w:val="1"/>
                <w:bCs w:val="1"/>
                <w:color w:val="auto"/>
                <w:w w:val="96"/>
              </w:rPr>
              <w:t>December 31, 2019</w:t>
            </w: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5"/>
          </w:tcPr>
          <w:p>
            <w:pPr>
              <w:jc w:val="right"/>
              <w:ind w:right="30"/>
              <w:spacing w:after="0" w:line="142" w:lineRule="exact"/>
              <w:rPr>
                <w:sz w:val="20"/>
                <w:szCs w:val="20"/>
                <w:color w:val="auto"/>
              </w:rPr>
            </w:pPr>
            <w:r>
              <w:rPr>
                <w:rFonts w:ascii="Arial" w:cs="Arial" w:eastAsia="Arial" w:hAnsi="Arial"/>
                <w:sz w:val="14"/>
                <w:szCs w:val="14"/>
                <w:b w:val="1"/>
                <w:bCs w:val="1"/>
                <w:color w:val="auto"/>
                <w:w w:val="93"/>
              </w:rPr>
              <w:t>December 31, 2018</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1"/>
        </w:trPr>
        <w:tc>
          <w:tcPr>
            <w:tcW w:w="2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Customer relationships</w:t>
            </w:r>
          </w:p>
        </w:tc>
        <w:tc>
          <w:tcPr>
            <w:tcW w:w="8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12 Years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928,200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(96,687)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831,513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928,200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(19,338)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908,862</w:t>
            </w:r>
          </w:p>
        </w:tc>
        <w:tc>
          <w:tcPr>
            <w:tcW w:w="0" w:type="dxa"/>
            <w:vAlign w:val="bottom"/>
          </w:tcPr>
          <w:p>
            <w:pPr>
              <w:spacing w:after="0"/>
              <w:rPr>
                <w:sz w:val="1"/>
                <w:szCs w:val="1"/>
                <w:color w:val="auto"/>
              </w:rPr>
            </w:pPr>
          </w:p>
        </w:tc>
      </w:tr>
      <w:tr>
        <w:trPr>
          <w:trHeight w:val="149"/>
        </w:trPr>
        <w:tc>
          <w:tcPr>
            <w:tcW w:w="2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Content and data</w:t>
            </w:r>
          </w:p>
        </w:tc>
        <w:tc>
          <w:tcPr>
            <w:tcW w:w="86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86"/>
              </w:rPr>
              <w:t>7 Years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154,400</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(27,572)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126,828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154,400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(5,514)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148,886</w:t>
            </w:r>
          </w:p>
        </w:tc>
        <w:tc>
          <w:tcPr>
            <w:tcW w:w="0" w:type="dxa"/>
            <w:vAlign w:val="bottom"/>
          </w:tcPr>
          <w:p>
            <w:pPr>
              <w:spacing w:after="0"/>
              <w:rPr>
                <w:sz w:val="1"/>
                <w:szCs w:val="1"/>
                <w:color w:val="auto"/>
              </w:rPr>
            </w:pPr>
          </w:p>
        </w:tc>
      </w:tr>
      <w:tr>
        <w:trPr>
          <w:trHeight w:val="149"/>
        </w:trPr>
        <w:tc>
          <w:tcPr>
            <w:tcW w:w="2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1,082,600</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(124,259)</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958,341</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1,082,600</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(24,852)</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1,057,748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Amortization expense relating to intangible assets was $99.4 million year ended December 31, 2019. Amortization expense relating to intangible assets for the 2018 Successor Period and the 2018 Predecessor Period was $24.9 million and $19.6 million, respectively.</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estimated annual future amortization for existing intangible assets through December 31, 2024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Borders>
              <w:bottom w:val="single" w:sz="8" w:color="CCEEFF"/>
            </w:tcBorders>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r>
      <w:tr>
        <w:trPr>
          <w:trHeight w:val="210"/>
        </w:trPr>
        <w:tc>
          <w:tcPr>
            <w:tcW w:w="4200" w:type="dxa"/>
            <w:vAlign w:val="bottom"/>
            <w:shd w:val="clear" w:color="auto" w:fill="CCEEFF"/>
          </w:tcPr>
          <w:p>
            <w:pPr>
              <w:jc w:val="right"/>
              <w:ind w:right="3750"/>
              <w:spacing w:after="0"/>
              <w:rPr>
                <w:sz w:val="20"/>
                <w:szCs w:val="20"/>
                <w:color w:val="auto"/>
              </w:rPr>
            </w:pPr>
            <w:r>
              <w:rPr>
                <w:rFonts w:ascii="Arial" w:cs="Arial" w:eastAsia="Arial" w:hAnsi="Arial"/>
                <w:sz w:val="18"/>
                <w:szCs w:val="18"/>
                <w:color w:val="auto"/>
                <w:w w:val="84"/>
              </w:rPr>
              <w:t>2020</w:t>
            </w:r>
          </w:p>
        </w:tc>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r>
        <w:trPr>
          <w:trHeight w:val="216"/>
        </w:trPr>
        <w:tc>
          <w:tcPr>
            <w:tcW w:w="4200" w:type="dxa"/>
            <w:vAlign w:val="bottom"/>
          </w:tcPr>
          <w:p>
            <w:pPr>
              <w:jc w:val="right"/>
              <w:ind w:right="3750"/>
              <w:spacing w:after="0"/>
              <w:rPr>
                <w:sz w:val="20"/>
                <w:szCs w:val="20"/>
                <w:color w:val="auto"/>
              </w:rPr>
            </w:pPr>
            <w:r>
              <w:rPr>
                <w:rFonts w:ascii="Arial" w:cs="Arial" w:eastAsia="Arial" w:hAnsi="Arial"/>
                <w:sz w:val="18"/>
                <w:szCs w:val="18"/>
                <w:color w:val="auto"/>
                <w:w w:val="84"/>
              </w:rPr>
              <w:t>2021</w:t>
            </w:r>
          </w:p>
        </w:tc>
        <w:tc>
          <w:tcPr>
            <w:tcW w:w="40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99,408</w:t>
            </w:r>
          </w:p>
        </w:tc>
      </w:tr>
      <w:tr>
        <w:trPr>
          <w:trHeight w:val="216"/>
        </w:trPr>
        <w:tc>
          <w:tcPr>
            <w:tcW w:w="4200" w:type="dxa"/>
            <w:vAlign w:val="bottom"/>
            <w:shd w:val="clear" w:color="auto" w:fill="CCEEFF"/>
          </w:tcPr>
          <w:p>
            <w:pPr>
              <w:jc w:val="right"/>
              <w:ind w:right="3750"/>
              <w:spacing w:after="0"/>
              <w:rPr>
                <w:sz w:val="20"/>
                <w:szCs w:val="20"/>
                <w:color w:val="auto"/>
              </w:rPr>
            </w:pPr>
            <w:r>
              <w:rPr>
                <w:rFonts w:ascii="Arial" w:cs="Arial" w:eastAsia="Arial" w:hAnsi="Arial"/>
                <w:sz w:val="18"/>
                <w:szCs w:val="18"/>
                <w:color w:val="auto"/>
                <w:w w:val="84"/>
              </w:rPr>
              <w:t>2022</w:t>
            </w:r>
          </w:p>
        </w:tc>
        <w:tc>
          <w:tcPr>
            <w:tcW w:w="40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r>
        <w:trPr>
          <w:trHeight w:val="216"/>
        </w:trPr>
        <w:tc>
          <w:tcPr>
            <w:tcW w:w="4200" w:type="dxa"/>
            <w:vAlign w:val="bottom"/>
          </w:tcPr>
          <w:p>
            <w:pPr>
              <w:jc w:val="right"/>
              <w:ind w:right="3750"/>
              <w:spacing w:after="0"/>
              <w:rPr>
                <w:sz w:val="20"/>
                <w:szCs w:val="20"/>
                <w:color w:val="auto"/>
              </w:rPr>
            </w:pPr>
            <w:r>
              <w:rPr>
                <w:rFonts w:ascii="Arial" w:cs="Arial" w:eastAsia="Arial" w:hAnsi="Arial"/>
                <w:sz w:val="18"/>
                <w:szCs w:val="18"/>
                <w:color w:val="auto"/>
                <w:w w:val="84"/>
              </w:rPr>
              <w:t>2023</w:t>
            </w:r>
          </w:p>
        </w:tc>
        <w:tc>
          <w:tcPr>
            <w:tcW w:w="40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99,408</w:t>
            </w:r>
          </w:p>
        </w:tc>
      </w:tr>
      <w:tr>
        <w:trPr>
          <w:trHeight w:val="216"/>
        </w:trPr>
        <w:tc>
          <w:tcPr>
            <w:tcW w:w="4200" w:type="dxa"/>
            <w:vAlign w:val="bottom"/>
            <w:shd w:val="clear" w:color="auto" w:fill="CCEEFF"/>
          </w:tcPr>
          <w:p>
            <w:pPr>
              <w:jc w:val="right"/>
              <w:ind w:right="3750"/>
              <w:spacing w:after="0"/>
              <w:rPr>
                <w:sz w:val="20"/>
                <w:szCs w:val="20"/>
                <w:color w:val="auto"/>
              </w:rPr>
            </w:pPr>
            <w:r>
              <w:rPr>
                <w:rFonts w:ascii="Arial" w:cs="Arial" w:eastAsia="Arial" w:hAnsi="Arial"/>
                <w:sz w:val="18"/>
                <w:szCs w:val="18"/>
                <w:color w:val="auto"/>
                <w:w w:val="84"/>
              </w:rPr>
              <w:t>2024</w:t>
            </w:r>
          </w:p>
        </w:tc>
        <w:tc>
          <w:tcPr>
            <w:tcW w:w="40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bl>
    <w:p>
      <w:pPr>
        <w:spacing w:after="0" w:line="211" w:lineRule="exact"/>
        <w:rPr>
          <w:sz w:val="20"/>
          <w:szCs w:val="20"/>
          <w:color w:val="auto"/>
        </w:rPr>
      </w:pPr>
    </w:p>
    <w:p>
      <w:pPr>
        <w:ind w:left="580" w:hanging="577"/>
        <w:spacing w:after="0"/>
        <w:tabs>
          <w:tab w:leader="none" w:pos="5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Effective January 1, 2019, the Company adopted ASC 842, </w:t>
      </w:r>
      <w:r>
        <w:rPr>
          <w:rFonts w:ascii="Arial" w:cs="Arial" w:eastAsia="Arial" w:hAnsi="Arial"/>
          <w:sz w:val="16"/>
          <w:szCs w:val="16"/>
          <w:i w:val="1"/>
          <w:iCs w:val="1"/>
          <w:color w:val="auto"/>
        </w:rPr>
        <w:t>Leases</w:t>
      </w:r>
      <w:r>
        <w:rPr>
          <w:rFonts w:ascii="Arial" w:cs="Arial" w:eastAsia="Arial" w:hAnsi="Arial"/>
          <w:sz w:val="16"/>
          <w:szCs w:val="16"/>
          <w:color w:val="auto"/>
        </w:rPr>
        <w:t>. This standard requires the Company to recognize a right-of-use asset and a lease liability for all leases with an initial term in excess of twelve months. The Company includes the term covered by an option to extend a lease when the option is reasonably certain to be exercised. The asset reflects the present value of unpaid lease payments coupled with initial direct costs, prepaid lease payments and lease incentives. The amount of the lease liability is calculated as the present value of unpaid lease payments. The Company adopted ASC 842 using a modified retrospective approach and did not restate comparative periods. The Company elected to take the package of practical expedients allowing the Company to not reassess (i) whether any expired 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existing contracts are or contain leases, (ii) the lease classification for any expired or existing leases and (iii) initial direct costs for any existing leases. The Company has elected to account for nonlease components in a contract as part of the single lease component to which they are related.</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Significant assumptions and judgements in calculating the right-of-use assets and lease liability include the determination of the applicable borrowing rate for each lease.</w:t>
      </w:r>
    </w:p>
    <w:p>
      <w:pPr>
        <w:spacing w:after="0" w:line="170"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On January 1, 2019, upon the adoption of ASC 842, the Company recorded, for office space and data center leases in the U.S. and U.K., right-of-use assets of $31.8 million, lease liabilities of $39.6 million and eliminated deferred rent of $4.9 million and leasehold interests of $2.9 million. The leases have initial lease terms ranging from three to 11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leases for the year ended December 31, 2019 is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6"/>
              </w:rPr>
              <w:t>Year Ended</w:t>
            </w:r>
          </w:p>
        </w:tc>
      </w:tr>
      <w:tr>
        <w:trPr>
          <w:trHeight w:val="149"/>
        </w:trPr>
        <w:tc>
          <w:tcPr>
            <w:tcW w:w="7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1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9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4"/>
                <w:szCs w:val="14"/>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80" w:type="dxa"/>
            <w:vAlign w:val="bottom"/>
            <w:gridSpan w:val="3"/>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10,265</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Cash for amounts included in the measurement of operating liability</w:t>
            </w:r>
          </w:p>
        </w:tc>
        <w:tc>
          <w:tcPr>
            <w:tcW w:w="180" w:type="dxa"/>
            <w:vAlign w:val="bottom"/>
            <w:gridSpan w:val="3"/>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11,667</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operating liabilities</w:t>
            </w:r>
          </w:p>
        </w:tc>
        <w:tc>
          <w:tcPr>
            <w:tcW w:w="180" w:type="dxa"/>
            <w:vAlign w:val="bottom"/>
            <w:gridSpan w:val="3"/>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7960" w:type="dxa"/>
            <w:vAlign w:val="bottom"/>
          </w:tcPr>
          <w:p>
            <w:pPr>
              <w:spacing w:after="0"/>
              <w:rPr>
                <w:sz w:val="20"/>
                <w:szCs w:val="20"/>
                <w:color w:val="auto"/>
              </w:rPr>
            </w:pPr>
            <w:r>
              <w:rPr>
                <w:rFonts w:ascii="Arial" w:cs="Arial" w:eastAsia="Arial" w:hAnsi="Arial"/>
                <w:sz w:val="18"/>
                <w:szCs w:val="18"/>
                <w:color w:val="auto"/>
                <w:w w:val="90"/>
              </w:rPr>
              <w:t>At December 31, 2019, the weighted average borrowing rate and weighted average lease term are as follows: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Amount</w:t>
            </w: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borrowing rate</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0"/>
                <w:szCs w:val="20"/>
                <w:color w:val="auto"/>
              </w:rPr>
            </w:pPr>
          </w:p>
        </w:tc>
      </w:tr>
      <w:tr>
        <w:trPr>
          <w:trHeight w:val="418"/>
        </w:trPr>
        <w:tc>
          <w:tcPr>
            <w:tcW w:w="7960" w:type="dxa"/>
            <w:vAlign w:val="bottom"/>
          </w:tcPr>
          <w:p>
            <w:pPr>
              <w:spacing w:after="0"/>
              <w:rPr>
                <w:sz w:val="20"/>
                <w:szCs w:val="20"/>
                <w:color w:val="auto"/>
              </w:rPr>
            </w:pPr>
            <w:r>
              <w:rPr>
                <w:rFonts w:ascii="Arial" w:cs="Arial" w:eastAsia="Arial" w:hAnsi="Arial"/>
                <w:sz w:val="18"/>
                <w:szCs w:val="18"/>
                <w:color w:val="auto"/>
                <w:w w:val="99"/>
              </w:rPr>
              <w:t>The following table presents the maturity of lease liabilities as of December 31, 2019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9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Amount</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8,516</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5,946</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4,143</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3,956</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3,558</w:t>
            </w:r>
          </w:p>
        </w:tc>
      </w:tr>
      <w:tr>
        <w:trPr>
          <w:trHeight w:val="216"/>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7,633</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33,752</w:t>
            </w:r>
          </w:p>
        </w:tc>
      </w:tr>
      <w:tr>
        <w:trPr>
          <w:trHeight w:val="216"/>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(2,797)</w:t>
            </w:r>
          </w:p>
        </w:tc>
      </w:tr>
      <w:tr>
        <w:trPr>
          <w:trHeight w:val="230"/>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30,955</w:t>
            </w:r>
          </w:p>
        </w:tc>
      </w:tr>
      <w:tr>
        <w:trPr>
          <w:trHeight w:val="419"/>
        </w:trPr>
        <w:tc>
          <w:tcPr>
            <w:tcW w:w="7960" w:type="dxa"/>
            <w:vAlign w:val="bottom"/>
          </w:tcPr>
          <w:p>
            <w:pPr>
              <w:spacing w:after="0"/>
              <w:rPr>
                <w:sz w:val="20"/>
                <w:szCs w:val="20"/>
                <w:color w:val="auto"/>
              </w:rPr>
            </w:pPr>
            <w:r>
              <w:rPr>
                <w:rFonts w:ascii="Arial" w:cs="Arial" w:eastAsia="Arial" w:hAnsi="Arial"/>
                <w:sz w:val="18"/>
                <w:szCs w:val="18"/>
                <w:color w:val="auto"/>
              </w:rPr>
              <w:t>At December 31, 2019, the future minimum lease payments were as follows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9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Amount</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8,516</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5,946</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4,143</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3,956</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3,558</w:t>
            </w:r>
          </w:p>
        </w:tc>
      </w:tr>
      <w:tr>
        <w:trPr>
          <w:trHeight w:val="216"/>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7,633</w:t>
            </w:r>
          </w:p>
        </w:tc>
      </w:tr>
      <w:tr>
        <w:trPr>
          <w:trHeight w:val="230"/>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33,752</w:t>
            </w:r>
          </w:p>
        </w:tc>
      </w:tr>
      <w:tr>
        <w:trPr>
          <w:trHeight w:val="851"/>
        </w:trPr>
        <w:tc>
          <w:tcPr>
            <w:tcW w:w="7960" w:type="dxa"/>
            <w:vAlign w:val="bottom"/>
          </w:tcPr>
          <w:p>
            <w:pPr>
              <w:ind w:left="4400"/>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61"/>
        </w:trPr>
        <w:tc>
          <w:tcPr>
            <w:tcW w:w="7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the future minimum lease payments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Amount</w:t>
            </w: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11,393</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7,580</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4,051</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16"/>
        </w:trPr>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11,156</w:t>
            </w:r>
          </w:p>
        </w:tc>
      </w:tr>
      <w:tr>
        <w:trPr>
          <w:trHeight w:val="21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43,374</w:t>
            </w: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Rent expense amounted to $2.7 million, $9.0 million and $11.8 million for the 2018 Successor Period, the 2018 Predecessor Period and the year ended December 31,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One U.S. lease is secured by a letter of credit in the amount of $1.2 million, which is guaranteed by Refinitiv.</w:t>
      </w:r>
    </w:p>
    <w:p>
      <w:pPr>
        <w:spacing w:after="0" w:line="221" w:lineRule="exact"/>
        <w:rPr>
          <w:sz w:val="20"/>
          <w:szCs w:val="20"/>
          <w:color w:val="auto"/>
        </w:rPr>
      </w:pPr>
    </w:p>
    <w:p>
      <w:pPr>
        <w:ind w:left="580" w:hanging="577"/>
        <w:spacing w:after="0"/>
        <w:tabs>
          <w:tab w:leader="none" w:pos="5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December 31, 2019 and December 31, 2018, cash in the amount of $1.0 million and $1.2 million, respectively, has been segregated in the PAB reserve account exceeding the requirements pursuant to SEC Rule 15c3-3.</w:t>
      </w:r>
    </w:p>
    <w:p>
      <w:pPr>
        <w:spacing w:after="0" w:line="169" w:lineRule="exact"/>
        <w:rPr>
          <w:sz w:val="20"/>
          <w:szCs w:val="20"/>
          <w:color w:val="auto"/>
        </w:rPr>
      </w:pPr>
    </w:p>
    <w:p>
      <w:pPr>
        <w:ind w:left="580" w:hanging="577"/>
        <w:spacing w:after="0"/>
        <w:tabs>
          <w:tab w:leader="none" w:pos="5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recognized revenue and remaining balance is shown below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Amount</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balance - December 31, 2018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New billings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106,153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(110,046)</w:t>
            </w:r>
          </w:p>
        </w:tc>
      </w:tr>
      <w:tr>
        <w:trPr>
          <w:trHeight w:val="217"/>
        </w:trPr>
        <w:tc>
          <w:tcPr>
            <w:tcW w:w="6320" w:type="dxa"/>
            <w:vAlign w:val="bottom"/>
          </w:tcPr>
          <w:p>
            <w:pPr>
              <w:spacing w:after="0"/>
              <w:rPr>
                <w:sz w:val="20"/>
                <w:szCs w:val="20"/>
                <w:color w:val="auto"/>
              </w:rPr>
            </w:pPr>
            <w:r>
              <w:rPr>
                <w:rFonts w:ascii="Arial" w:cs="Arial" w:eastAsia="Arial" w:hAnsi="Arial"/>
                <w:sz w:val="18"/>
                <w:szCs w:val="18"/>
                <w:color w:val="auto"/>
              </w:rPr>
              <w:t>Deferred revenue balance - December 31, 2019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23,990</w:t>
            </w:r>
          </w:p>
        </w:tc>
      </w:tr>
    </w:tbl>
    <w:p>
      <w:pPr>
        <w:spacing w:after="0" w:line="211" w:lineRule="exact"/>
        <w:rPr>
          <w:sz w:val="20"/>
          <w:szCs w:val="20"/>
          <w:color w:val="auto"/>
        </w:rPr>
      </w:pPr>
    </w:p>
    <w:p>
      <w:pPr>
        <w:ind w:left="580" w:hanging="577"/>
        <w:spacing w:after="0"/>
        <w:tabs>
          <w:tab w:leader="none" w:pos="5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Software development costs, net of accumulated amortization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Successor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00"/>
              <w:spacing w:after="0"/>
              <w:rPr>
                <w:sz w:val="20"/>
                <w:szCs w:val="20"/>
                <w:color w:val="auto"/>
              </w:rPr>
            </w:pPr>
            <w:r>
              <w:rPr>
                <w:rFonts w:ascii="Arial" w:cs="Arial" w:eastAsia="Arial" w:hAnsi="Arial"/>
                <w:sz w:val="14"/>
                <w:szCs w:val="14"/>
                <w:b w:val="1"/>
                <w:bCs w:val="1"/>
                <w:color w:val="auto"/>
              </w:rPr>
              <w:t>Successor</w:t>
            </w:r>
          </w:p>
        </w:tc>
      </w:tr>
      <w:tr>
        <w:trPr>
          <w:trHeight w:val="119"/>
        </w:trPr>
        <w:tc>
          <w:tcPr>
            <w:tcW w:w="65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December 31,</w:t>
            </w:r>
          </w:p>
        </w:tc>
      </w:tr>
      <w:tr>
        <w:trPr>
          <w:trHeight w:val="171"/>
        </w:trPr>
        <w:tc>
          <w:tcPr>
            <w:tcW w:w="6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175,656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(31,250)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(5,074)</w:t>
            </w:r>
          </w:p>
        </w:tc>
      </w:tr>
      <w:tr>
        <w:trPr>
          <w:trHeight w:val="230"/>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development costs, net of accumulated amortization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173,086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170,582</w:t>
            </w:r>
          </w:p>
        </w:tc>
      </w:tr>
      <w:tr>
        <w:trPr>
          <w:trHeight w:val="851"/>
        </w:trPr>
        <w:tc>
          <w:tcPr>
            <w:tcW w:w="6560" w:type="dxa"/>
            <w:vAlign w:val="bottom"/>
          </w:tcPr>
          <w:p>
            <w:pPr>
              <w:jc w:val="right"/>
              <w:ind w:right="181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61"/>
        </w:trPr>
        <w:tc>
          <w:tcPr>
            <w:tcW w:w="6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development costs and amortization expense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w w:val="93"/>
              </w:rPr>
              <w:t>Successor</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line="20" w:lineRule="exact"/>
              <w:rPr>
                <w:sz w:val="1"/>
                <w:szCs w:val="1"/>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Predecessor</w:t>
            </w:r>
          </w:p>
        </w:tc>
        <w:tc>
          <w:tcPr>
            <w:tcW w:w="80" w:type="dxa"/>
            <w:vAlign w:val="bottom"/>
          </w:tcPr>
          <w:p>
            <w:pPr>
              <w:spacing w:after="0" w:line="20" w:lineRule="exact"/>
              <w:rPr>
                <w:sz w:val="1"/>
                <w:szCs w:val="1"/>
                <w:color w:val="auto"/>
              </w:rPr>
            </w:pPr>
          </w:p>
        </w:tc>
        <w:tc>
          <w:tcPr>
            <w:tcW w:w="86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4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October 1, 2018</w:t>
            </w:r>
          </w:p>
        </w:tc>
        <w:tc>
          <w:tcPr>
            <w:tcW w:w="60" w:type="dxa"/>
            <w:vAlign w:val="bottom"/>
          </w:tcPr>
          <w:p>
            <w:pPr>
              <w:spacing w:after="0"/>
              <w:rPr>
                <w:sz w:val="10"/>
                <w:szCs w:val="10"/>
                <w:color w:val="auto"/>
              </w:rPr>
            </w:pPr>
          </w:p>
        </w:tc>
        <w:tc>
          <w:tcPr>
            <w:tcW w:w="120" w:type="dxa"/>
            <w:vAlign w:val="bottom"/>
            <w:tcBorders>
              <w:top w:val="single" w:sz="8" w:color="auto"/>
              <w:left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1, 2018</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to</w:t>
            </w:r>
          </w:p>
        </w:tc>
        <w:tc>
          <w:tcPr>
            <w:tcW w:w="120" w:type="dxa"/>
            <w:vAlign w:val="bottom"/>
            <w:tcBorders>
              <w:left w:val="single" w:sz="8" w:color="auto"/>
            </w:tcBorders>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2018</w:t>
            </w: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development costs capitalized</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19,523</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27,157</w:t>
            </w:r>
          </w:p>
        </w:tc>
        <w:tc>
          <w:tcPr>
            <w:tcW w:w="0" w:type="dxa"/>
            <w:vAlign w:val="bottom"/>
          </w:tcPr>
          <w:p>
            <w:pPr>
              <w:spacing w:after="0"/>
              <w:rPr>
                <w:sz w:val="1"/>
                <w:szCs w:val="1"/>
                <w:color w:val="auto"/>
              </w:rPr>
            </w:pPr>
          </w:p>
        </w:tc>
      </w:tr>
      <w:tr>
        <w:trPr>
          <w:trHeight w:val="182"/>
        </w:trPr>
        <w:tc>
          <w:tcPr>
            <w:tcW w:w="4100" w:type="dxa"/>
            <w:vAlign w:val="bottom"/>
          </w:tcPr>
          <w:p>
            <w:pPr>
              <w:spacing w:after="0" w:line="182" w:lineRule="exact"/>
              <w:rPr>
                <w:sz w:val="20"/>
                <w:szCs w:val="20"/>
                <w:color w:val="auto"/>
              </w:rPr>
            </w:pPr>
            <w:r>
              <w:rPr>
                <w:rFonts w:ascii="Arial" w:cs="Arial" w:eastAsia="Arial" w:hAnsi="Arial"/>
                <w:sz w:val="18"/>
                <w:szCs w:val="18"/>
                <w:color w:val="auto"/>
                <w:w w:val="98"/>
              </w:rPr>
              <w:t>Amortization expense related to capitalized software</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26,176</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5,074</w:t>
            </w:r>
          </w:p>
        </w:tc>
        <w:tc>
          <w:tcPr>
            <w:tcW w:w="60" w:type="dxa"/>
            <w:vAlign w:val="bottom"/>
          </w:tcPr>
          <w:p>
            <w:pPr>
              <w:spacing w:after="0"/>
              <w:rPr>
                <w:sz w:val="15"/>
                <w:szCs w:val="15"/>
                <w:color w:val="auto"/>
              </w:rPr>
            </w:pPr>
          </w:p>
        </w:tc>
        <w:tc>
          <w:tcPr>
            <w:tcW w:w="120" w:type="dxa"/>
            <w:vAlign w:val="bottom"/>
            <w:tcBorders>
              <w:lef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19,962</w:t>
            </w:r>
          </w:p>
        </w:tc>
        <w:tc>
          <w:tcPr>
            <w:tcW w:w="8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25,420</w:t>
            </w:r>
          </w:p>
        </w:tc>
        <w:tc>
          <w:tcPr>
            <w:tcW w:w="0" w:type="dxa"/>
            <w:vAlign w:val="bottom"/>
          </w:tcPr>
          <w:p>
            <w:pPr>
              <w:spacing w:after="0"/>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development costs</w:t>
            </w:r>
          </w:p>
        </w:tc>
        <w:tc>
          <w:tcPr>
            <w:tcW w:w="4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left w:val="single" w:sz="8" w:color="auto"/>
            </w:tcBorders>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Non-capitalized software costs and routine maintenance costs are expensed as incurred and are included in employee compensation and benefits and professional fees on the consolidated statements of income.</w:t>
      </w:r>
    </w:p>
    <w:p>
      <w:pPr>
        <w:spacing w:after="0" w:line="383" w:lineRule="exact"/>
        <w:rPr>
          <w:sz w:val="20"/>
          <w:szCs w:val="20"/>
          <w:color w:val="auto"/>
        </w:rPr>
      </w:pPr>
    </w:p>
    <w:p>
      <w:pPr>
        <w:ind w:left="580" w:hanging="577"/>
        <w:spacing w:after="0"/>
        <w:tabs>
          <w:tab w:leader="none" w:pos="5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the year ended December 31, 2019, total income before the provision for income taxes amounted to $225.3 million, consisting of $207.7 million in the United States and $17.6 million in foreign locations.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48"/>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October 1, 2018 to</w:t>
            </w:r>
          </w:p>
        </w:tc>
        <w:tc>
          <w:tcPr>
            <w:tcW w:w="2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January 1, 2018 to</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48"/>
              <w:spacing w:after="0" w:line="119"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7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Current:</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Arial" w:cs="Arial" w:eastAsia="Arial" w:hAnsi="Arial"/>
                <w:sz w:val="14"/>
                <w:szCs w:val="14"/>
                <w:color w:val="auto"/>
              </w:rPr>
              <w:t>Federal</w:t>
            </w:r>
          </w:p>
        </w:tc>
        <w:tc>
          <w:tcPr>
            <w:tcW w:w="10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21,373</w:t>
            </w:r>
          </w:p>
        </w:tc>
        <w:tc>
          <w:tcPr>
            <w:tcW w:w="1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State and Local</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1,235</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149"/>
        </w:trPr>
        <w:tc>
          <w:tcPr>
            <w:tcW w:w="27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Foreign</w:t>
            </w: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4,368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3,559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2,748</w:t>
            </w: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current tax expense</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37,278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2,447</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9,298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7,079</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Deferred: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Federal</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Arial" w:cs="Arial" w:eastAsia="Arial" w:hAnsi="Arial"/>
                <w:sz w:val="14"/>
                <w:szCs w:val="14"/>
                <w:color w:val="auto"/>
              </w:rPr>
              <w:t>State and local</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18,194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288</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1,517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(3,082)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78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Total deferred tax expense</w:t>
            </w:r>
          </w:p>
        </w:tc>
        <w:tc>
          <w:tcPr>
            <w:tcW w:w="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15,024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968</w:t>
            </w:r>
          </w:p>
        </w:tc>
        <w:tc>
          <w:tcPr>
            <w:tcW w:w="2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2,602</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49"/>
        </w:trPr>
        <w:tc>
          <w:tcPr>
            <w:tcW w:w="27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provision for income taxes</w:t>
            </w:r>
          </w:p>
        </w:tc>
        <w:tc>
          <w:tcPr>
            <w:tcW w:w="9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52,302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3,415</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11,900</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tax rate to the effective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900" w:type="dxa"/>
            <w:vAlign w:val="bottom"/>
          </w:tcPr>
          <w:p>
            <w:pPr>
              <w:spacing w:after="0" w:line="20" w:lineRule="exact"/>
              <w:rPr>
                <w:sz w:val="1"/>
                <w:szCs w:val="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20" w:type="dxa"/>
            <w:vAlign w:val="bottom"/>
          </w:tcPr>
          <w:p>
            <w:pPr>
              <w:spacing w:after="0" w:line="20" w:lineRule="exact"/>
              <w:rPr>
                <w:sz w:val="1"/>
                <w:szCs w:val="1"/>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11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October 1, 2018 to</w:t>
            </w:r>
          </w:p>
        </w:tc>
        <w:tc>
          <w:tcPr>
            <w:tcW w:w="1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1, 2018 to</w:t>
            </w:r>
          </w:p>
        </w:tc>
        <w:tc>
          <w:tcPr>
            <w:tcW w:w="120" w:type="dxa"/>
            <w:vAlign w:val="bottom"/>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Statutory U.S. federal income tax rate</w:t>
            </w: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21.0</w:t>
            </w:r>
          </w:p>
        </w:tc>
        <w:tc>
          <w:tcPr>
            <w:tcW w:w="16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State and local income taxes, net of federal income tax benefit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tax rate differential</w:t>
            </w:r>
          </w:p>
        </w:tc>
        <w:tc>
          <w:tcPr>
            <w:tcW w:w="12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Tax Cuts and Jobs Act provisional tax charge</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LLC flow-through structure</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1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12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(7.2)</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Receivable Agreement adjustment</w:t>
            </w:r>
          </w:p>
        </w:tc>
        <w:tc>
          <w:tcPr>
            <w:tcW w:w="12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(3.1)</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Rate change</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2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(0.5)</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2" w:lineRule="exact"/>
              <w:rPr>
                <w:sz w:val="20"/>
                <w:szCs w:val="20"/>
                <w:color w:val="auto"/>
              </w:rPr>
            </w:pPr>
            <w:r>
              <w:rPr>
                <w:rFonts w:ascii="Arial" w:cs="Arial" w:eastAsia="Arial" w:hAnsi="Arial"/>
                <w:sz w:val="14"/>
                <w:szCs w:val="14"/>
                <w:color w:val="auto"/>
              </w:rPr>
              <w:t>Effective income tax rate</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23.2</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w:t>
            </w:r>
          </w:p>
        </w:tc>
        <w:tc>
          <w:tcPr>
            <w:tcW w:w="16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Company’s consolidated effective tax rate for the year ended December 31, 2019 was 23.2% as compared to 10.4% in the 2018 Successor Period and 8.4% in the 2018 Predecessor Period. The effective tax rate increased from prior periods due to the Reorganization Transactions. Prior to the Reorganization Transactions, income taxes consisted only of business taxes incurred by TWM LLC and certain subsidiaries for business conducted in certain state, local and foreign jurisdictions as well as federal, state and local taxes for certain subsidiaries that are taxed as corporations for U.S. tax</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purposes. As a result of the Reorganization Transactions, 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is expected to continue to increase over time as Continuing LLC Owners redeem or exchange their LLC Interests for shares of Class A common stock or Class B common stock, as applicable, or the Corporation purchases LLC Interests from Continuing LLC Owners. In addition to the Reorganization Transactions, the tax impact of state apportionment rate changes on total tax expense as a result of the reduction of the Company’s net deferred asset was 10.2% in 2019 due to the reduction of the Company’s net deferred tax asset.</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consolidated effective tax rate will vary from period to period depending on changes in the mix of earnings, tax legislation and tax rates in various jurisdictions.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net deferred tax asset (liability)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Successor</w:t>
            </w:r>
          </w:p>
        </w:tc>
        <w:tc>
          <w:tcPr>
            <w:tcW w:w="2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Successor</w:t>
            </w:r>
          </w:p>
        </w:tc>
      </w:tr>
      <w:tr>
        <w:trPr>
          <w:trHeight w:val="119"/>
        </w:trPr>
        <w:tc>
          <w:tcPr>
            <w:tcW w:w="37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ind w:right="208"/>
              <w:spacing w:after="0" w:line="119" w:lineRule="exact"/>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168"/>
              <w:spacing w:after="0" w:line="119" w:lineRule="exact"/>
              <w:rPr>
                <w:sz w:val="20"/>
                <w:szCs w:val="20"/>
                <w:color w:val="auto"/>
              </w:rPr>
            </w:pPr>
            <w:r>
              <w:rPr>
                <w:rFonts w:ascii="Arial" w:cs="Arial" w:eastAsia="Arial" w:hAnsi="Arial"/>
                <w:sz w:val="13"/>
                <w:szCs w:val="13"/>
                <w:b w:val="1"/>
                <w:bCs w:val="1"/>
                <w:color w:val="auto"/>
              </w:rPr>
              <w:t>Year Ended</w:t>
            </w:r>
          </w:p>
        </w:tc>
        <w:tc>
          <w:tcPr>
            <w:tcW w:w="20" w:type="dxa"/>
            <w:vAlign w:val="bottom"/>
          </w:tcPr>
          <w:p>
            <w:pPr>
              <w:spacing w:after="0"/>
              <w:rPr>
                <w:sz w:val="10"/>
                <w:szCs w:val="10"/>
                <w:color w:val="auto"/>
              </w:rPr>
            </w:pPr>
          </w:p>
        </w:tc>
      </w:tr>
      <w:tr>
        <w:trPr>
          <w:trHeight w:val="149"/>
        </w:trPr>
        <w:tc>
          <w:tcPr>
            <w:tcW w:w="37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7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r>
      <w:tr>
        <w:trPr>
          <w:trHeight w:val="142"/>
        </w:trPr>
        <w:tc>
          <w:tcPr>
            <w:tcW w:w="3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Deferred tax assets:</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80" w:type="dxa"/>
            <w:vAlign w:val="bottom"/>
          </w:tcPr>
          <w:p>
            <w:pPr>
              <w:ind w:left="120"/>
              <w:spacing w:after="0" w:line="149" w:lineRule="exact"/>
              <w:rPr>
                <w:sz w:val="20"/>
                <w:szCs w:val="20"/>
                <w:color w:val="auto"/>
              </w:rPr>
            </w:pPr>
            <w:r>
              <w:rPr>
                <w:rFonts w:ascii="Arial" w:cs="Arial" w:eastAsia="Arial" w:hAnsi="Arial"/>
                <w:sz w:val="14"/>
                <w:szCs w:val="14"/>
                <w:color w:val="auto"/>
              </w:rPr>
              <w:t>Investment in partnership</w:t>
            </w:r>
          </w:p>
        </w:tc>
        <w:tc>
          <w:tcPr>
            <w:tcW w:w="184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226,241</w:t>
            </w:r>
          </w:p>
        </w:tc>
        <w:tc>
          <w:tcPr>
            <w:tcW w:w="26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3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operating losses</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6,810</w:t>
            </w:r>
          </w:p>
        </w:tc>
        <w:tc>
          <w:tcPr>
            <w:tcW w:w="20" w:type="dxa"/>
            <w:vAlign w:val="bottom"/>
          </w:tcPr>
          <w:p>
            <w:pPr>
              <w:spacing w:after="0"/>
              <w:rPr>
                <w:sz w:val="12"/>
                <w:szCs w:val="12"/>
                <w:color w:val="auto"/>
              </w:rPr>
            </w:pPr>
          </w:p>
        </w:tc>
      </w:tr>
      <w:tr>
        <w:trPr>
          <w:trHeight w:val="149"/>
        </w:trPr>
        <w:tc>
          <w:tcPr>
            <w:tcW w:w="3780" w:type="dxa"/>
            <w:vAlign w:val="bottom"/>
          </w:tcPr>
          <w:p>
            <w:pPr>
              <w:ind w:left="120"/>
              <w:spacing w:after="0" w:line="149" w:lineRule="exact"/>
              <w:rPr>
                <w:sz w:val="20"/>
                <w:szCs w:val="20"/>
                <w:color w:val="auto"/>
              </w:rPr>
            </w:pPr>
            <w:r>
              <w:rPr>
                <w:rFonts w:ascii="Arial" w:cs="Arial" w:eastAsia="Arial" w:hAnsi="Arial"/>
                <w:sz w:val="14"/>
                <w:szCs w:val="14"/>
                <w:color w:val="auto"/>
              </w:rPr>
              <w:t>Tax Receivable Agreement - Interest</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10,395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3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Employee compensation</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9,888</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3780" w:type="dxa"/>
            <w:vAlign w:val="bottom"/>
          </w:tcPr>
          <w:p>
            <w:pPr>
              <w:ind w:left="120"/>
              <w:spacing w:after="0" w:line="149" w:lineRule="exact"/>
              <w:rPr>
                <w:sz w:val="20"/>
                <w:szCs w:val="20"/>
                <w:color w:val="auto"/>
              </w:rPr>
            </w:pPr>
            <w:r>
              <w:rPr>
                <w:rFonts w:ascii="Arial" w:cs="Arial" w:eastAsia="Arial" w:hAnsi="Arial"/>
                <w:sz w:val="14"/>
                <w:szCs w:val="14"/>
                <w:color w:val="auto"/>
              </w:rPr>
              <w:t>Tax credits</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8,342</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3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w:t>
            </w:r>
          </w:p>
        </w:tc>
        <w:tc>
          <w:tcPr>
            <w:tcW w:w="15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4,088</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2,362</w:t>
            </w:r>
          </w:p>
        </w:tc>
        <w:tc>
          <w:tcPr>
            <w:tcW w:w="20" w:type="dxa"/>
            <w:vAlign w:val="bottom"/>
          </w:tcPr>
          <w:p>
            <w:pPr>
              <w:spacing w:after="0"/>
              <w:rPr>
                <w:sz w:val="12"/>
                <w:szCs w:val="12"/>
                <w:color w:val="auto"/>
              </w:rPr>
            </w:pPr>
          </w:p>
        </w:tc>
      </w:tr>
      <w:tr>
        <w:trPr>
          <w:trHeight w:val="142"/>
        </w:trPr>
        <w:tc>
          <w:tcPr>
            <w:tcW w:w="3780" w:type="dxa"/>
            <w:vAlign w:val="bottom"/>
          </w:tcPr>
          <w:p>
            <w:pPr>
              <w:ind w:left="220"/>
              <w:spacing w:after="0" w:line="142" w:lineRule="exact"/>
              <w:rPr>
                <w:sz w:val="20"/>
                <w:szCs w:val="20"/>
                <w:color w:val="auto"/>
              </w:rPr>
            </w:pPr>
            <w:r>
              <w:rPr>
                <w:rFonts w:ascii="Arial" w:cs="Arial" w:eastAsia="Arial" w:hAnsi="Arial"/>
                <w:sz w:val="14"/>
                <w:szCs w:val="14"/>
                <w:color w:val="auto"/>
              </w:rPr>
              <w:t>Deferred tax assets, gross</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4"/>
                <w:szCs w:val="14"/>
                <w:color w:val="auto"/>
              </w:rPr>
              <w:t>260,707</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4"/>
                <w:szCs w:val="14"/>
                <w:color w:val="auto"/>
              </w:rPr>
              <w:t>9,172</w:t>
            </w:r>
          </w:p>
        </w:tc>
        <w:tc>
          <w:tcPr>
            <w:tcW w:w="20" w:type="dxa"/>
            <w:vAlign w:val="bottom"/>
          </w:tcPr>
          <w:p>
            <w:pPr>
              <w:spacing w:after="0"/>
              <w:rPr>
                <w:sz w:val="12"/>
                <w:szCs w:val="12"/>
                <w:color w:val="auto"/>
              </w:rPr>
            </w:pPr>
          </w:p>
        </w:tc>
      </w:tr>
      <w:tr>
        <w:trPr>
          <w:trHeight w:val="149"/>
        </w:trPr>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Valuation Allowance</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2"/>
        </w:trPr>
        <w:tc>
          <w:tcPr>
            <w:tcW w:w="3780" w:type="dxa"/>
            <w:vAlign w:val="bottom"/>
          </w:tcPr>
          <w:p>
            <w:pPr>
              <w:ind w:left="220"/>
              <w:spacing w:after="0" w:line="142" w:lineRule="exact"/>
              <w:rPr>
                <w:sz w:val="20"/>
                <w:szCs w:val="20"/>
                <w:color w:val="auto"/>
              </w:rPr>
            </w:pPr>
            <w:r>
              <w:rPr>
                <w:rFonts w:ascii="Arial" w:cs="Arial" w:eastAsia="Arial" w:hAnsi="Arial"/>
                <w:sz w:val="14"/>
                <w:szCs w:val="14"/>
                <w:color w:val="auto"/>
              </w:rPr>
              <w:t>Total deferred tax assets, net</w:t>
            </w:r>
          </w:p>
        </w:tc>
        <w:tc>
          <w:tcPr>
            <w:tcW w:w="15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260,707</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9,172</w:t>
            </w:r>
          </w:p>
        </w:tc>
        <w:tc>
          <w:tcPr>
            <w:tcW w:w="20" w:type="dxa"/>
            <w:vAlign w:val="bottom"/>
          </w:tcPr>
          <w:p>
            <w:pPr>
              <w:spacing w:after="0"/>
              <w:rPr>
                <w:sz w:val="12"/>
                <w:szCs w:val="12"/>
                <w:color w:val="auto"/>
              </w:rPr>
            </w:pPr>
          </w:p>
        </w:tc>
      </w:tr>
      <w:tr>
        <w:trPr>
          <w:trHeight w:val="149"/>
        </w:trPr>
        <w:tc>
          <w:tcPr>
            <w:tcW w:w="37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Deferred tax liabilities</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Goodwill and Intangibles</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(25,829)</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(28,799)</w:t>
            </w:r>
          </w:p>
        </w:tc>
        <w:tc>
          <w:tcPr>
            <w:tcW w:w="20" w:type="dxa"/>
            <w:vAlign w:val="bottom"/>
          </w:tcPr>
          <w:p>
            <w:pPr>
              <w:spacing w:after="0"/>
              <w:rPr>
                <w:sz w:val="12"/>
                <w:szCs w:val="12"/>
                <w:color w:val="auto"/>
              </w:rPr>
            </w:pPr>
          </w:p>
        </w:tc>
      </w:tr>
      <w:tr>
        <w:trPr>
          <w:trHeight w:val="142"/>
        </w:trPr>
        <w:tc>
          <w:tcPr>
            <w:tcW w:w="3780" w:type="dxa"/>
            <w:vAlign w:val="bottom"/>
          </w:tcPr>
          <w:p>
            <w:pPr>
              <w:ind w:left="220"/>
              <w:spacing w:after="0" w:line="142" w:lineRule="exact"/>
              <w:rPr>
                <w:sz w:val="20"/>
                <w:szCs w:val="20"/>
                <w:color w:val="auto"/>
              </w:rPr>
            </w:pPr>
            <w:r>
              <w:rPr>
                <w:rFonts w:ascii="Arial" w:cs="Arial" w:eastAsia="Arial" w:hAnsi="Arial"/>
                <w:sz w:val="14"/>
                <w:szCs w:val="14"/>
                <w:color w:val="auto"/>
              </w:rPr>
              <w:t>Total deferred tax liabilities</w:t>
            </w:r>
          </w:p>
        </w:tc>
        <w:tc>
          <w:tcPr>
            <w:tcW w:w="15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(25,829)</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(28,799)</w:t>
            </w:r>
          </w:p>
        </w:tc>
        <w:tc>
          <w:tcPr>
            <w:tcW w:w="20" w:type="dxa"/>
            <w:vAlign w:val="bottom"/>
          </w:tcPr>
          <w:p>
            <w:pPr>
              <w:spacing w:after="0"/>
              <w:rPr>
                <w:sz w:val="12"/>
                <w:szCs w:val="12"/>
                <w:color w:val="auto"/>
              </w:rPr>
            </w:pPr>
          </w:p>
        </w:tc>
      </w:tr>
      <w:tr>
        <w:trPr>
          <w:trHeight w:val="149"/>
        </w:trPr>
        <w:tc>
          <w:tcPr>
            <w:tcW w:w="37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780" w:type="dxa"/>
            <w:vAlign w:val="bottom"/>
          </w:tcPr>
          <w:p>
            <w:pPr>
              <w:spacing w:after="0" w:line="142" w:lineRule="exact"/>
              <w:rPr>
                <w:sz w:val="20"/>
                <w:szCs w:val="20"/>
                <w:color w:val="auto"/>
              </w:rPr>
            </w:pPr>
            <w:r>
              <w:rPr>
                <w:rFonts w:ascii="Arial" w:cs="Arial" w:eastAsia="Arial" w:hAnsi="Arial"/>
                <w:sz w:val="14"/>
                <w:szCs w:val="14"/>
                <w:color w:val="auto"/>
              </w:rPr>
              <w:t>Total net deferred tax asset (liability)</w:t>
            </w:r>
          </w:p>
        </w:tc>
        <w:tc>
          <w:tcPr>
            <w:tcW w:w="1580" w:type="dxa"/>
            <w:vAlign w:val="bottom"/>
          </w:tcPr>
          <w:p>
            <w:pPr>
              <w:spacing w:after="0"/>
              <w:rPr>
                <w:sz w:val="12"/>
                <w:szCs w:val="12"/>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234,878</w:t>
            </w:r>
          </w:p>
        </w:tc>
        <w:tc>
          <w:tcPr>
            <w:tcW w:w="26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(19,627)</w:t>
            </w:r>
          </w:p>
        </w:tc>
        <w:tc>
          <w:tcPr>
            <w:tcW w:w="20" w:type="dxa"/>
            <w:vAlign w:val="bottom"/>
            <w:tcBorders>
              <w:bottom w:val="single" w:sz="8" w:color="auto"/>
            </w:tcBorders>
          </w:tcPr>
          <w:p>
            <w:pPr>
              <w:spacing w:after="0"/>
              <w:rPr>
                <w:sz w:val="12"/>
                <w:szCs w:val="12"/>
                <w:color w:val="auto"/>
              </w:rPr>
            </w:pPr>
          </w:p>
        </w:tc>
      </w:tr>
    </w:tbl>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we may become entitled. The Corporation expects to benefit from the remaining 50% of tax benefits, if any, that the Corporation may actually realize. See Note 10 – Tax Receivable Agreement. As a result of the Reorganization Transactions, the IPO, the October 2019 follow-on offering and LLC Interest ownership changes during the year ended December 31, 2019, the Company assumed a deferred tax benefit of $269.6 million, primarily due to an increase in amortizable tax basis that will be amortized primarily over 15 years pursuant to Section 197 of the Internal Revenue Code of 1986, as amended, offset by other factors. The tax benefit has been recognized in deferred tax asset on the December 31, 2019 consolidated statement of financial condition.</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2019, the Company had New York State and New York City net operating loss carryforwards for income tax purposes of $15.7 million and $13.9 million, respectively. If not utilized, the state and local net operating loss carryforwards will begin to expire in 2035.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uncertain tax positions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4"/>
              </w:rPr>
              <w:t>Successor</w:t>
            </w:r>
          </w:p>
        </w:tc>
      </w:tr>
      <w:tr>
        <w:trPr>
          <w:trHeight w:val="119"/>
        </w:trPr>
        <w:tc>
          <w:tcPr>
            <w:tcW w:w="66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tcPr>
          <w:p>
            <w:pPr>
              <w:jc w:val="center"/>
              <w:ind w:right="309"/>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00" w:type="dxa"/>
            <w:vAlign w:val="bottom"/>
          </w:tcPr>
          <w:p>
            <w:pPr>
              <w:spacing w:after="0"/>
              <w:rPr>
                <w:sz w:val="10"/>
                <w:szCs w:val="10"/>
                <w:color w:val="auto"/>
              </w:rPr>
            </w:pPr>
          </w:p>
        </w:tc>
      </w:tr>
      <w:tr>
        <w:trPr>
          <w:trHeight w:val="171"/>
        </w:trPr>
        <w:tc>
          <w:tcPr>
            <w:tcW w:w="66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289"/>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CCEEFF"/>
            </w:tcBorders>
          </w:tcPr>
          <w:p>
            <w:pPr>
              <w:spacing w:after="0"/>
              <w:rPr>
                <w:sz w:val="14"/>
                <w:szCs w:val="14"/>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Gross unrecognized tax benefits as of January 1</w:t>
            </w:r>
          </w:p>
        </w:tc>
        <w:tc>
          <w:tcPr>
            <w:tcW w:w="360" w:type="dxa"/>
            <w:vAlign w:val="bottom"/>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3,348</w:t>
            </w:r>
          </w:p>
        </w:tc>
        <w:tc>
          <w:tcPr>
            <w:tcW w:w="300" w:type="dxa"/>
            <w:vAlign w:val="bottom"/>
            <w:shd w:val="clear" w:color="auto" w:fill="CCEEFF"/>
          </w:tcPr>
          <w:p>
            <w:pPr>
              <w:spacing w:after="0"/>
              <w:rPr>
                <w:sz w:val="12"/>
                <w:szCs w:val="12"/>
                <w:color w:val="auto"/>
              </w:rPr>
            </w:pPr>
          </w:p>
        </w:tc>
      </w:tr>
      <w:tr>
        <w:trPr>
          <w:trHeight w:val="149"/>
        </w:trPr>
        <w:tc>
          <w:tcPr>
            <w:tcW w:w="6620" w:type="dxa"/>
            <w:vAlign w:val="bottom"/>
          </w:tcPr>
          <w:p>
            <w:pPr>
              <w:ind w:left="120"/>
              <w:spacing w:after="0" w:line="149" w:lineRule="exact"/>
              <w:rPr>
                <w:sz w:val="20"/>
                <w:szCs w:val="20"/>
                <w:color w:val="auto"/>
              </w:rPr>
            </w:pPr>
            <w:r>
              <w:rPr>
                <w:rFonts w:ascii="Arial" w:cs="Arial" w:eastAsia="Arial" w:hAnsi="Arial"/>
                <w:sz w:val="14"/>
                <w:szCs w:val="14"/>
                <w:color w:val="auto"/>
              </w:rPr>
              <w:t>Increase in current year tax positions</w:t>
            </w:r>
          </w:p>
        </w:tc>
        <w:tc>
          <w:tcPr>
            <w:tcW w:w="360" w:type="dxa"/>
            <w:vAlign w:val="bottom"/>
          </w:tcPr>
          <w:p>
            <w:pPr>
              <w:spacing w:after="0"/>
              <w:rPr>
                <w:sz w:val="12"/>
                <w:szCs w:val="12"/>
                <w:color w:val="auto"/>
              </w:rPr>
            </w:pPr>
          </w:p>
        </w:tc>
        <w:tc>
          <w:tcPr>
            <w:tcW w:w="1780" w:type="dxa"/>
            <w:vAlign w:val="bottom"/>
          </w:tcPr>
          <w:p>
            <w:pPr>
              <w:jc w:val="right"/>
              <w:spacing w:after="0" w:line="149" w:lineRule="exact"/>
              <w:rPr>
                <w:sz w:val="20"/>
                <w:szCs w:val="20"/>
                <w:color w:val="auto"/>
              </w:rPr>
            </w:pPr>
            <w:r>
              <w:rPr>
                <w:rFonts w:ascii="Arial" w:cs="Arial" w:eastAsia="Arial" w:hAnsi="Arial"/>
                <w:sz w:val="14"/>
                <w:szCs w:val="14"/>
                <w:color w:val="auto"/>
              </w:rPr>
              <w:t>2,162</w:t>
            </w:r>
          </w:p>
        </w:tc>
        <w:tc>
          <w:tcPr>
            <w:tcW w:w="300" w:type="dxa"/>
            <w:vAlign w:val="bottom"/>
          </w:tcPr>
          <w:p>
            <w:pPr>
              <w:spacing w:after="0"/>
              <w:rPr>
                <w:sz w:val="12"/>
                <w:szCs w:val="12"/>
                <w:color w:val="auto"/>
              </w:rPr>
            </w:pPr>
          </w:p>
        </w:tc>
      </w:tr>
      <w:tr>
        <w:trPr>
          <w:trHeight w:val="149"/>
        </w:trPr>
        <w:tc>
          <w:tcPr>
            <w:tcW w:w="6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in prior year tax positions</w:t>
            </w:r>
          </w:p>
        </w:tc>
        <w:tc>
          <w:tcPr>
            <w:tcW w:w="36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r>
      <w:tr>
        <w:trPr>
          <w:trHeight w:val="149"/>
        </w:trPr>
        <w:tc>
          <w:tcPr>
            <w:tcW w:w="6620" w:type="dxa"/>
            <w:vAlign w:val="bottom"/>
          </w:tcPr>
          <w:p>
            <w:pPr>
              <w:ind w:left="120"/>
              <w:spacing w:after="0" w:line="149" w:lineRule="exact"/>
              <w:rPr>
                <w:sz w:val="20"/>
                <w:szCs w:val="20"/>
                <w:color w:val="auto"/>
              </w:rPr>
            </w:pPr>
            <w:r>
              <w:rPr>
                <w:rFonts w:ascii="Arial" w:cs="Arial" w:eastAsia="Arial" w:hAnsi="Arial"/>
                <w:sz w:val="14"/>
                <w:szCs w:val="14"/>
                <w:color w:val="auto"/>
              </w:rPr>
              <w:t>Acquired tax positions</w:t>
            </w:r>
          </w:p>
        </w:tc>
        <w:tc>
          <w:tcPr>
            <w:tcW w:w="360" w:type="dxa"/>
            <w:vAlign w:val="bottom"/>
          </w:tcPr>
          <w:p>
            <w:pPr>
              <w:spacing w:after="0"/>
              <w:rPr>
                <w:sz w:val="12"/>
                <w:szCs w:val="12"/>
                <w:color w:val="auto"/>
              </w:rPr>
            </w:pPr>
          </w:p>
        </w:tc>
        <w:tc>
          <w:tcPr>
            <w:tcW w:w="1780" w:type="dxa"/>
            <w:vAlign w:val="bottom"/>
          </w:tcPr>
          <w:p>
            <w:pPr>
              <w:jc w:val="right"/>
              <w:spacing w:after="0" w:line="149" w:lineRule="exact"/>
              <w:rPr>
                <w:sz w:val="20"/>
                <w:szCs w:val="20"/>
                <w:color w:val="auto"/>
              </w:rPr>
            </w:pPr>
            <w:r>
              <w:rPr>
                <w:rFonts w:ascii="Arial" w:cs="Arial" w:eastAsia="Arial" w:hAnsi="Arial"/>
                <w:sz w:val="14"/>
                <w:szCs w:val="14"/>
                <w:color w:val="auto"/>
              </w:rPr>
              <w:t>1,789</w:t>
            </w:r>
          </w:p>
        </w:tc>
        <w:tc>
          <w:tcPr>
            <w:tcW w:w="300" w:type="dxa"/>
            <w:vAlign w:val="bottom"/>
          </w:tcPr>
          <w:p>
            <w:pPr>
              <w:spacing w:after="0"/>
              <w:rPr>
                <w:sz w:val="12"/>
                <w:szCs w:val="12"/>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Settlements</w:t>
            </w:r>
          </w:p>
        </w:tc>
        <w:tc>
          <w:tcPr>
            <w:tcW w:w="36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(787)</w:t>
            </w:r>
          </w:p>
        </w:tc>
      </w:tr>
      <w:tr>
        <w:trPr>
          <w:trHeight w:val="149"/>
        </w:trPr>
        <w:tc>
          <w:tcPr>
            <w:tcW w:w="6620" w:type="dxa"/>
            <w:vAlign w:val="bottom"/>
          </w:tcPr>
          <w:p>
            <w:pPr>
              <w:spacing w:after="0" w:line="142" w:lineRule="exact"/>
              <w:rPr>
                <w:sz w:val="20"/>
                <w:szCs w:val="20"/>
                <w:color w:val="auto"/>
              </w:rPr>
            </w:pPr>
            <w:r>
              <w:rPr>
                <w:rFonts w:ascii="Arial" w:cs="Arial" w:eastAsia="Arial" w:hAnsi="Arial"/>
                <w:sz w:val="14"/>
                <w:szCs w:val="14"/>
                <w:color w:val="auto"/>
              </w:rPr>
              <w:t>Gross unrecognized tax benefits as of December 31</w:t>
            </w:r>
          </w:p>
        </w:tc>
        <w:tc>
          <w:tcPr>
            <w:tcW w:w="3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6,512</w:t>
            </w:r>
          </w:p>
        </w:tc>
        <w:tc>
          <w:tcPr>
            <w:tcW w:w="300" w:type="dxa"/>
            <w:vAlign w:val="bottom"/>
          </w:tcPr>
          <w:p>
            <w:pPr>
              <w:spacing w:after="0"/>
              <w:rPr>
                <w:sz w:val="12"/>
                <w:szCs w:val="12"/>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 The total amount of interest and penalties accrued as of December 31, 2019 are $2.3 million and $0.5 million, respectively.</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2019, TWM LLC settled its audits with the City of New York related to New York City Unincorporated Business Tax for years 2009 – 2011. Through the settlement, the Company reduced its uncertain tax positions by $0.8 million. TWM LLC is still under audit by the City of New York for the tax years 2012 – 2014.</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a result of the Refinitiv Contribution, the Company assumed the tax liabilities of the contributed entity. The contributed entity is under audit by the State of New Jersey for the tax years 2012 - 2015 and is appealing a tax assessment from an audit by the State of New Jersey for the tax years 2008 - 2011. At December 31, 2019, the tax liability, interest and penalties related to the Refinitiv Contribution is $2.7 million and is included within accounts payable, accrued expenses and other liabilities on the consolidated statement of financial condition. The Company is indemnified by Refinitiv for tax liabilities that were assumed by the Company as a result of the Refinitiv Contribution. An indemnification asset has been recorded for this item. See Note 14 – Related Party Transactions.</w:t>
      </w:r>
    </w:p>
    <w:p>
      <w:pPr>
        <w:spacing w:after="0" w:line="17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above tax positions were recognized using the best estimate of the amount expected to be paid based on available information and assessment of all relevant factors. Due to the uncertainty associated with tax audits, it is possible that at some future date liabilities resulting from these audit could vary significantly from these positions. Nevertheless, based on currently enacted legislation and information currently known to us, the Company believes that the ultimate resolution of these audits will not have a material adverse impact on the Company’s financial condition taken as a whole.</w:t>
      </w:r>
    </w:p>
    <w:p>
      <w:pPr>
        <w:spacing w:after="0" w:line="181" w:lineRule="exact"/>
        <w:rPr>
          <w:sz w:val="20"/>
          <w:szCs w:val="20"/>
          <w:color w:val="auto"/>
        </w:rPr>
      </w:pPr>
    </w:p>
    <w:p>
      <w:pPr>
        <w:ind w:left="680" w:hanging="677"/>
        <w:spacing w:after="0"/>
        <w:tabs>
          <w:tab w:leader="none" w:pos="6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connection with the Reorganization Transactions, the Corporation entered into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the October 2019 follow-on offering and any future offering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annually based on the actual tax savings realized by the Corporation in its previous tax year.</w:t>
      </w:r>
    </w:p>
    <w:p>
      <w:pPr>
        <w:spacing w:after="0" w:line="17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connection with the IPO, the Company recorded an initial liability of $171.4 million related to its projected obligations under the Tax Receivable Agreement with respect to LLC Interests that were purchased by the Corporation using the net proceeds of the IPO. During 2019, the liability increased to $240.8 million primarily due to the purchase of LLC Interests by the Corporation using the net proceeds of the October 2019 follow-on offering as well as additional exchanges of LLC Interests by Continuing LLC Owners during the year ended December 31, 2019 partially offset by changes in tax rates.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1" w:name="page142"/>
    <w:bookmarkEnd w:id="14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impact of any changes in the projected obligations under the Tax Receivable Agreement as a result of changes in the mix of the Company’s earnings, tax legislation and tax rates in various jurisdictions, or other factors that may impact the Corporation’s tax savings, are reflected in income before taxes on the consolidated statement of income in the period in which the change occurs. During the year ended December 31, 2019, the Company recognized a Tax Receivable Agreement liability adjustment of $33.1 million in the consolidated statement of income.</w:t>
      </w:r>
    </w:p>
    <w:p>
      <w:pPr>
        <w:spacing w:after="0" w:line="169" w:lineRule="exact"/>
        <w:rPr>
          <w:sz w:val="20"/>
          <w:szCs w:val="20"/>
          <w:color w:val="auto"/>
        </w:rPr>
      </w:pPr>
    </w:p>
    <w:p>
      <w:pPr>
        <w:ind w:left="660" w:hanging="657"/>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Reorganization Transactions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described in Note 1 – Organization, in April 2019, the Corporation completed its IPO of 46,000,000 shares of Class A common stock at a public offering price of $27.00, which included 6,000,000 shares of Class A common stock issued pursuant to the underwriters’ option to purchase additional shares of Class A common stock. The Corporation received $1.2 billion in net proceeds, after deducting underwriting discounts and commissions but before deducting offering expenses, which were used to purchase LLC Interests from certain of the Bank Stockholders (and the corresponding shares of common stock were cancelled as described below), at a purchase price per interest equal to the public offering price of $27.00, less the underwriting discounts and commissions payable thereon.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the Reorganization Transactions described below were completed.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April 3, 2019, the certificate of incorporation of Tradeweb Markets Inc. was amended and restated to, among other things, provide for the authorization of (i) 250,000,000 shares of preferred stock with a par value of $0.00001 per share (ii) 1,000,000,000 shares of Class A common stock with a par value of $0.00001 per share; (iii) 450,000,000 shares of Class B common stock with a par value of $0.00001 per share; (iv) 350,000,000 shares of Class C common stock with a par value of $0.00001 per share; and (v) 300,000,000 shares of Class D common stock with a par value of $0.00001 per share.</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ind w:left="1700"/>
              <w:spacing w:after="0"/>
              <w:rPr>
                <w:sz w:val="20"/>
                <w:szCs w:val="20"/>
                <w:color w:val="auto"/>
              </w:rPr>
            </w:pPr>
            <w:r>
              <w:rPr>
                <w:rFonts w:ascii="Arial" w:cs="Arial" w:eastAsia="Arial" w:hAnsi="Arial"/>
                <w:sz w:val="14"/>
                <w:szCs w:val="14"/>
                <w:b w:val="1"/>
                <w:bCs w:val="1"/>
                <w:color w:val="auto"/>
              </w:rPr>
              <w:t>Class of</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7"/>
              </w:rPr>
              <w:t>Par</w:t>
            </w:r>
          </w:p>
        </w:tc>
        <w:tc>
          <w:tcPr>
            <w:tcW w:w="14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Votes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Economic</w:t>
            </w:r>
          </w:p>
        </w:tc>
        <w:tc>
          <w:tcPr>
            <w:tcW w:w="0" w:type="dxa"/>
            <w:vAlign w:val="bottom"/>
          </w:tcPr>
          <w:p>
            <w:pPr>
              <w:spacing w:after="0"/>
              <w:rPr>
                <w:sz w:val="1"/>
                <w:szCs w:val="1"/>
                <w:color w:val="auto"/>
              </w:rPr>
            </w:pPr>
          </w:p>
        </w:tc>
      </w:tr>
      <w:tr>
        <w:trPr>
          <w:trHeight w:val="171"/>
        </w:trPr>
        <w:tc>
          <w:tcPr>
            <w:tcW w:w="3860" w:type="dxa"/>
            <w:vAlign w:val="bottom"/>
          </w:tcPr>
          <w:p>
            <w:pPr>
              <w:ind w:left="1460"/>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Value</w:t>
            </w:r>
          </w:p>
        </w:tc>
        <w:tc>
          <w:tcPr>
            <w:tcW w:w="1460" w:type="dxa"/>
            <w:vAlign w:val="bottom"/>
            <w:gridSpan w:val="2"/>
            <w:vMerge w:val="continue"/>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4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4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Class B common stock</w:t>
            </w:r>
          </w:p>
        </w:tc>
        <w:tc>
          <w:tcPr>
            <w:tcW w:w="7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0.00001</w:t>
            </w:r>
          </w:p>
        </w:tc>
        <w:tc>
          <w:tcPr>
            <w:tcW w:w="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7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Class D common stock</w:t>
            </w:r>
          </w:p>
        </w:tc>
        <w:tc>
          <w:tcPr>
            <w:tcW w:w="7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0.00001</w:t>
            </w:r>
          </w:p>
        </w:tc>
        <w:tc>
          <w:tcPr>
            <w:tcW w:w="4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Continuing LLC Owners that hold shares of Class D common stock may from time to time exchange all or a portion of their shares of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6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the Refinitiv Owners and their affiliates together no longer beneficially own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13 – Stock-Based Compensation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 of Tradeweb Markets LLC</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On April 4, 2019, the TWM LLC Agreement was amended and restated to, among other things, (i) provide for the LLC Interests, (ii) exchange all of the then existing membership interests in TWM LLC for LLC Interests and (iii) appoint the Corporation as the sole manager of TWM LLC.</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All of the shares of TWM LLC outstanding prior to the Reorganization Transactions were exchanged for 222,222,197 LLC Interests. TWM LLC’s outstanding shares prior to the Reorganization Transactions consisted of the following classes of shares: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Shares</w:t>
            </w: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Class 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146,333</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Class C</w:t>
            </w: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Class P (A)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Class P (C)</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Class P-1(A)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Class P-1 (C)</w:t>
            </w: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r>
    </w:tbl>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TWM LLC Agreement requires that TWM LLC at all times maintain (i) a one-to-one ratio between the number of shares of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3" w:name="page144"/>
    <w:bookmarkEnd w:id="14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and Cancellation of Common Stock</w:t>
      </w:r>
    </w:p>
    <w:p>
      <w:pPr>
        <w:spacing w:after="0" w:line="225" w:lineRule="exact"/>
        <w:rPr>
          <w:sz w:val="20"/>
          <w:szCs w:val="20"/>
          <w:color w:val="auto"/>
        </w:rPr>
      </w:pPr>
    </w:p>
    <w:p>
      <w:pPr>
        <w:ind w:left="660" w:hanging="333"/>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a result of the Refinitiv Contribution, the Corporation received 96,933,192 LLC Interests and the Refinitiv Direct Owner received 96,933,192 shares of Class B common stock.</w:t>
      </w:r>
    </w:p>
    <w:p>
      <w:pPr>
        <w:spacing w:after="0" w:line="170" w:lineRule="exact"/>
        <w:rPr>
          <w:rFonts w:ascii="Arial" w:cs="Arial" w:eastAsia="Arial" w:hAnsi="Arial"/>
          <w:sz w:val="18"/>
          <w:szCs w:val="18"/>
          <w:color w:val="auto"/>
        </w:rPr>
      </w:pPr>
    </w:p>
    <w:p>
      <w:pPr>
        <w:ind w:left="660" w:right="20" w:hanging="333"/>
        <w:spacing w:after="0" w:line="273"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Following the completion of the Reorganization Transactions, including the IPO and the application of the proceeds therefrom as described above, (i) the investors in the IPO collectively owned 46,000,000 shares of Class A common, representing 2.7% of the combined voting power of all of the Corporation’s common stock and, through the Corporation’s ownership of LLC Interests, 20.7% of the economic interest in TWM LLC; (ii) the Refinitiv Direct Owner owned 96,933,192 shares of Class B common stock, representing 56.4% of the combined voting power of all of the Corporation’s common stock and, through the Corporation’s ownership of LLC Interests, 43.6% of the economic interest in TWM LLC; (iii) the Refinitiv LLC Owner owned 22,988,329 shares of Class D common stock, representing 13.4% of the combined voting power of all of the Corporation’s common stock, and 22,988,329 LLC Interests, representing 10.3% of the economic interest in TWM LLC, (iv) the Continuing LLC Owners (other than the Refinitiv LLC Owner) collectively owned 10,006,269 shares of Class C common stock and 46,294,407 shares of Class D common stock, representing 27.5% of the combined voting power of all of the Corporation’s common stock, and 56,300,676 LLC Interests, representing 25.3% of the economic interest in TWM LLC; and (v) the Corporation owned 142,933,192 LLC Interests, representing 64.3% of the economic interest in TWM LLC.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2019 Follow-On Offering</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fourth quarter of 2019, Tradeweb Markets Inc. completed an underwritten follow-on offering of 19,881,059 shares of Class A Common stock at a public offering price of $42.00 per share, which included 2,593,181 shares of Class A common stock issued pursuant to the underwriters’ option to purchase additional shares of Class A common stock. Tradeweb Markets Inc. received net proceeds of $810.0 million, after deducting underwriting discounts and commissions but before deducting estimated offering expenses, which were used to purchase (i) 19,835,666 issued and outstanding LLC Interests from certain of the Bank Stockholders and certain of our executive officers (and the corresponding shares of Class C common stock and/or Class D common stock held by such holders were cancelled) and (ii) 45,393 issued and outstanding shares of Class A common stock from certain of our executive officers (which shares of Class A common stock were cancelled), at a purchase price per interest and share equal to the public offering price of $42.00, less the underwriting discounts and commissions payable thereon.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Redemptions and Exchanges of LLC Interests</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addition to the IPO and the October 2019 follow-on offering transactions described above, during the year ended December 31, 2019, certain Continuing LLC Owners exercised their redemption rights under the TWM LLC Agreement, pursuant to which 271,184 LLC Interests were exchanged for 271,184 newly-issued shares of Class 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4" w:name="page145"/>
    <w:bookmarkEnd w:id="14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common stock. Simultaneously, and in connection with these exchanges, 271,184 shares of Class D common stock were surrendered by these Continuing LLC Owners and cancelled. Additionally, in connection with these exchanges, Tradeweb Markets Inc. received 271,184 LLC Interests, increasing its total ownership interest in TWM LLC.</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 Reorganization Transactions, the IPO, the October 2019 follow-on offering and other exchanges and equity activity, as of December 31, 2019:</w:t>
      </w:r>
    </w:p>
    <w:p>
      <w:pPr>
        <w:spacing w:after="0" w:line="170" w:lineRule="exact"/>
        <w:rPr>
          <w:sz w:val="20"/>
          <w:szCs w:val="20"/>
          <w:color w:val="auto"/>
        </w:rPr>
      </w:pPr>
    </w:p>
    <w:p>
      <w:pPr>
        <w:ind w:left="660" w:right="140" w:hanging="333"/>
        <w:spacing w:after="0" w:line="264" w:lineRule="auto"/>
        <w:tabs>
          <w:tab w:leader="none" w:pos="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public investors collectively owned 66,408,328 shares of our Class A common stock, representing 4.3% of the combined voting power of Tradeweb Markets Inc.’s issued and outstanding common stock and indirectly, through Tradeweb Markets Inc., owned 29.8% of the economic interest in TWM LLC;</w:t>
      </w:r>
    </w:p>
    <w:p>
      <w:pPr>
        <w:spacing w:after="0" w:line="181" w:lineRule="exact"/>
        <w:rPr>
          <w:rFonts w:ascii="Arial" w:cs="Arial" w:eastAsia="Arial" w:hAnsi="Arial"/>
          <w:sz w:val="18"/>
          <w:szCs w:val="18"/>
          <w:color w:val="auto"/>
        </w:rPr>
      </w:pPr>
    </w:p>
    <w:p>
      <w:pPr>
        <w:ind w:left="660" w:right="80" w:hanging="333"/>
        <w:spacing w:after="0" w:line="259" w:lineRule="auto"/>
        <w:tabs>
          <w:tab w:leader="none" w:pos="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Refinitiv collectively owned 96,933,192 shares of our Class B common stock and 22,988,329 shares of our Class D common stock, representing 77.2% of the combined voting power of Tradeweb Markets Inc.’s issued and outstanding common stock and directly and indirectly, through Tradeweb Markets Inc., owned 53.9% of the economic interest in TWM LLC; and</w:t>
      </w:r>
    </w:p>
    <w:p>
      <w:pPr>
        <w:spacing w:after="0" w:line="186" w:lineRule="exact"/>
        <w:rPr>
          <w:rFonts w:ascii="Arial" w:cs="Arial" w:eastAsia="Arial" w:hAnsi="Arial"/>
          <w:sz w:val="18"/>
          <w:szCs w:val="18"/>
          <w:color w:val="auto"/>
        </w:rPr>
      </w:pPr>
    </w:p>
    <w:p>
      <w:pPr>
        <w:ind w:left="660" w:right="300" w:hanging="333"/>
        <w:spacing w:after="0" w:line="279" w:lineRule="auto"/>
        <w:tabs>
          <w:tab w:leader="none" w:pos="660"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Bank Stockholders that continue to own LLC Interests collectively owned 8,328,983 shares of our Class C common stock and 27,662,354 shares of our Class D common stock, representing 18.4% of the combined voting power of Tradeweb Markets Inc.’s issued and outstanding common stock and directly and indirectly, through Tradeweb Markets Inc., owned 16.2% of the economic interest in TWM LLC.</w:t>
      </w:r>
    </w:p>
    <w:p>
      <w:pPr>
        <w:spacing w:after="0" w:line="397" w:lineRule="exact"/>
        <w:rPr>
          <w:rFonts w:ascii="Arial" w:cs="Arial" w:eastAsia="Arial" w:hAnsi="Arial"/>
          <w:sz w:val="17"/>
          <w:szCs w:val="17"/>
          <w:color w:val="auto"/>
        </w:rPr>
      </w:pPr>
    </w:p>
    <w:p>
      <w:pPr>
        <w:ind w:left="680" w:hanging="677"/>
        <w:spacing w:after="0"/>
        <w:tabs>
          <w:tab w:leader="none" w:pos="6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378"/>
              <w:spacing w:after="0"/>
              <w:rPr>
                <w:sz w:val="20"/>
                <w:szCs w:val="20"/>
                <w:color w:val="auto"/>
              </w:rPr>
            </w:pPr>
            <w:r>
              <w:rPr>
                <w:rFonts w:ascii="Arial" w:cs="Arial" w:eastAsia="Arial" w:hAnsi="Arial"/>
                <w:sz w:val="14"/>
                <w:szCs w:val="14"/>
                <w:b w:val="1"/>
                <w:bCs w:val="1"/>
                <w:color w:val="auto"/>
              </w:rPr>
              <w:t>December 31, 2019</w:t>
            </w:r>
          </w:p>
        </w:tc>
      </w:tr>
      <w:tr>
        <w:trPr>
          <w:trHeight w:val="119"/>
        </w:trPr>
        <w:tc>
          <w:tcPr>
            <w:tcW w:w="6980" w:type="dxa"/>
            <w:vAlign w:val="bottom"/>
          </w:tcPr>
          <w:p>
            <w:pPr>
              <w:spacing w:after="0"/>
              <w:rPr>
                <w:sz w:val="10"/>
                <w:szCs w:val="10"/>
                <w:color w:val="auto"/>
              </w:rPr>
            </w:pPr>
          </w:p>
        </w:tc>
        <w:tc>
          <w:tcPr>
            <w:tcW w:w="12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LLC</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Ownership</w:t>
            </w:r>
          </w:p>
        </w:tc>
      </w:tr>
      <w:tr>
        <w:trPr>
          <w:trHeight w:val="171"/>
        </w:trPr>
        <w:tc>
          <w:tcPr>
            <w:tcW w:w="698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LLC Interests held by Tradeweb Markets Inc.</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163,341,520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Number of LLC Interests held by non-controlling interests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59,182,155</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17"/>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LLC Interests outstanding</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222,523,675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 See Note 11 – Stockholders’ Equity.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5" w:name="page146"/>
    <w:bookmarkEnd w:id="14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impact on equity due to changes in the Corporation’s ownership interest in TWM LLC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9"/>
        </w:trPr>
        <w:tc>
          <w:tcPr>
            <w:tcW w:w="7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49"/>
              <w:spacing w:after="0" w:line="119"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9"/>
        </w:trPr>
        <w:tc>
          <w:tcPr>
            <w:tcW w:w="7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Attributable to Tradeweb Markets Inc. and Transfers (to) from the Non-Controlling Interests</w:t>
            </w:r>
          </w:p>
        </w:tc>
        <w:tc>
          <w:tcPr>
            <w:tcW w:w="140" w:type="dxa"/>
            <w:vAlign w:val="bottom"/>
          </w:tcPr>
          <w:p>
            <w:pPr>
              <w:spacing w:after="0"/>
              <w:rPr>
                <w:sz w:val="12"/>
                <w:szCs w:val="12"/>
                <w:color w:val="auto"/>
              </w:rPr>
            </w:pPr>
          </w:p>
        </w:tc>
        <w:tc>
          <w:tcPr>
            <w:tcW w:w="1160" w:type="dxa"/>
            <w:vAlign w:val="bottom"/>
          </w:tcPr>
          <w:p>
            <w:pPr>
              <w:jc w:val="center"/>
              <w:ind w:right="8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4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42"/>
        </w:trPr>
        <w:tc>
          <w:tcPr>
            <w:tcW w:w="7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attributable to Tradeweb Markets Inc.</w:t>
            </w: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83,769</w:t>
            </w:r>
          </w:p>
        </w:tc>
        <w:tc>
          <w:tcPr>
            <w:tcW w:w="0" w:type="dxa"/>
            <w:vAlign w:val="bottom"/>
          </w:tcPr>
          <w:p>
            <w:pPr>
              <w:spacing w:after="0"/>
              <w:rPr>
                <w:sz w:val="1"/>
                <w:szCs w:val="1"/>
                <w:color w:val="auto"/>
              </w:rPr>
            </w:pPr>
          </w:p>
        </w:tc>
      </w:tr>
      <w:tr>
        <w:trPr>
          <w:trHeight w:val="149"/>
        </w:trPr>
        <w:tc>
          <w:tcPr>
            <w:tcW w:w="7760" w:type="dxa"/>
            <w:vAlign w:val="bottom"/>
            <w:gridSpan w:val="2"/>
          </w:tcPr>
          <w:p>
            <w:pPr>
              <w:spacing w:after="0" w:line="149" w:lineRule="exact"/>
              <w:rPr>
                <w:sz w:val="20"/>
                <w:szCs w:val="20"/>
                <w:color w:val="auto"/>
              </w:rPr>
            </w:pPr>
            <w:r>
              <w:rPr>
                <w:rFonts w:ascii="Arial" w:cs="Arial" w:eastAsia="Arial" w:hAnsi="Arial"/>
                <w:sz w:val="14"/>
                <w:szCs w:val="14"/>
                <w:color w:val="auto"/>
              </w:rPr>
              <w:t>Transfers (to) from non-controlling interests:</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Allocation of equity to non-controlling interests arising from the reorganization transactions and IPO</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(1,607,529)</w:t>
            </w:r>
          </w:p>
        </w:tc>
        <w:tc>
          <w:tcPr>
            <w:tcW w:w="0" w:type="dxa"/>
            <w:vAlign w:val="bottom"/>
          </w:tcPr>
          <w:p>
            <w:pPr>
              <w:spacing w:after="0"/>
              <w:rPr>
                <w:sz w:val="1"/>
                <w:szCs w:val="1"/>
                <w:color w:val="auto"/>
              </w:rPr>
            </w:pPr>
          </w:p>
        </w:tc>
      </w:tr>
      <w:tr>
        <w:trPr>
          <w:trHeight w:val="149"/>
        </w:trPr>
        <w:tc>
          <w:tcPr>
            <w:tcW w:w="7760" w:type="dxa"/>
            <w:vAlign w:val="bottom"/>
            <w:tcBorders>
              <w:bottom w:val="single" w:sz="8" w:color="CCEEFF"/>
            </w:tcBorders>
            <w:gridSpan w:val="2"/>
          </w:tcPr>
          <w:p>
            <w:pPr>
              <w:ind w:left="220"/>
              <w:spacing w:after="0" w:line="149" w:lineRule="exact"/>
              <w:rPr>
                <w:sz w:val="20"/>
                <w:szCs w:val="20"/>
                <w:color w:val="auto"/>
              </w:rPr>
            </w:pPr>
            <w:r>
              <w:rPr>
                <w:rFonts w:ascii="Arial" w:cs="Arial" w:eastAsia="Arial" w:hAnsi="Arial"/>
                <w:sz w:val="14"/>
                <w:szCs w:val="14"/>
                <w:color w:val="auto"/>
              </w:rPr>
              <w:t>Change in non-controlling interests as a result of the October 2019 follow-on offering and other ownership changes</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402,227</w:t>
            </w:r>
          </w:p>
        </w:tc>
        <w:tc>
          <w:tcPr>
            <w:tcW w:w="0" w:type="dxa"/>
            <w:vAlign w:val="bottom"/>
          </w:tcPr>
          <w:p>
            <w:pPr>
              <w:spacing w:after="0"/>
              <w:rPr>
                <w:sz w:val="1"/>
                <w:szCs w:val="1"/>
                <w:color w:val="auto"/>
              </w:rPr>
            </w:pPr>
          </w:p>
        </w:tc>
      </w:tr>
      <w:tr>
        <w:trPr>
          <w:trHeight w:val="142"/>
        </w:trPr>
        <w:tc>
          <w:tcPr>
            <w:tcW w:w="776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Net transfers (to) from non-controlling interests</w:t>
            </w: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(1,205,302)</w:t>
            </w:r>
          </w:p>
        </w:tc>
        <w:tc>
          <w:tcPr>
            <w:tcW w:w="0" w:type="dxa"/>
            <w:vAlign w:val="bottom"/>
          </w:tcPr>
          <w:p>
            <w:pPr>
              <w:spacing w:after="0"/>
              <w:rPr>
                <w:sz w:val="1"/>
                <w:szCs w:val="1"/>
                <w:color w:val="auto"/>
              </w:rPr>
            </w:pPr>
          </w:p>
        </w:tc>
      </w:tr>
      <w:tr>
        <w:trPr>
          <w:trHeight w:val="149"/>
        </w:trPr>
        <w:tc>
          <w:tcPr>
            <w:tcW w:w="7760" w:type="dxa"/>
            <w:vAlign w:val="bottom"/>
            <w:gridSpan w:val="2"/>
          </w:tcPr>
          <w:p>
            <w:pPr>
              <w:spacing w:after="0" w:line="142" w:lineRule="exact"/>
              <w:rPr>
                <w:sz w:val="20"/>
                <w:szCs w:val="20"/>
                <w:color w:val="auto"/>
              </w:rPr>
            </w:pPr>
            <w:r>
              <w:rPr>
                <w:rFonts w:ascii="Arial" w:cs="Arial" w:eastAsia="Arial" w:hAnsi="Arial"/>
                <w:sz w:val="14"/>
                <w:szCs w:val="14"/>
                <w:color w:val="auto"/>
              </w:rPr>
              <w:t>Change from net income attributable to Tradeweb Markets Inc. and transfers (to) from non-controlling interests</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(1,121,533)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80" w:hanging="677"/>
        <w:spacing w:after="0"/>
        <w:tabs>
          <w:tab w:leader="none" w:pos="6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Under the Omnibus Equity Plan, the Company is authorized to issue up to 8,841,864 new shares of Class A common stock to employees, officers and non-employee directors. Under this plan, the Company may grant awards in respect of shares of Class A common stock, including performance-based restricted share units (“PRSUs”), stock options, restricted stock units (“RSUs”) and dividend equivalent rights. The awards may have performance-based and time-based vesting conditions. Stock options have a maximum contractual term of 10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PRSUs (Equity-Settled)</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PRSUs are promises to issue actual shares of Class A common stock at the end of a three-year cliff vesting period. The fair value of the equity-settled PRSUs is calculated on the grant date using the stock price of the Class A common stock.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w:t>
      </w:r>
    </w:p>
    <w:p>
      <w:pPr>
        <w:spacing w:after="0" w:line="17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On December 31, 2018, certain PRSUs, which were previously cash-settled, were converted to equity-settled PRSUs. No equity-settled PRSUs were granted by the Company prior to December 31, 2018. The conversion was at fair value, using a unit price consistent with the share price of the Company, and as a result of the impact of the performance modifier on PRSUs value, 1,033.2 cash-settled PRSUs were converted into the equivalent value of 2,000,384 equity-settled PRSUs, adjusted retroactively for the recapitalization of TWM LLC described in Note 11 – Stockholders’ Equity, having vesting terms similar to the cash-settled PRSUs. As a result of the modification, which impacted 54 employees, the Company reclassified $19.1 million from employee equity compensation payable to members’ capital in the December 31, 2018 statement of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equity-settled PRSUs is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r>
      <w:tr>
        <w:trPr>
          <w:trHeight w:val="230"/>
        </w:trPr>
        <w:tc>
          <w:tcPr>
            <w:tcW w:w="4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r>
      <w:tr>
        <w:trPr>
          <w:trHeight w:val="216"/>
        </w:trPr>
        <w:tc>
          <w:tcPr>
            <w:tcW w:w="4240" w:type="dxa"/>
            <w:vAlign w:val="bottom"/>
          </w:tcPr>
          <w:p>
            <w:pPr>
              <w:spacing w:after="0"/>
              <w:rPr>
                <w:sz w:val="18"/>
                <w:szCs w:val="18"/>
                <w:color w:val="auto"/>
              </w:rPr>
            </w:pPr>
          </w:p>
        </w:tc>
        <w:tc>
          <w:tcPr>
            <w:tcW w:w="35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Equity-Settled</w:t>
            </w:r>
          </w:p>
        </w:tc>
        <w:tc>
          <w:tcPr>
            <w:tcW w:w="200" w:type="dxa"/>
            <w:vAlign w:val="bottom"/>
          </w:tcPr>
          <w:p>
            <w:pPr>
              <w:spacing w:after="0"/>
              <w:rPr>
                <w:sz w:val="18"/>
                <w:szCs w:val="18"/>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w w:val="99"/>
              </w:rPr>
              <w:t>Grant-Date</w:t>
            </w:r>
          </w:p>
        </w:tc>
      </w:tr>
      <w:tr>
        <w:trPr>
          <w:trHeight w:val="201"/>
        </w:trPr>
        <w:tc>
          <w:tcPr>
            <w:tcW w:w="4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PRSUs</w:t>
            </w:r>
          </w:p>
        </w:tc>
        <w:tc>
          <w:tcPr>
            <w:tcW w:w="200" w:type="dxa"/>
            <w:vAlign w:val="bottom"/>
          </w:tcPr>
          <w:p>
            <w:pPr>
              <w:spacing w:after="0"/>
              <w:rPr>
                <w:sz w:val="17"/>
                <w:szCs w:val="17"/>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Equity-settled PRSUs outstanding at December 31, 2018</w:t>
            </w:r>
          </w:p>
        </w:tc>
        <w:tc>
          <w:tcPr>
            <w:tcW w:w="18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2,000,384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Grants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781,026</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21.08</w:t>
            </w: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Vests</w:t>
            </w:r>
          </w:p>
        </w:tc>
        <w:tc>
          <w:tcPr>
            <w:tcW w:w="18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Performance adjustment</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762,326</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21.08</w:t>
            </w: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Forfeitures</w:t>
            </w:r>
          </w:p>
        </w:tc>
        <w:tc>
          <w:tcPr>
            <w:tcW w:w="3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(53,070)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w w:val="92"/>
              </w:rPr>
              <w:t>Equity-settled PRSUs outstanding at December 31, 2019</w:t>
            </w:r>
          </w:p>
        </w:tc>
        <w:tc>
          <w:tcPr>
            <w:tcW w:w="18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3,490,666</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14.59</w:t>
            </w:r>
          </w:p>
        </w:tc>
      </w:tr>
      <w:tr>
        <w:trPr>
          <w:trHeight w:val="864"/>
        </w:trPr>
        <w:tc>
          <w:tcPr>
            <w:tcW w:w="4240" w:type="dxa"/>
            <w:vAlign w:val="bottom"/>
          </w:tcPr>
          <w:p>
            <w:pPr>
              <w:spacing w:after="0"/>
              <w:rPr>
                <w:sz w:val="24"/>
                <w:szCs w:val="24"/>
                <w:color w:val="auto"/>
              </w:rPr>
            </w:pPr>
          </w:p>
        </w:tc>
        <w:tc>
          <w:tcPr>
            <w:tcW w:w="1880" w:type="dxa"/>
            <w:vAlign w:val="bottom"/>
          </w:tcPr>
          <w:p>
            <w:pPr>
              <w:jc w:val="right"/>
              <w:ind w:right="1374"/>
              <w:spacing w:after="0"/>
              <w:rPr>
                <w:sz w:val="20"/>
                <w:szCs w:val="20"/>
                <w:color w:val="auto"/>
              </w:rPr>
            </w:pPr>
            <w:r>
              <w:rPr>
                <w:rFonts w:ascii="Arial" w:cs="Arial" w:eastAsia="Arial" w:hAnsi="Arial"/>
                <w:sz w:val="18"/>
                <w:szCs w:val="18"/>
                <w:color w:val="auto"/>
              </w:rPr>
              <w:t>146</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61"/>
        </w:trPr>
        <w:tc>
          <w:tcPr>
            <w:tcW w:w="4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46" w:name="page147"/>
    <w:bookmarkEnd w:id="14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shows a summary of equity-settled PRSU activity during the year ended December 31, 2019 (in thousands):</w:t>
      </w:r>
    </w:p>
    <w:p>
      <w:pPr>
        <w:spacing w:after="0" w:line="176"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4881245</wp:posOffset>
            </wp:positionH>
            <wp:positionV relativeFrom="paragraph">
              <wp:posOffset>6350</wp:posOffset>
            </wp:positionV>
            <wp:extent cx="8750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8020"/>
        <w:spacing w:after="0"/>
        <w:rPr>
          <w:sz w:val="20"/>
          <w:szCs w:val="20"/>
          <w:color w:val="auto"/>
        </w:rPr>
      </w:pPr>
      <w:r>
        <w:rPr>
          <w:rFonts w:ascii="Arial" w:cs="Arial" w:eastAsia="Arial" w:hAnsi="Arial"/>
          <w:sz w:val="14"/>
          <w:szCs w:val="14"/>
          <w:b w:val="1"/>
          <w:bCs w:val="1"/>
          <w:color w:val="auto"/>
        </w:rPr>
        <w:t>Year Ended</w:t>
      </w:r>
    </w:p>
    <w:p>
      <w:pPr>
        <w:ind w:left="7940"/>
        <w:spacing w:after="0" w:line="221" w:lineRule="auto"/>
        <w:rPr>
          <w:sz w:val="20"/>
          <w:szCs w:val="20"/>
          <w:color w:val="auto"/>
        </w:rPr>
      </w:pPr>
      <w:r>
        <w:rPr>
          <w:rFonts w:ascii="Arial" w:cs="Arial" w:eastAsia="Arial" w:hAnsi="Arial"/>
          <w:sz w:val="14"/>
          <w:szCs w:val="14"/>
          <w:b w:val="1"/>
          <w:bCs w:val="1"/>
          <w:color w:val="auto"/>
        </w:rPr>
        <w:t>December 31,</w:t>
      </w:r>
    </w:p>
    <w:p>
      <w:pPr>
        <w:ind w:left="8240"/>
        <w:spacing w:after="0" w:line="231" w:lineRule="auto"/>
        <w:rPr>
          <w:sz w:val="20"/>
          <w:szCs w:val="20"/>
          <w:color w:val="auto"/>
        </w:rPr>
      </w:pPr>
      <w:r>
        <w:rPr>
          <w:rFonts w:ascii="Arial" w:cs="Arial" w:eastAsia="Arial" w:hAnsi="Arial"/>
          <w:sz w:val="14"/>
          <w:szCs w:val="14"/>
          <w:b w:val="1"/>
          <w:bCs w:val="1"/>
          <w:color w:val="auto"/>
        </w:rPr>
        <w:t>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Equity-settled PRSU compensation expense</w:t>
            </w:r>
          </w:p>
        </w:tc>
        <w:tc>
          <w:tcPr>
            <w:tcW w:w="2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25,392</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Income tax benefit</w:t>
            </w:r>
          </w:p>
        </w:tc>
        <w:tc>
          <w:tcPr>
            <w:tcW w:w="27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(4,781)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PRSUs (Cash-Settled)</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previously granted cash-settled PRSUs, some of which are still outstanding and are accounted for as liability awards. The Company measures the cost of employee services received in exchange for the award based on the fair value of the Company and the value of accumulated dividend rights associated with each award. The fair value of that award is remeasured subsequently at each reporting date through to settlement. Changes in the award's fair value during the requisite service period are recognized as compensation cost over that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cash-settled PRSUs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1"/>
              </w:rPr>
              <w:t>Cash-Settled</w:t>
            </w:r>
          </w:p>
        </w:tc>
        <w:tc>
          <w:tcPr>
            <w:tcW w:w="200" w:type="dxa"/>
            <w:vAlign w:val="bottom"/>
          </w:tcPr>
          <w:p>
            <w:pPr>
              <w:spacing w:after="0"/>
              <w:rPr>
                <w:sz w:val="14"/>
                <w:szCs w:val="14"/>
                <w:color w:val="auto"/>
              </w:rPr>
            </w:pPr>
          </w:p>
        </w:tc>
        <w:tc>
          <w:tcPr>
            <w:tcW w:w="110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PRSUs</w:t>
            </w:r>
          </w:p>
        </w:tc>
        <w:tc>
          <w:tcPr>
            <w:tcW w:w="200" w:type="dxa"/>
            <w:vAlign w:val="bottom"/>
          </w:tcPr>
          <w:p>
            <w:pPr>
              <w:spacing w:after="0"/>
              <w:rPr>
                <w:sz w:val="14"/>
                <w:szCs w:val="14"/>
                <w:color w:val="auto"/>
              </w:rPr>
            </w:pPr>
          </w:p>
        </w:tc>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6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Cash-settled PRSUs outstanding at December 31, 2018</w:t>
            </w:r>
          </w:p>
        </w:tc>
        <w:tc>
          <w:tcPr>
            <w:tcW w:w="2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522</w:t>
            </w:r>
          </w:p>
        </w:tc>
        <w:tc>
          <w:tcPr>
            <w:tcW w:w="2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34,221</w:t>
            </w:r>
          </w:p>
        </w:tc>
        <w:tc>
          <w:tcPr>
            <w:tcW w:w="0" w:type="dxa"/>
            <w:vAlign w:val="bottom"/>
          </w:tcPr>
          <w:p>
            <w:pPr>
              <w:spacing w:after="0"/>
              <w:rPr>
                <w:sz w:val="1"/>
                <w:szCs w:val="1"/>
                <w:color w:val="auto"/>
              </w:rPr>
            </w:pPr>
          </w:p>
        </w:tc>
      </w:tr>
      <w:tr>
        <w:trPr>
          <w:trHeight w:val="149"/>
        </w:trPr>
        <w:tc>
          <w:tcPr>
            <w:tcW w:w="64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Grants</w:t>
            </w: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 xml:space="preserve">Vests </w:t>
            </w:r>
            <w:r>
              <w:rPr>
                <w:rFonts w:ascii="Arial" w:cs="Arial" w:eastAsia="Arial" w:hAnsi="Arial"/>
                <w:sz w:val="14"/>
                <w:szCs w:val="14"/>
                <w:color w:val="auto"/>
                <w:vertAlign w:val="superscript"/>
              </w:rPr>
              <w:t>(1)</w:t>
            </w:r>
          </w:p>
        </w:tc>
        <w:tc>
          <w:tcPr>
            <w:tcW w:w="13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(507)</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33,842</w:t>
            </w:r>
          </w:p>
        </w:tc>
        <w:tc>
          <w:tcPr>
            <w:tcW w:w="0" w:type="dxa"/>
            <w:vAlign w:val="bottom"/>
          </w:tcPr>
          <w:p>
            <w:pPr>
              <w:spacing w:after="0"/>
              <w:rPr>
                <w:sz w:val="1"/>
                <w:szCs w:val="1"/>
                <w:color w:val="auto"/>
              </w:rPr>
            </w:pPr>
          </w:p>
        </w:tc>
      </w:tr>
      <w:tr>
        <w:trPr>
          <w:trHeight w:val="149"/>
        </w:trPr>
        <w:tc>
          <w:tcPr>
            <w:tcW w:w="64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Forfeitures</w:t>
            </w: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Cash-settled PRSUs outstanding at December 31, 2019</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94,997</w:t>
            </w:r>
          </w:p>
        </w:tc>
        <w:tc>
          <w:tcPr>
            <w:tcW w:w="0" w:type="dxa"/>
            <w:vAlign w:val="bottom"/>
          </w:tcPr>
          <w:p>
            <w:pPr>
              <w:spacing w:after="0"/>
              <w:rPr>
                <w:sz w:val="1"/>
                <w:szCs w:val="1"/>
                <w:color w:val="auto"/>
              </w:rPr>
            </w:pPr>
          </w:p>
        </w:tc>
      </w:tr>
      <w:tr>
        <w:trPr>
          <w:trHeight w:val="169"/>
        </w:trPr>
        <w:tc>
          <w:tcPr>
            <w:tcW w:w="6120" w:type="dxa"/>
            <w:vAlign w:val="bottom"/>
          </w:tcPr>
          <w:p>
            <w:pPr>
              <w:spacing w:after="0"/>
              <w:rPr>
                <w:sz w:val="20"/>
                <w:szCs w:val="20"/>
                <w:color w:val="auto"/>
              </w:rPr>
            </w:pPr>
            <w:r>
              <w:rPr>
                <w:rFonts w:ascii="Arial" w:cs="Arial" w:eastAsia="Arial" w:hAnsi="Arial"/>
                <w:sz w:val="14"/>
                <w:szCs w:val="14"/>
                <w:color w:val="auto"/>
                <w:w w:val="94"/>
              </w:rPr>
              <w:t>(1) The total fair value of cash-settled PRSUs vested was $17.2 million for the year ended December 31,</w:t>
            </w:r>
          </w:p>
        </w:tc>
        <w:tc>
          <w:tcPr>
            <w:tcW w:w="280" w:type="dxa"/>
            <w:vAlign w:val="bottom"/>
          </w:tcPr>
          <w:p>
            <w:pPr>
              <w:jc w:val="right"/>
              <w:spacing w:after="0"/>
              <w:rPr>
                <w:sz w:val="20"/>
                <w:szCs w:val="20"/>
                <w:color w:val="auto"/>
              </w:rPr>
            </w:pPr>
            <w:r>
              <w:rPr>
                <w:rFonts w:ascii="Arial" w:cs="Arial" w:eastAsia="Arial" w:hAnsi="Arial"/>
                <w:sz w:val="13"/>
                <w:szCs w:val="13"/>
                <w:color w:val="auto"/>
                <w:w w:val="73"/>
              </w:rPr>
              <w:t>2019.</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Prior to the IPO, the Company awarded options to management and other employees under the Option Plan. Each option award vests one half based solely on the passage of time and one half only if the Company achieves certain performance targets. The time vesting portion of the options has a four-year graded vesting schedule, with accelerated vesting for time-based options with vesting dates of January 1, 2021 and 2022 upon the completion of an initial public offering. The Company can elect to net-settle exercised options by reducing the shares of Class A common stock to be issued upon such exercise by the number of shares of Class A common stock having a fair market value on the date of exercise equal to the aggregate option price and withholding taxes payable in respect of the number of options exercised. The Company can also elect, upon exercise, to reduce the shares to be issued by the number of shares having a fair market value on the date of exercise equal to employee payroll taxes. The Company may then pay these employee payroll taxes from the Company’s cash.</w:t>
      </w:r>
    </w:p>
    <w:p>
      <w:pPr>
        <w:spacing w:after="0" w:line="167"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In accounting for options issued under the Option Plan, or which may be issued under the Omnibus Equity Plan in the future, the Company measures and recognizes compensation expense for all awards based on their estimated fair values measured as of the grant date. Options issued under the Option Plan are exercisable following the closing of an initial public offering or during a 15</w:t>
      </w:r>
      <w:r>
        <w:rPr>
          <w:rFonts w:ascii="MS PGothic" w:cs="MS PGothic" w:eastAsia="MS PGothic" w:hAnsi="MS PGothic"/>
          <w:sz w:val="16"/>
          <w:szCs w:val="16"/>
          <w:color w:val="auto"/>
        </w:rPr>
        <w:t>‑</w:t>
      </w:r>
      <w:r>
        <w:rPr>
          <w:rFonts w:ascii="Arial" w:cs="Arial" w:eastAsia="Arial" w:hAnsi="Arial"/>
          <w:sz w:val="16"/>
          <w:szCs w:val="16"/>
          <w:color w:val="auto"/>
        </w:rPr>
        <w:t>day period following a change in control of the Company (and certain other sales of equity by the Company’s shareholders). Costs related to options are recognized as an expense in the consolidated statements of income over the requisite service period, when exercisability is considered probable, with an offsetting increase to additional paid-in capital. As a result, expense recognition commenced upon the completion of the IPO, with $18.9 million recognized as compensation expense related to options issued under the Option Plan immediately upon the completion of the IPO.</w:t>
      </w:r>
    </w:p>
    <w:p>
      <w:pPr>
        <w:spacing w:after="0" w:line="2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fair value of options is calculated on the grant date using the Black-Scholes model. The significant assumptions used to estimate the fair value as of grant date of the options awarded prior to the IPO did not reflect changes that would have occurred to these assumptions as a result of the IPO.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7" w:name="page148"/>
    <w:bookmarkEnd w:id="14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options is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r>
      <w:tr>
        <w:trPr>
          <w:trHeight w:val="230"/>
        </w:trPr>
        <w:tc>
          <w:tcPr>
            <w:tcW w:w="6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r>
      <w:tr>
        <w:trPr>
          <w:trHeight w:val="216"/>
        </w:trPr>
        <w:tc>
          <w:tcPr>
            <w:tcW w:w="6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w w:val="99"/>
              </w:rPr>
              <w:t>Grant-Date</w:t>
            </w:r>
          </w:p>
        </w:tc>
      </w:tr>
      <w:tr>
        <w:trPr>
          <w:trHeight w:val="201"/>
        </w:trPr>
        <w:tc>
          <w:tcPr>
            <w:tcW w:w="6120" w:type="dxa"/>
            <w:vAlign w:val="bottom"/>
          </w:tcPr>
          <w:p>
            <w:pPr>
              <w:spacing w:after="0"/>
              <w:rPr>
                <w:sz w:val="17"/>
                <w:szCs w:val="17"/>
                <w:color w:val="auto"/>
              </w:rPr>
            </w:pP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7"/>
                <w:szCs w:val="17"/>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18,091,793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Grants</w:t>
            </w:r>
          </w:p>
        </w:tc>
        <w:tc>
          <w:tcPr>
            <w:tcW w:w="1360" w:type="dxa"/>
            <w:vAlign w:val="bottom"/>
          </w:tcPr>
          <w:p>
            <w:pPr>
              <w:jc w:val="right"/>
              <w:spacing w:after="0"/>
              <w:rPr>
                <w:sz w:val="20"/>
                <w:szCs w:val="20"/>
                <w:color w:val="auto"/>
              </w:rPr>
            </w:pPr>
            <w:r>
              <w:rPr>
                <w:rFonts w:ascii="Arial" w:cs="Arial" w:eastAsia="Arial" w:hAnsi="Arial"/>
                <w:sz w:val="18"/>
                <w:szCs w:val="18"/>
                <w:color w:val="auto"/>
              </w:rPr>
              <w:t>886,115</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(984,585)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Forfeitures and adjustments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(253,579)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17,739,744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Vested options outstanding at December 31, 2019</w:t>
            </w:r>
          </w:p>
        </w:tc>
        <w:tc>
          <w:tcPr>
            <w:tcW w:w="1360" w:type="dxa"/>
            <w:vAlign w:val="bottom"/>
          </w:tcPr>
          <w:p>
            <w:pPr>
              <w:jc w:val="right"/>
              <w:spacing w:after="0"/>
              <w:rPr>
                <w:sz w:val="20"/>
                <w:szCs w:val="20"/>
                <w:color w:val="auto"/>
              </w:rPr>
            </w:pPr>
            <w:r>
              <w:rPr>
                <w:rFonts w:ascii="Arial" w:cs="Arial" w:eastAsia="Arial" w:hAnsi="Arial"/>
                <w:sz w:val="18"/>
                <w:szCs w:val="18"/>
                <w:color w:val="auto"/>
              </w:rPr>
              <w:t>8,061,312</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r>
    </w:tbl>
    <w:p>
      <w:pPr>
        <w:spacing w:after="0" w:line="120"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The total intrinsic value of options exercised in 2019 was $21.3 million. At December 31, 2018, no options were vested or exercisable.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options activity during the year ended December 31, 2019 (in thousands):</w:t>
      </w:r>
    </w:p>
    <w:p>
      <w:pPr>
        <w:spacing w:after="0" w:line="230"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4881245</wp:posOffset>
            </wp:positionH>
            <wp:positionV relativeFrom="paragraph">
              <wp:posOffset>6350</wp:posOffset>
            </wp:positionV>
            <wp:extent cx="8750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8020"/>
        <w:spacing w:after="0"/>
        <w:rPr>
          <w:sz w:val="20"/>
          <w:szCs w:val="20"/>
          <w:color w:val="auto"/>
        </w:rPr>
      </w:pPr>
      <w:r>
        <w:rPr>
          <w:rFonts w:ascii="Arial" w:cs="Arial" w:eastAsia="Arial" w:hAnsi="Arial"/>
          <w:sz w:val="14"/>
          <w:szCs w:val="14"/>
          <w:b w:val="1"/>
          <w:bCs w:val="1"/>
          <w:color w:val="auto"/>
        </w:rPr>
        <w:t>Year Ended</w:t>
      </w:r>
    </w:p>
    <w:p>
      <w:pPr>
        <w:ind w:left="7940"/>
        <w:spacing w:after="0" w:line="221" w:lineRule="auto"/>
        <w:rPr>
          <w:sz w:val="20"/>
          <w:szCs w:val="20"/>
          <w:color w:val="auto"/>
        </w:rPr>
      </w:pPr>
      <w:r>
        <w:rPr>
          <w:rFonts w:ascii="Arial" w:cs="Arial" w:eastAsia="Arial" w:hAnsi="Arial"/>
          <w:sz w:val="14"/>
          <w:szCs w:val="14"/>
          <w:b w:val="1"/>
          <w:bCs w:val="1"/>
          <w:color w:val="auto"/>
        </w:rPr>
        <w:t>December 31,</w:t>
      </w:r>
    </w:p>
    <w:p>
      <w:pPr>
        <w:ind w:left="8240"/>
        <w:spacing w:after="0" w:line="231" w:lineRule="auto"/>
        <w:rPr>
          <w:sz w:val="20"/>
          <w:szCs w:val="20"/>
          <w:color w:val="auto"/>
        </w:rPr>
      </w:pPr>
      <w:r>
        <w:rPr>
          <w:rFonts w:ascii="Arial" w:cs="Arial" w:eastAsia="Arial" w:hAnsi="Arial"/>
          <w:sz w:val="14"/>
          <w:szCs w:val="14"/>
          <w:b w:val="1"/>
          <w:bCs w:val="1"/>
          <w:color w:val="auto"/>
        </w:rPr>
        <w:t>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compensation expense</w:t>
            </w:r>
          </w:p>
        </w:tc>
        <w:tc>
          <w:tcPr>
            <w:tcW w:w="27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24,432</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Income tax benefit</w:t>
            </w:r>
          </w:p>
        </w:tc>
        <w:tc>
          <w:tcPr>
            <w:tcW w:w="31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(8,556)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to estimate the fair value of the options as of the grant date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Expected Life (years)</w:t>
            </w:r>
          </w:p>
        </w:tc>
        <w:tc>
          <w:tcPr>
            <w:tcW w:w="3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spacing w:after="0"/>
              <w:rPr>
                <w:sz w:val="14"/>
                <w:szCs w:val="14"/>
                <w:color w:val="auto"/>
              </w:rPr>
            </w:pP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Weighted Average Risk-Free Interest Rate</w:t>
            </w:r>
          </w:p>
        </w:tc>
        <w:tc>
          <w:tcPr>
            <w:tcW w:w="3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Expected Volatility</w:t>
            </w:r>
          </w:p>
        </w:tc>
        <w:tc>
          <w:tcPr>
            <w:tcW w:w="30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160" w:type="dxa"/>
            <w:vAlign w:val="bottom"/>
          </w:tcPr>
          <w:p>
            <w:pPr>
              <w:spacing w:after="0" w:line="149" w:lineRule="exact"/>
              <w:rPr>
                <w:sz w:val="20"/>
                <w:szCs w:val="20"/>
                <w:color w:val="auto"/>
              </w:rPr>
            </w:pPr>
            <w:r>
              <w:rPr>
                <w:rFonts w:ascii="Arial" w:cs="Arial" w:eastAsia="Arial" w:hAnsi="Arial"/>
                <w:sz w:val="14"/>
                <w:szCs w:val="14"/>
                <w:color w:val="auto"/>
              </w:rPr>
              <w:t>Weighted Average Expected Dividend Yield</w:t>
            </w:r>
          </w:p>
        </w:tc>
        <w:tc>
          <w:tcPr>
            <w:tcW w:w="3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 Price</w:t>
            </w:r>
          </w:p>
        </w:tc>
        <w:tc>
          <w:tcPr>
            <w:tcW w:w="30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w:t>
            </w:r>
          </w:p>
        </w:tc>
        <w:tc>
          <w:tcPr>
            <w:tcW w:w="220" w:type="dxa"/>
            <w:vAlign w:val="bottom"/>
            <w:shd w:val="clear" w:color="auto" w:fill="CCEEFF"/>
          </w:tcPr>
          <w:p>
            <w:pPr>
              <w:spacing w:after="0"/>
              <w:rPr>
                <w:sz w:val="12"/>
                <w:szCs w:val="12"/>
                <w:color w:val="auto"/>
              </w:rPr>
            </w:pPr>
          </w:p>
        </w:tc>
      </w:tr>
      <w:tr>
        <w:trPr>
          <w:trHeight w:val="182"/>
        </w:trPr>
        <w:tc>
          <w:tcPr>
            <w:tcW w:w="5160" w:type="dxa"/>
            <w:vAlign w:val="bottom"/>
          </w:tcPr>
          <w:p>
            <w:pPr>
              <w:spacing w:after="0"/>
              <w:rPr>
                <w:sz w:val="20"/>
                <w:szCs w:val="20"/>
                <w:color w:val="auto"/>
              </w:rPr>
            </w:pPr>
            <w:r>
              <w:rPr>
                <w:rFonts w:ascii="Arial" w:cs="Arial" w:eastAsia="Arial" w:hAnsi="Arial"/>
                <w:sz w:val="14"/>
                <w:szCs w:val="14"/>
                <w:color w:val="auto"/>
              </w:rPr>
              <w:t>Weighted Average Exercise Price</w:t>
            </w:r>
          </w:p>
        </w:tc>
        <w:tc>
          <w:tcPr>
            <w:tcW w:w="30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21.62</w:t>
            </w:r>
          </w:p>
        </w:tc>
        <w:tc>
          <w:tcPr>
            <w:tcW w:w="220" w:type="dxa"/>
            <w:vAlign w:val="bottom"/>
          </w:tcPr>
          <w:p>
            <w:pPr>
              <w:spacing w:after="0"/>
              <w:rPr>
                <w:sz w:val="15"/>
                <w:szCs w:val="15"/>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Expense</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records stock-based compensation expense for employees and directors in the consolidated statements of income.</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total stock-based compensation expense for the year ended December 31, 2019, the 2018 Successor Period, the 2018 Predecessor Period and the year ended December 31, 2017 is $50.7 million, $9.4 million, $15.9 million and $26.1 million, respectively.</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December 31, 2019, total unrecognized compensation expense related to unvested stock-based compensation arrangements and the expected recognition period are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Cash-Settled</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Equity-Settled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PRSUs</w:t>
            </w:r>
          </w:p>
        </w:tc>
        <w:tc>
          <w:tcPr>
            <w:tcW w:w="18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b w:val="1"/>
                <w:bCs w:val="1"/>
                <w:color w:val="auto"/>
              </w:rPr>
              <w:t>PRSUs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unrecognized compensation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31,283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4,068</w:t>
            </w:r>
          </w:p>
        </w:tc>
        <w:tc>
          <w:tcPr>
            <w:tcW w:w="0" w:type="dxa"/>
            <w:vAlign w:val="bottom"/>
          </w:tcPr>
          <w:p>
            <w:pPr>
              <w:spacing w:after="0"/>
              <w:rPr>
                <w:sz w:val="1"/>
                <w:szCs w:val="1"/>
                <w:color w:val="auto"/>
              </w:rPr>
            </w:pPr>
          </w:p>
        </w:tc>
      </w:tr>
      <w:tr>
        <w:trPr>
          <w:trHeight w:val="182"/>
        </w:trPr>
        <w:tc>
          <w:tcPr>
            <w:tcW w:w="5760" w:type="dxa"/>
            <w:vAlign w:val="bottom"/>
          </w:tcPr>
          <w:p>
            <w:pPr>
              <w:spacing w:after="0"/>
              <w:rPr>
                <w:sz w:val="20"/>
                <w:szCs w:val="20"/>
                <w:color w:val="auto"/>
              </w:rPr>
            </w:pPr>
            <w:r>
              <w:rPr>
                <w:rFonts w:ascii="Arial" w:cs="Arial" w:eastAsia="Arial" w:hAnsi="Arial"/>
                <w:sz w:val="14"/>
                <w:szCs w:val="14"/>
                <w:color w:val="auto"/>
              </w:rPr>
              <w:t>Weighted-average recognition period</w:t>
            </w:r>
          </w:p>
        </w:tc>
        <w:tc>
          <w:tcPr>
            <w:tcW w:w="10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1.0 years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 years</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80" w:hanging="677"/>
        <w:spacing w:after="0"/>
        <w:tabs>
          <w:tab w:leader="none" w:pos="6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Company enters into transactions with its affiliates from time to time which are considered to be related party transactions. Prior to the Reorganization Transactions, the Bank Stockholders were collectively considered to be related parties of the Company. As a result of the Reorganization Transactions, they are no longer considered to be related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8" w:name="page149"/>
    <w:bookmarkEnd w:id="14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parties. As a result, the related party transactions listed below include transactions with the Bank Stockholders or their respective affiliates for pre-IPO periods only.</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December 31, 2019 and 2018, the following balances with such affiliates were included in the consolidated statements of financial condition in the following line items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5"/>
              </w:rPr>
              <w:t>Successor</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Successor</w:t>
            </w:r>
          </w:p>
        </w:tc>
      </w:tr>
      <w:tr>
        <w:trPr>
          <w:trHeight w:val="142"/>
        </w:trPr>
        <w:tc>
          <w:tcPr>
            <w:tcW w:w="470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December 31, 2018</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283,790</w:t>
            </w: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Receivables from brokers and dealers and clearing</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organizations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clearing organizations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40,730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affiliates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9,151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balances with such affiliates were included in the consolidated statements of income in the following line items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line="20" w:lineRule="exact"/>
              <w:rPr>
                <w:sz w:val="1"/>
                <w:szCs w:val="1"/>
                <w:color w:val="auto"/>
              </w:rPr>
            </w:pPr>
          </w:p>
        </w:tc>
        <w:tc>
          <w:tcPr>
            <w:tcW w:w="14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line="20" w:lineRule="exact"/>
              <w:rPr>
                <w:sz w:val="1"/>
                <w:szCs w:val="1"/>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right="96"/>
              <w:spacing w:after="0" w:line="119" w:lineRule="exact"/>
              <w:rPr>
                <w:sz w:val="20"/>
                <w:szCs w:val="20"/>
                <w:color w:val="auto"/>
              </w:rPr>
            </w:pPr>
            <w:r>
              <w:rPr>
                <w:rFonts w:ascii="Arial" w:cs="Arial" w:eastAsia="Arial" w:hAnsi="Arial"/>
                <w:sz w:val="13"/>
                <w:szCs w:val="13"/>
                <w:b w:val="1"/>
                <w:bCs w:val="1"/>
                <w:color w:val="auto"/>
              </w:rPr>
              <w:t>October 1, 2018</w:t>
            </w:r>
          </w:p>
        </w:tc>
        <w:tc>
          <w:tcPr>
            <w:tcW w:w="6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January 1, 2018</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Year Ended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4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to</w:t>
            </w:r>
          </w:p>
        </w:tc>
        <w:tc>
          <w:tcPr>
            <w:tcW w:w="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December 31, 2018</w:t>
            </w:r>
          </w:p>
        </w:tc>
        <w:tc>
          <w:tcPr>
            <w:tcW w:w="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14"/>
                <w:szCs w:val="14"/>
                <w:color w:val="auto"/>
              </w:rPr>
            </w:pPr>
          </w:p>
        </w:tc>
        <w:tc>
          <w:tcPr>
            <w:tcW w:w="94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right w:val="single" w:sz="8" w:color="CCEEFF"/>
            </w:tcBorders>
            <w:shd w:val="clear" w:color="auto" w:fill="CCEEFF"/>
          </w:tcPr>
          <w:p>
            <w:pPr>
              <w:spacing w:after="0"/>
              <w:rPr>
                <w:sz w:val="13"/>
                <w:szCs w:val="13"/>
                <w:color w:val="auto"/>
              </w:rPr>
            </w:pPr>
          </w:p>
        </w:tc>
        <w:tc>
          <w:tcPr>
            <w:tcW w:w="60" w:type="dxa"/>
            <w:vAlign w:val="bottom"/>
            <w:tcBorders>
              <w:top w:val="single" w:sz="8" w:color="CCEEFF"/>
              <w:left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0" w:type="dxa"/>
            <w:vAlign w:val="bottom"/>
            <w:tcBorders>
              <w:top w:val="single" w:sz="8" w:color="auto"/>
            </w:tcBorders>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left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gridSpan w:val="5"/>
          </w:tcPr>
          <w:p>
            <w:pPr>
              <w:ind w:left="120"/>
              <w:spacing w:after="0"/>
              <w:rPr>
                <w:sz w:val="20"/>
                <w:szCs w:val="20"/>
                <w:color w:val="auto"/>
              </w:rPr>
            </w:pPr>
            <w:r>
              <w:rPr>
                <w:rFonts w:ascii="Arial" w:cs="Arial" w:eastAsia="Arial" w:hAnsi="Arial"/>
                <w:sz w:val="18"/>
                <w:szCs w:val="18"/>
                <w:color w:val="auto"/>
              </w:rPr>
              <w:t xml:space="preserve">Transaction fees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59,643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59,259</w:t>
            </w:r>
          </w:p>
        </w:tc>
        <w:tc>
          <w:tcPr>
            <w:tcW w:w="180" w:type="dxa"/>
            <w:vAlign w:val="bottom"/>
            <w:tcBorders>
              <w:lef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159,663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8"/>
                <w:szCs w:val="8"/>
                <w:color w:val="auto"/>
              </w:rPr>
              <w:t>(1)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5,718</w:t>
            </w:r>
          </w:p>
        </w:tc>
        <w:tc>
          <w:tcPr>
            <w:tcW w:w="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5"/>
          </w:tcPr>
          <w:p>
            <w:pPr>
              <w:ind w:left="120"/>
              <w:spacing w:after="0"/>
              <w:rPr>
                <w:sz w:val="20"/>
                <w:szCs w:val="20"/>
                <w:color w:val="auto"/>
              </w:rPr>
            </w:pPr>
            <w:r>
              <w:rPr>
                <w:rFonts w:ascii="Arial" w:cs="Arial" w:eastAsia="Arial" w:hAnsi="Arial"/>
                <w:sz w:val="18"/>
                <w:szCs w:val="18"/>
                <w:color w:val="auto"/>
              </w:rPr>
              <w:t xml:space="preserve">Commissions </w:t>
            </w:r>
            <w:r>
              <w:rPr>
                <w:rFonts w:ascii="Arial" w:cs="Arial" w:eastAsia="Arial" w:hAnsi="Arial"/>
                <w:sz w:val="8"/>
                <w:szCs w:val="8"/>
                <w:color w:val="auto"/>
              </w:rPr>
              <w:t>(1)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12,401</w:t>
            </w:r>
          </w:p>
        </w:tc>
        <w:tc>
          <w:tcPr>
            <w:tcW w:w="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34,944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8"/>
                <w:szCs w:val="8"/>
                <w:color w:val="auto"/>
              </w:rPr>
              <w:t>(2)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13,467</w:t>
            </w:r>
          </w:p>
        </w:tc>
        <w:tc>
          <w:tcPr>
            <w:tcW w:w="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20" w:type="dxa"/>
            <w:vAlign w:val="bottom"/>
            <w:gridSpan w:val="5"/>
          </w:tcPr>
          <w:p>
            <w:pPr>
              <w:spacing w:after="0" w:line="176" w:lineRule="exact"/>
              <w:rPr>
                <w:sz w:val="20"/>
                <w:szCs w:val="20"/>
                <w:color w:val="auto"/>
              </w:rPr>
            </w:pPr>
            <w:r>
              <w:rPr>
                <w:rFonts w:ascii="Arial" w:cs="Arial" w:eastAsia="Arial" w:hAnsi="Arial"/>
                <w:sz w:val="18"/>
                <w:szCs w:val="18"/>
                <w:color w:val="auto"/>
              </w:rPr>
              <w:t>Operating Income:</w:t>
            </w:r>
            <w:r>
              <w:rPr>
                <w:rFonts w:ascii="Arial" w:cs="Arial" w:eastAsia="Arial" w:hAnsi="Arial"/>
                <w:sz w:val="8"/>
                <w:szCs w:val="8"/>
                <w:color w:val="auto"/>
              </w:rPr>
              <w:t>(3)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Net interest income (expense)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20" w:type="dxa"/>
            <w:vAlign w:val="bottom"/>
            <w:gridSpan w:val="5"/>
            <w:shd w:val="clear" w:color="auto" w:fill="CCEEFF"/>
          </w:tcPr>
          <w:p>
            <w:pPr>
              <w:ind w:left="120"/>
              <w:spacing w:after="0" w:line="176" w:lineRule="exact"/>
              <w:rPr>
                <w:sz w:val="20"/>
                <w:szCs w:val="20"/>
                <w:color w:val="auto"/>
              </w:rPr>
            </w:pPr>
            <w:r>
              <w:rPr>
                <w:rFonts w:ascii="Arial" w:cs="Arial" w:eastAsia="Arial" w:hAnsi="Arial"/>
                <w:sz w:val="18"/>
                <w:szCs w:val="18"/>
                <w:color w:val="auto"/>
              </w:rPr>
              <w:t xml:space="preserve">Shared Services Fees </w:t>
            </w:r>
            <w:r>
              <w:rPr>
                <w:rFonts w:ascii="Arial" w:cs="Arial" w:eastAsia="Arial" w:hAnsi="Arial"/>
                <w:sz w:val="8"/>
                <w:szCs w:val="8"/>
                <w:color w:val="auto"/>
              </w:rPr>
              <w:t>(4)</w:t>
            </w:r>
            <w:r>
              <w:rPr>
                <w:rFonts w:ascii="Arial" w:cs="Arial" w:eastAsia="Arial" w:hAnsi="Arial"/>
                <w:sz w:val="18"/>
                <w:szCs w:val="18"/>
                <w:color w:val="auto"/>
              </w:rPr>
              <w:t xml:space="preserve">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tcBorders>
              <w:right w:val="single" w:sz="8" w:color="CCEEFF"/>
            </w:tcBorders>
            <w:shd w:val="clear" w:color="auto" w:fill="CCEEFF"/>
          </w:tcPr>
          <w:p>
            <w:pPr>
              <w:spacing w:after="0"/>
              <w:rPr>
                <w:sz w:val="15"/>
                <w:szCs w:val="15"/>
                <w:color w:val="auto"/>
              </w:rPr>
            </w:pPr>
          </w:p>
        </w:tc>
        <w:tc>
          <w:tcPr>
            <w:tcW w:w="60" w:type="dxa"/>
            <w:vAlign w:val="bottom"/>
            <w:tcBorders>
              <w:lef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19"/>
                <w:szCs w:val="19"/>
                <w:color w:val="auto"/>
              </w:rPr>
            </w:pPr>
          </w:p>
        </w:tc>
        <w:tc>
          <w:tcPr>
            <w:tcW w:w="3400" w:type="dxa"/>
            <w:vAlign w:val="bottom"/>
            <w:gridSpan w:val="4"/>
          </w:tcPr>
          <w:p>
            <w:pPr>
              <w:ind w:left="100"/>
              <w:spacing w:after="0"/>
              <w:rPr>
                <w:sz w:val="20"/>
                <w:szCs w:val="20"/>
                <w:color w:val="auto"/>
              </w:rPr>
            </w:pPr>
            <w:r>
              <w:rPr>
                <w:rFonts w:ascii="Arial" w:cs="Arial" w:eastAsia="Arial" w:hAnsi="Arial"/>
                <w:sz w:val="18"/>
                <w:szCs w:val="18"/>
                <w:color w:val="auto"/>
              </w:rPr>
              <w:t>Technology and communications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740</w:t>
            </w:r>
          </w:p>
        </w:tc>
        <w:tc>
          <w:tcPr>
            <w:tcW w:w="6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4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w:t>
            </w:r>
          </w:p>
        </w:tc>
        <w:tc>
          <w:tcPr>
            <w:tcW w:w="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400" w:type="dxa"/>
            <w:vAlign w:val="bottom"/>
            <w:gridSpan w:val="4"/>
          </w:tcPr>
          <w:p>
            <w:pPr>
              <w:ind w:left="100"/>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155</w:t>
            </w:r>
          </w:p>
        </w:tc>
        <w:tc>
          <w:tcPr>
            <w:tcW w:w="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hanging="333"/>
        <w:spacing w:after="0"/>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For pre-IPO periods, represents fees and commissions from affiliates of the Bank Stockholders.</w:t>
      </w:r>
    </w:p>
    <w:p>
      <w:pPr>
        <w:spacing w:after="0" w:line="203" w:lineRule="exact"/>
        <w:rPr>
          <w:rFonts w:ascii="Arial" w:cs="Arial" w:eastAsia="Arial" w:hAnsi="Arial"/>
          <w:sz w:val="14"/>
          <w:szCs w:val="14"/>
          <w:color w:val="auto"/>
        </w:rPr>
      </w:pPr>
    </w:p>
    <w:p>
      <w:pPr>
        <w:ind w:left="660" w:right="240" w:hanging="333"/>
        <w:spacing w:after="0" w:line="238"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(TR in the predecessor period). Under the agreement, the Company delivers to Refinitiv certain market data feeds which Refinitiv redistributes to its customers. The Company earns license fees and royalties for these feeds.</w:t>
      </w:r>
    </w:p>
    <w:p>
      <w:pPr>
        <w:spacing w:after="0" w:line="182" w:lineRule="exact"/>
        <w:rPr>
          <w:rFonts w:ascii="Arial" w:cs="Arial" w:eastAsia="Arial" w:hAnsi="Arial"/>
          <w:sz w:val="14"/>
          <w:szCs w:val="14"/>
          <w:color w:val="auto"/>
        </w:rPr>
      </w:pPr>
    </w:p>
    <w:p>
      <w:pPr>
        <w:ind w:left="660" w:right="300" w:hanging="333"/>
        <w:spacing w:after="0" w:line="253"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For pre-IPO periods, represents interest income from money market funds invested with and savings accounts deposited with affiliates of the Bank Stockholders.</w:t>
      </w:r>
    </w:p>
    <w:p>
      <w:pPr>
        <w:spacing w:after="0" w:line="173" w:lineRule="exact"/>
        <w:rPr>
          <w:rFonts w:ascii="Arial" w:cs="Arial" w:eastAsia="Arial" w:hAnsi="Arial"/>
          <w:sz w:val="14"/>
          <w:szCs w:val="14"/>
          <w:color w:val="auto"/>
        </w:rPr>
      </w:pPr>
    </w:p>
    <w:p>
      <w:pPr>
        <w:ind w:left="660" w:right="120" w:hanging="333"/>
        <w:spacing w:after="0" w:line="291" w:lineRule="auto"/>
        <w:tabs>
          <w:tab w:leader="none" w:pos="6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Company maintains a shared services agreement with Refinitiv (TR in the predecessor period). Under the terms of the agreement, Refinitiv provides the Company with certain real estate, payroll, benefits administration, insurance, content, financial reporting and tax support.</w:t>
      </w:r>
    </w:p>
    <w:p>
      <w:pPr>
        <w:spacing w:after="0" w:line="15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Company reimburses affiliates of Refinitiv (TR in the predecessor period) for expenses paid on behalf of the Company for various services including salaries and bonuses, marketing, professional fees, communications, data costs and certain other administrative services. For the year ended December 31, 2019, the 2018 Successor Period, the 2018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9" w:name="page150"/>
    <w:bookmarkEnd w:id="14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Predecessor Period and the year ended December 31, 2017, the Company reimbursed such affiliates approximately $6.7 million, $3.8 million, $28.7 million, and $38.4 million, respectively, for these expenses.</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is indemnified by Refinitiv for any tax liabilities that existed in the entity contributed by Refinitiv as a result of the Refinitiv Contribution. $2.7 million is included in other assets on the December 31, 2019 consolidated statement of financial condition related to this indemnification.</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engaged Blackstone Advisory Partners L.P., an affiliate of Blackstone, to provide certain financial consulting services in connection with the IPO and the October 2019 follow-on offering for a fee of $1.0 million and $0.5 million, respectively, which fee, with respect to the October 2019 follow-on offering, was reimbursed by the underwriters. $1.5 million is included in additional paid-in capital on the December 31, 2019 consolidated statement of financial condition related to these offering costs.</w:t>
      </w:r>
    </w:p>
    <w:p>
      <w:pPr>
        <w:spacing w:after="0" w:line="1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2014, the Company issued Class A Shares and unvested Class P-1(A) Shares to some of the Bank Stockholders as a result of a $120.0 million capital contribution. In connection with this investment, employees invested $5.3 million in the Company and were issued Class C Shares and unvested Class P-1(C) Shares. Certain Class P-1(A) Shares and Class P-1(C) Shares vested on July 31, 2018, based on a formula determined by the Company’s new credit platforms’ revenues and any remaining unvested Class P-1(A) Shares and Class P-1(C) Shares were cancelled and as a result no contingent consideration has been recognized related to these shares subsequent to that date. The Company recognized contingent consideration for the 2018 Predecessor Period and for the year ended December 31, 2017 of $26.8 million and $58.5 million, respectively, relating to these shares, which is included in net revenue on the consolidated statements of income.</w:t>
      </w:r>
    </w:p>
    <w:p>
      <w:pPr>
        <w:spacing w:after="0" w:line="162" w:lineRule="exact"/>
        <w:rPr>
          <w:sz w:val="20"/>
          <w:szCs w:val="20"/>
          <w:color w:val="auto"/>
        </w:rPr>
      </w:pPr>
    </w:p>
    <w:p>
      <w:pPr>
        <w:ind w:left="680" w:hanging="677"/>
        <w:spacing w:after="0"/>
        <w:tabs>
          <w:tab w:leader="none" w:pos="6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Certain financial instruments that are carried on the consolidated statements of financial condition are carried at amounts that approximate fair value. These instruments include receivable from/payable to brokers and dealers and clearing organizations, deposits with clearing organizations and accounts receivable.</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instruments that are classified within level 2 or level 3 of the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9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Significant</w:t>
            </w:r>
          </w:p>
        </w:tc>
        <w:tc>
          <w:tcPr>
            <w:tcW w:w="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2"/>
                <w:szCs w:val="12"/>
                <w:color w:val="auto"/>
              </w:rPr>
            </w:pPr>
          </w:p>
        </w:tc>
        <w:tc>
          <w:tcPr>
            <w:tcW w:w="9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8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As of December 31, 2019</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219,158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$ 219,158</w:t>
            </w:r>
          </w:p>
        </w:tc>
        <w:tc>
          <w:tcPr>
            <w:tcW w:w="0" w:type="dxa"/>
            <w:vAlign w:val="bottom"/>
          </w:tcPr>
          <w:p>
            <w:pPr>
              <w:spacing w:after="0"/>
              <w:rPr>
                <w:sz w:val="1"/>
                <w:szCs w:val="1"/>
                <w:color w:val="auto"/>
              </w:rPr>
            </w:pPr>
          </w:p>
        </w:tc>
      </w:tr>
      <w:tr>
        <w:trPr>
          <w:trHeight w:val="230"/>
        </w:trPr>
        <w:tc>
          <w:tcPr>
            <w:tcW w:w="47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219,158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$ 219,158</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3" w:lineRule="exact"/>
              <w:rPr>
                <w:sz w:val="20"/>
                <w:szCs w:val="20"/>
                <w:color w:val="auto"/>
              </w:rPr>
            </w:pPr>
            <w:r>
              <w:rPr>
                <w:rFonts w:ascii="Arial" w:cs="Arial" w:eastAsia="Arial" w:hAnsi="Arial"/>
                <w:sz w:val="18"/>
                <w:szCs w:val="18"/>
                <w:color w:val="auto"/>
              </w:rPr>
              <w:t>As of December 31, 2018</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127,927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$ 127,927</w:t>
            </w:r>
          </w:p>
        </w:tc>
        <w:tc>
          <w:tcPr>
            <w:tcW w:w="0" w:type="dxa"/>
            <w:vAlign w:val="bottom"/>
          </w:tcPr>
          <w:p>
            <w:pPr>
              <w:spacing w:after="0"/>
              <w:rPr>
                <w:sz w:val="1"/>
                <w:szCs w:val="1"/>
                <w:color w:val="auto"/>
              </w:rPr>
            </w:pPr>
          </w:p>
        </w:tc>
      </w:tr>
      <w:tr>
        <w:trPr>
          <w:trHeight w:val="217"/>
        </w:trPr>
        <w:tc>
          <w:tcPr>
            <w:tcW w:w="47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$ 127,927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80" w:hanging="677"/>
        <w:spacing w:after="0"/>
        <w:tabs>
          <w:tab w:leader="none" w:pos="6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Company may be exposed to credit risk regarding its receivables, which are primarily receivables from financial institutions, including investment managers and broker-dealers. At December 31, 2019 and December 31, 2018,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0" w:name="page151"/>
    <w:bookmarkEnd w:id="15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Company established an allowance for doubtful accounts of $0.2 million and $1.2 million, respectively, with regard to these receivables.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normal course of business the Company, as agent, executes transactions with, and on behalf of, other broker-dealers.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From time to time, the Company enters into agreements to repurchase to facilitate the clearance of securities. Credit exposure related to these agreements to repurchase, including the risk related to a decline in market value of collateral (pledged or received), is managed by entering into agreements to repurchase with overnight or short-term maturity dates and only entering into repurchase transactions with netting members of the Fixed Income Clearing Corporation (“FICC”). The FICC requires dealer netting members to maintain a minimum of $25 million in equity capital and $10 million in excess net capital. The FICC operates a continuous net settlement system, whereby as trades are submitted and compared the FICC becomes the counterparty. The FICC also marks to market collateral on a daily basis, requiring member firms to pay or receive margin amounts as part of their daily funds settlement.</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91" w:lineRule="exact"/>
        <w:rPr>
          <w:sz w:val="20"/>
          <w:szCs w:val="20"/>
          <w:color w:val="auto"/>
        </w:rPr>
      </w:pPr>
    </w:p>
    <w:p>
      <w:pPr>
        <w:ind w:left="680" w:hanging="677"/>
        <w:spacing w:after="0"/>
        <w:tabs>
          <w:tab w:leader="none" w:pos="6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has been named as a defendant, along with other financial institutions, in antitrust class actions (consolidated into two actions) relating to trading practices in United States Treasury securities auctions. The Company has filed a motion to dismiss the actions, believes it has substantial defenses to the other plaintiff's claims and intends to defend itself vigorously. Additionally, the Company was dismissed from a class action relating to an interest rate swaps matter in 2017, but that matter continues against the remaining defendant financial institutions.</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is a co-defendant in a matter relating to the distribution of financial strength ratings over the Company's trading platform to one of its customers. The matter alleges that while certain business units of the client were licensed to receive the data via the Company's platform, the data was also distributed without authorization to certain end clients of the customer. The plaintiff claims to have suffered approximately $80 million in damages and also seeks punitive damages, attorneys' fees and costs. In September 2019, the Court dismissed some, but not all, of plaintiff’s claims, and rejected plaintiff’s damages theory on which it relied to support its claims for approximately $80 million in damages for its breach of contract claim. The defendants are still challenging with pre-trial motions whether the plaintiff’s $80 million damage theory is viable with respect to its tort claims, and the plaintiff has in parallel offered an alternative theory quantifying its damages at $4 million to $8 million, which it will pursue if the $80 million theory is disallowed. The matter is now scheduled for trial in October 2020 with respect to the tort claims that survived. The Company intends to continue to vigorously defend what the Company believes to be meritless claims.</w:t>
      </w:r>
    </w:p>
    <w:p>
      <w:pPr>
        <w:spacing w:after="0" w:line="18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records its best estimate of a loss, including estimated defense costs, when the loss is considered probable and the amount of such loss can be reasonably estimated. Based on its experience, the Company believes that the amount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1" w:name="page152"/>
    <w:bookmarkEnd w:id="15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April 8, 2019, the Company entered into a five year, $500 million senior secured revolving credit facility (“Credit Facility”) with a syndicate of banks. The Credit Facility provides additional borrowing capacity to be used to fund ongoing working capital needs, letters of credit and for general corporate purposes, including potential future acquisitions and expansions.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November 7, 2019, TWM LLC entered into an amendment to the Revolving Credit Facility among TWM LLC and the lenders party thereto, which revised the Revolving Credit Facility to permit the pending LSEG Transaction. The amendment did not otherwise impact the terms of the Revolving Credit Facility and did not impact the amount of borrowings available to TWM LLC under the Revolving Credit Facility.</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terms of the credit agreement that governs the Credit Facility, borrowings under the Credit Facility bear interest at a rate equal to, at the Company’s option, either (a) a base rate equal to the greatest of (i) the administrative agent’s prime rate,</w:t>
      </w:r>
    </w:p>
    <w:p>
      <w:pPr>
        <w:ind w:right="140" w:firstLine="3"/>
        <w:spacing w:after="0" w:line="253" w:lineRule="auto"/>
        <w:tabs>
          <w:tab w:leader="none" w:pos="26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there were no amounts outstanding under the Credit Facility.</w:t>
      </w:r>
    </w:p>
    <w:p>
      <w:pPr>
        <w:spacing w:after="0" w:line="221" w:lineRule="exact"/>
        <w:rPr>
          <w:sz w:val="20"/>
          <w:szCs w:val="20"/>
          <w:color w:val="auto"/>
        </w:rPr>
      </w:pPr>
    </w:p>
    <w:p>
      <w:pPr>
        <w:ind w:left="680" w:hanging="677"/>
        <w:spacing w:after="0"/>
        <w:tabs>
          <w:tab w:leader="none" w:pos="6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April 2019, the Company completed the Reorganization Transactions and the IPO, which, among other things, resulted in the Corporation becoming the successor of TWM LLC for financial reporting purposes. As a result, earnings per share information for the pre-IPO period is not comparable to earnings per share information for the post-IPO period. Thus, earnings per share information is being presented separately for the pre-IPO and post-IPO periods.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basic and diluted earnings per share calculations for Tradeweb Markets LLC (pre-IPO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34"/>
              <w:spacing w:after="0"/>
              <w:rPr>
                <w:sz w:val="20"/>
                <w:szCs w:val="20"/>
                <w:color w:val="auto"/>
              </w:rPr>
            </w:pPr>
            <w:r>
              <w:rPr>
                <w:rFonts w:ascii="Arial" w:cs="Arial" w:eastAsia="Arial" w:hAnsi="Arial"/>
                <w:sz w:val="11"/>
                <w:szCs w:val="11"/>
                <w:b w:val="1"/>
                <w:bCs w:val="1"/>
                <w:color w:val="auto"/>
                <w:w w:val="78"/>
              </w:rPr>
              <w:t>Successor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4"/>
              <w:spacing w:after="0"/>
              <w:rPr>
                <w:sz w:val="20"/>
                <w:szCs w:val="20"/>
                <w:color w:val="auto"/>
              </w:rPr>
            </w:pPr>
            <w:r>
              <w:rPr>
                <w:rFonts w:ascii="Arial" w:cs="Arial" w:eastAsia="Arial" w:hAnsi="Arial"/>
                <w:sz w:val="11"/>
                <w:szCs w:val="11"/>
                <w:b w:val="1"/>
                <w:bCs w:val="1"/>
                <w:color w:val="auto"/>
                <w:w w:val="82"/>
              </w:rPr>
              <w:t>Successor</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4"/>
              </w:rPr>
              <w:t>Predecessor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35"/>
              <w:spacing w:after="0"/>
              <w:rPr>
                <w:sz w:val="20"/>
                <w:szCs w:val="20"/>
                <w:color w:val="auto"/>
              </w:rPr>
            </w:pPr>
            <w:r>
              <w:rPr>
                <w:rFonts w:ascii="Arial" w:cs="Arial" w:eastAsia="Arial" w:hAnsi="Arial"/>
                <w:sz w:val="11"/>
                <w:szCs w:val="11"/>
                <w:b w:val="1"/>
                <w:bCs w:val="1"/>
                <w:color w:val="auto"/>
                <w:w w:val="84"/>
              </w:rPr>
              <w:t>Predecessor</w:t>
            </w:r>
          </w:p>
        </w:tc>
        <w:tc>
          <w:tcPr>
            <w:tcW w:w="0" w:type="dxa"/>
            <w:vAlign w:val="bottom"/>
          </w:tcPr>
          <w:p>
            <w:pPr>
              <w:spacing w:after="0"/>
              <w:rPr>
                <w:sz w:val="1"/>
                <w:szCs w:val="1"/>
                <w:color w:val="auto"/>
              </w:rPr>
            </w:pPr>
          </w:p>
        </w:tc>
      </w:tr>
      <w:tr>
        <w:trPr>
          <w:trHeight w:val="101"/>
        </w:trPr>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top w:val="single" w:sz="8" w:color="auto"/>
            </w:tcBorders>
            <w:gridSpan w:val="2"/>
          </w:tcPr>
          <w:p>
            <w:pPr>
              <w:ind w:left="20"/>
              <w:spacing w:after="0" w:line="102" w:lineRule="exact"/>
              <w:rPr>
                <w:sz w:val="20"/>
                <w:szCs w:val="20"/>
                <w:color w:val="auto"/>
              </w:rPr>
            </w:pPr>
            <w:r>
              <w:rPr>
                <w:rFonts w:ascii="Arial" w:cs="Arial" w:eastAsia="Arial" w:hAnsi="Arial"/>
                <w:sz w:val="11"/>
                <w:szCs w:val="11"/>
                <w:b w:val="1"/>
                <w:bCs w:val="1"/>
                <w:color w:val="auto"/>
                <w:w w:val="88"/>
              </w:rPr>
              <w:t>Three Months Ended</w:t>
            </w:r>
          </w:p>
        </w:tc>
        <w:tc>
          <w:tcPr>
            <w:tcW w:w="100" w:type="dxa"/>
            <w:vAlign w:val="bottom"/>
          </w:tcPr>
          <w:p>
            <w:pPr>
              <w:spacing w:after="0"/>
              <w:rPr>
                <w:sz w:val="8"/>
                <w:szCs w:val="8"/>
                <w:color w:val="auto"/>
              </w:rPr>
            </w:pPr>
          </w:p>
        </w:tc>
        <w:tc>
          <w:tcPr>
            <w:tcW w:w="980" w:type="dxa"/>
            <w:vAlign w:val="bottom"/>
            <w:tcBorders>
              <w:top w:val="single" w:sz="8" w:color="auto"/>
            </w:tcBorders>
            <w:gridSpan w:val="2"/>
          </w:tcPr>
          <w:p>
            <w:pPr>
              <w:jc w:val="center"/>
              <w:spacing w:after="0" w:line="102" w:lineRule="exact"/>
              <w:rPr>
                <w:sz w:val="20"/>
                <w:szCs w:val="20"/>
                <w:color w:val="auto"/>
              </w:rPr>
            </w:pPr>
            <w:r>
              <w:rPr>
                <w:rFonts w:ascii="Arial" w:cs="Arial" w:eastAsia="Arial" w:hAnsi="Arial"/>
                <w:sz w:val="11"/>
                <w:szCs w:val="11"/>
                <w:b w:val="1"/>
                <w:bCs w:val="1"/>
                <w:color w:val="auto"/>
                <w:w w:val="90"/>
              </w:rPr>
              <w:t>October 1, 2018 to</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top w:val="single" w:sz="8" w:color="auto"/>
            </w:tcBorders>
            <w:gridSpan w:val="2"/>
          </w:tcPr>
          <w:p>
            <w:pPr>
              <w:jc w:val="center"/>
              <w:spacing w:after="0" w:line="102" w:lineRule="exact"/>
              <w:rPr>
                <w:sz w:val="20"/>
                <w:szCs w:val="20"/>
                <w:color w:val="auto"/>
              </w:rPr>
            </w:pPr>
            <w:r>
              <w:rPr>
                <w:rFonts w:ascii="Arial" w:cs="Arial" w:eastAsia="Arial" w:hAnsi="Arial"/>
                <w:sz w:val="11"/>
                <w:szCs w:val="11"/>
                <w:b w:val="1"/>
                <w:bCs w:val="1"/>
                <w:color w:val="auto"/>
                <w:w w:val="88"/>
              </w:rPr>
              <w:t>January 1, 2018 to</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35"/>
              <w:spacing w:after="0" w:line="102" w:lineRule="exact"/>
              <w:rPr>
                <w:sz w:val="20"/>
                <w:szCs w:val="20"/>
                <w:color w:val="auto"/>
              </w:rPr>
            </w:pPr>
            <w:r>
              <w:rPr>
                <w:rFonts w:ascii="Arial" w:cs="Arial" w:eastAsia="Arial" w:hAnsi="Arial"/>
                <w:sz w:val="11"/>
                <w:szCs w:val="11"/>
                <w:b w:val="1"/>
                <w:bCs w:val="1"/>
                <w:color w:val="auto"/>
                <w:w w:val="92"/>
              </w:rPr>
              <w:t>Year Ended</w:t>
            </w:r>
          </w:p>
        </w:tc>
        <w:tc>
          <w:tcPr>
            <w:tcW w:w="0" w:type="dxa"/>
            <w:vAlign w:val="bottom"/>
          </w:tcPr>
          <w:p>
            <w:pPr>
              <w:spacing w:after="0"/>
              <w:rPr>
                <w:sz w:val="1"/>
                <w:szCs w:val="1"/>
                <w:color w:val="auto"/>
              </w:rPr>
            </w:pPr>
          </w:p>
        </w:tc>
      </w:tr>
      <w:tr>
        <w:trPr>
          <w:trHeight w:val="122"/>
        </w:trPr>
        <w:tc>
          <w:tcPr>
            <w:tcW w:w="472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EPS: Pre-IPO net income attributable to Tradeweb Markets LLC</w:t>
            </w:r>
            <w:r>
              <w:rPr>
                <w:rFonts w:ascii="Arial" w:cs="Arial" w:eastAsia="Arial" w:hAnsi="Arial"/>
                <w:sz w:val="11"/>
                <w:szCs w:val="11"/>
                <w:b w:val="1"/>
                <w:bCs w:val="1"/>
                <w:color w:val="auto"/>
                <w:vertAlign w:val="superscript"/>
              </w:rPr>
              <w:t>(1)</w:t>
            </w:r>
          </w:p>
        </w:tc>
        <w:tc>
          <w:tcPr>
            <w:tcW w:w="100" w:type="dxa"/>
            <w:vAlign w:val="bottom"/>
          </w:tcPr>
          <w:p>
            <w:pPr>
              <w:spacing w:after="0"/>
              <w:rPr>
                <w:sz w:val="10"/>
                <w:szCs w:val="10"/>
                <w:color w:val="auto"/>
              </w:rPr>
            </w:pPr>
          </w:p>
        </w:tc>
        <w:tc>
          <w:tcPr>
            <w:tcW w:w="900" w:type="dxa"/>
            <w:vAlign w:val="bottom"/>
          </w:tcPr>
          <w:p>
            <w:pPr>
              <w:jc w:val="center"/>
              <w:ind w:right="34"/>
              <w:spacing w:after="0" w:line="122"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54"/>
              <w:spacing w:after="0" w:line="122" w:lineRule="exact"/>
              <w:rPr>
                <w:sz w:val="20"/>
                <w:szCs w:val="20"/>
                <w:color w:val="auto"/>
              </w:rPr>
            </w:pPr>
            <w:r>
              <w:rPr>
                <w:rFonts w:ascii="Arial" w:cs="Arial" w:eastAsia="Arial" w:hAnsi="Arial"/>
                <w:sz w:val="11"/>
                <w:szCs w:val="11"/>
                <w:b w:val="1"/>
                <w:bCs w:val="1"/>
                <w:color w:val="auto"/>
                <w:w w:val="89"/>
              </w:rPr>
              <w:t>December 31,</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55"/>
              <w:spacing w:after="0" w:line="122"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35"/>
        </w:trPr>
        <w:tc>
          <w:tcPr>
            <w:tcW w:w="472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4"/>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4"/>
              <w:spacing w:after="0"/>
              <w:rPr>
                <w:sz w:val="20"/>
                <w:szCs w:val="20"/>
                <w:color w:val="auto"/>
              </w:rPr>
            </w:pPr>
            <w:r>
              <w:rPr>
                <w:rFonts w:ascii="Arial" w:cs="Arial" w:eastAsia="Arial" w:hAnsi="Arial"/>
                <w:sz w:val="11"/>
                <w:szCs w:val="11"/>
                <w:b w:val="1"/>
                <w:bCs w:val="1"/>
                <w:color w:val="auto"/>
                <w:w w:val="89"/>
              </w:rPr>
              <w:t>2018</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4"/>
              <w:spacing w:after="0"/>
              <w:rPr>
                <w:sz w:val="20"/>
                <w:szCs w:val="20"/>
                <w:color w:val="auto"/>
              </w:rPr>
            </w:pPr>
            <w:r>
              <w:rPr>
                <w:rFonts w:ascii="Arial" w:cs="Arial" w:eastAsia="Arial" w:hAnsi="Arial"/>
                <w:sz w:val="11"/>
                <w:szCs w:val="11"/>
                <w:b w:val="1"/>
                <w:bCs w:val="1"/>
                <w:color w:val="auto"/>
                <w:w w:val="81"/>
              </w:rPr>
              <w:t>2018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35"/>
              <w:spacing w:after="0"/>
              <w:rPr>
                <w:sz w:val="20"/>
                <w:szCs w:val="20"/>
                <w:color w:val="auto"/>
              </w:rPr>
            </w:pPr>
            <w:r>
              <w:rPr>
                <w:rFonts w:ascii="Arial" w:cs="Arial" w:eastAsia="Arial" w:hAnsi="Arial"/>
                <w:sz w:val="11"/>
                <w:szCs w:val="11"/>
                <w:b w:val="1"/>
                <w:bCs w:val="1"/>
                <w:color w:val="auto"/>
                <w:w w:val="81"/>
              </w:rPr>
              <w:t>2017</w:t>
            </w:r>
          </w:p>
        </w:tc>
        <w:tc>
          <w:tcPr>
            <w:tcW w:w="0" w:type="dxa"/>
            <w:vAlign w:val="bottom"/>
          </w:tcPr>
          <w:p>
            <w:pPr>
              <w:spacing w:after="0"/>
              <w:rPr>
                <w:sz w:val="1"/>
                <w:szCs w:val="1"/>
                <w:color w:val="auto"/>
              </w:rPr>
            </w:pPr>
          </w:p>
        </w:tc>
      </w:tr>
      <w:tr>
        <w:trPr>
          <w:trHeight w:val="115"/>
        </w:trPr>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22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80" w:type="dxa"/>
            <w:vAlign w:val="bottom"/>
            <w:tcBorders>
              <w:top w:val="single" w:sz="8" w:color="auto"/>
            </w:tcBorders>
            <w:gridSpan w:val="10"/>
          </w:tcPr>
          <w:p>
            <w:pPr>
              <w:jc w:val="right"/>
              <w:ind w:right="54"/>
              <w:spacing w:after="0" w:line="115" w:lineRule="exact"/>
              <w:rPr>
                <w:sz w:val="20"/>
                <w:szCs w:val="20"/>
                <w:color w:val="auto"/>
              </w:rPr>
            </w:pPr>
            <w:r>
              <w:rPr>
                <w:rFonts w:ascii="Arial" w:cs="Arial" w:eastAsia="Arial" w:hAnsi="Arial"/>
                <w:sz w:val="11"/>
                <w:szCs w:val="11"/>
                <w:b w:val="1"/>
                <w:bCs w:val="1"/>
                <w:color w:val="auto"/>
                <w:w w:val="87"/>
              </w:rPr>
              <w:t>(in thousands, except share and per share amounts)</w:t>
            </w: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2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Numerator:</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gridSpan w:val="5"/>
          </w:tcPr>
          <w:p>
            <w:pPr>
              <w:spacing w:after="0" w:line="142" w:lineRule="exact"/>
              <w:rPr>
                <w:sz w:val="20"/>
                <w:szCs w:val="20"/>
                <w:color w:val="auto"/>
              </w:rPr>
            </w:pPr>
            <w:r>
              <w:rPr>
                <w:rFonts w:ascii="Arial" w:cs="Arial" w:eastAsia="Arial" w:hAnsi="Arial"/>
                <w:sz w:val="14"/>
                <w:szCs w:val="14"/>
                <w:color w:val="auto"/>
              </w:rPr>
              <w:t>Pre-IPO net income attributable to Tradeweb Markets LLC</w:t>
            </w: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42,352</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29,307</w:t>
            </w:r>
          </w:p>
        </w:tc>
        <w:tc>
          <w:tcPr>
            <w:tcW w:w="120" w:type="dxa"/>
            <w:vAlign w:val="bottom"/>
            <w:tcBorders>
              <w:right w:val="single" w:sz="8" w:color="auto"/>
            </w:tcBorders>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130,160</w:t>
            </w:r>
          </w:p>
        </w:tc>
        <w:tc>
          <w:tcPr>
            <w:tcW w:w="120" w:type="dxa"/>
            <w:vAlign w:val="bottom"/>
          </w:tcPr>
          <w:p>
            <w:pPr>
              <w:spacing w:after="0"/>
              <w:rPr>
                <w:sz w:val="12"/>
                <w:szCs w:val="12"/>
                <w:color w:val="auto"/>
              </w:rPr>
            </w:pP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83,648</w:t>
            </w:r>
          </w:p>
        </w:tc>
        <w:tc>
          <w:tcPr>
            <w:tcW w:w="0" w:type="dxa"/>
            <w:vAlign w:val="bottom"/>
          </w:tcPr>
          <w:p>
            <w:pPr>
              <w:spacing w:after="0"/>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20" w:type="dxa"/>
            <w:vAlign w:val="bottom"/>
            <w:gridSpan w:val="5"/>
          </w:tcPr>
          <w:p>
            <w:pPr>
              <w:spacing w:after="0" w:line="135" w:lineRule="exact"/>
              <w:rPr>
                <w:sz w:val="20"/>
                <w:szCs w:val="20"/>
                <w:color w:val="auto"/>
              </w:rPr>
            </w:pPr>
            <w:r>
              <w:rPr>
                <w:rFonts w:ascii="Arial" w:cs="Arial" w:eastAsia="Arial" w:hAnsi="Arial"/>
                <w:sz w:val="14"/>
                <w:szCs w:val="14"/>
                <w:color w:val="auto"/>
              </w:rPr>
              <w:t>Denominator:</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2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color w:val="auto"/>
              </w:rPr>
              <w:t>Weighted average LLC Interests outstanding - Basic</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222,222,197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222,221,628</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215,365,920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212,568,635</w:t>
            </w:r>
          </w:p>
        </w:tc>
        <w:tc>
          <w:tcPr>
            <w:tcW w:w="0" w:type="dxa"/>
            <w:vAlign w:val="bottom"/>
          </w:tcPr>
          <w:p>
            <w:pPr>
              <w:spacing w:after="0"/>
              <w:rPr>
                <w:sz w:val="1"/>
                <w:szCs w:val="1"/>
                <w:color w:val="auto"/>
              </w:rPr>
            </w:pPr>
          </w:p>
        </w:tc>
      </w:tr>
      <w:tr>
        <w:trPr>
          <w:trHeight w:val="149"/>
        </w:trPr>
        <w:tc>
          <w:tcPr>
            <w:tcW w:w="472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Dilutive effect of equity-settled PRSUs</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1,098,260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22,223</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20" w:type="dxa"/>
            <w:vAlign w:val="bottom"/>
            <w:tcBorders>
              <w:top w:val="single" w:sz="8" w:color="CCEEFF"/>
              <w:bottom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color w:val="auto"/>
              </w:rPr>
              <w:t>Weighted average LLC Interests outstanding - Diluted</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223,320,457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222,243,851</w:t>
            </w:r>
          </w:p>
        </w:tc>
        <w:tc>
          <w:tcPr>
            <w:tcW w:w="12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215,365,920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212,568,635</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7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Earnings per share - Basic</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0.13</w:t>
            </w:r>
          </w:p>
        </w:tc>
        <w:tc>
          <w:tcPr>
            <w:tcW w:w="120" w:type="dxa"/>
            <w:vAlign w:val="bottom"/>
            <w:tcBorders>
              <w:right w:val="single" w:sz="8" w:color="auto"/>
            </w:tcBorders>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0.60</w:t>
            </w:r>
          </w:p>
        </w:tc>
        <w:tc>
          <w:tcPr>
            <w:tcW w:w="1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43"/>
        </w:trPr>
        <w:tc>
          <w:tcPr>
            <w:tcW w:w="4720" w:type="dxa"/>
            <w:vAlign w:val="bottom"/>
            <w:tcBorders>
              <w:top w:val="single" w:sz="8" w:color="CCEEFF"/>
            </w:tcBorders>
            <w:gridSpan w:val="5"/>
          </w:tcPr>
          <w:p>
            <w:pPr>
              <w:spacing w:after="0" w:line="136" w:lineRule="exact"/>
              <w:rPr>
                <w:sz w:val="20"/>
                <w:szCs w:val="20"/>
                <w:color w:val="auto"/>
              </w:rPr>
            </w:pPr>
            <w:r>
              <w:rPr>
                <w:rFonts w:ascii="Arial" w:cs="Arial" w:eastAsia="Arial" w:hAnsi="Arial"/>
                <w:sz w:val="14"/>
                <w:szCs w:val="14"/>
                <w:color w:val="auto"/>
              </w:rPr>
              <w:t>Earnings per share - Diluted</w:t>
            </w:r>
          </w:p>
        </w:tc>
        <w:tc>
          <w:tcPr>
            <w:tcW w:w="10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0.19</w:t>
            </w: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0.13</w:t>
            </w: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0.60</w:t>
            </w:r>
          </w:p>
        </w:tc>
        <w:tc>
          <w:tcPr>
            <w:tcW w:w="120" w:type="dxa"/>
            <w:vAlign w:val="bottom"/>
            <w:tcBorders>
              <w:top w:val="single" w:sz="8" w:color="CCEEFF"/>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08"/>
        </w:trPr>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right="160" w:hanging="333"/>
        <w:spacing w:after="0" w:line="238" w:lineRule="auto"/>
        <w:tabs>
          <w:tab w:leader="none" w:pos="6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Earnings per share and weighted average shares outstanding for the pre-IPO periods have been computed to give effect to the Reorganization Transactions, including the amendment and restatement of the TWM LLC Agreement to, among other things, (i) provide for LLC Interests and (ii) exchange all of the then existing membership interests in TWM LLC for LLC interests.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2" w:name="page153"/>
    <w:bookmarkEnd w:id="15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basic and diluted earnings per share calculations for Tradeweb Markets Inc. (post-IPO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2"/>
              </w:rPr>
              <w:t>Successor</w:t>
            </w:r>
          </w:p>
        </w:tc>
      </w:tr>
      <w:tr>
        <w:trPr>
          <w:trHeight w:val="101"/>
        </w:trPr>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jc w:val="center"/>
              <w:ind w:right="115"/>
              <w:spacing w:after="0" w:line="102" w:lineRule="exact"/>
              <w:rPr>
                <w:sz w:val="20"/>
                <w:szCs w:val="20"/>
                <w:color w:val="auto"/>
              </w:rPr>
            </w:pPr>
            <w:r>
              <w:rPr>
                <w:rFonts w:ascii="Arial" w:cs="Arial" w:eastAsia="Arial" w:hAnsi="Arial"/>
                <w:sz w:val="11"/>
                <w:szCs w:val="11"/>
                <w:b w:val="1"/>
                <w:bCs w:val="1"/>
                <w:color w:val="auto"/>
                <w:w w:val="89"/>
              </w:rPr>
              <w:t>Nine Months Ended</w:t>
            </w:r>
          </w:p>
        </w:tc>
        <w:tc>
          <w:tcPr>
            <w:tcW w:w="160" w:type="dxa"/>
            <w:vAlign w:val="bottom"/>
          </w:tcPr>
          <w:p>
            <w:pPr>
              <w:spacing w:after="0"/>
              <w:rPr>
                <w:sz w:val="8"/>
                <w:szCs w:val="8"/>
                <w:color w:val="auto"/>
              </w:rPr>
            </w:pPr>
          </w:p>
        </w:tc>
      </w:tr>
      <w:tr>
        <w:trPr>
          <w:trHeight w:val="122"/>
        </w:trPr>
        <w:tc>
          <w:tcPr>
            <w:tcW w:w="736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EPS: Post-IPO net income attributable to Tradeweb Markets Inc.</w:t>
            </w:r>
          </w:p>
        </w:tc>
        <w:tc>
          <w:tcPr>
            <w:tcW w:w="200" w:type="dxa"/>
            <w:vAlign w:val="bottom"/>
          </w:tcPr>
          <w:p>
            <w:pPr>
              <w:spacing w:after="0"/>
              <w:rPr>
                <w:sz w:val="10"/>
                <w:szCs w:val="10"/>
                <w:color w:val="auto"/>
              </w:rPr>
            </w:pPr>
          </w:p>
        </w:tc>
        <w:tc>
          <w:tcPr>
            <w:tcW w:w="15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December 31,</w:t>
            </w:r>
          </w:p>
        </w:tc>
      </w:tr>
      <w:tr>
        <w:trPr>
          <w:trHeight w:val="135"/>
        </w:trPr>
        <w:tc>
          <w:tcPr>
            <w:tcW w:w="7360" w:type="dxa"/>
            <w:vAlign w:val="bottom"/>
            <w:gridSpan w:val="4"/>
          </w:tcPr>
          <w:p>
            <w:pPr>
              <w:spacing w:after="0"/>
              <w:rPr>
                <w:sz w:val="20"/>
                <w:szCs w:val="20"/>
                <w:color w:val="auto"/>
              </w:rPr>
            </w:pPr>
            <w:r>
              <w:rPr>
                <w:rFonts w:ascii="Arial" w:cs="Arial" w:eastAsia="Arial" w:hAnsi="Arial"/>
                <w:sz w:val="11"/>
                <w:szCs w:val="11"/>
                <w:b w:val="1"/>
                <w:bCs w:val="1"/>
                <w:color w:val="auto"/>
              </w:rPr>
              <w:t>(in thousands, except share and per share amounts)</w:t>
            </w:r>
          </w:p>
        </w:tc>
        <w:tc>
          <w:tcPr>
            <w:tcW w:w="200" w:type="dxa"/>
            <w:vAlign w:val="bottom"/>
          </w:tcPr>
          <w:p>
            <w:pPr>
              <w:spacing w:after="0"/>
              <w:rPr>
                <w:sz w:val="11"/>
                <w:szCs w:val="11"/>
                <w:color w:val="auto"/>
              </w:rPr>
            </w:pPr>
          </w:p>
        </w:tc>
        <w:tc>
          <w:tcPr>
            <w:tcW w:w="1340" w:type="dxa"/>
            <w:vAlign w:val="bottom"/>
          </w:tcPr>
          <w:p>
            <w:pPr>
              <w:jc w:val="center"/>
              <w:ind w:right="135"/>
              <w:spacing w:after="0"/>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1"/>
                <w:szCs w:val="11"/>
                <w:color w:val="auto"/>
              </w:rPr>
            </w:pPr>
          </w:p>
        </w:tc>
      </w:tr>
      <w:tr>
        <w:trPr>
          <w:trHeight w:val="129"/>
        </w:trPr>
        <w:tc>
          <w:tcPr>
            <w:tcW w:w="708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color w:val="auto"/>
              </w:rPr>
              <w:t>Numerator:</w:t>
            </w:r>
          </w:p>
        </w:tc>
        <w:tc>
          <w:tcPr>
            <w:tcW w:w="2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42"/>
        </w:trPr>
        <w:tc>
          <w:tcPr>
            <w:tcW w:w="7360" w:type="dxa"/>
            <w:vAlign w:val="bottom"/>
            <w:gridSpan w:val="4"/>
          </w:tcPr>
          <w:p>
            <w:pPr>
              <w:spacing w:after="0" w:line="142" w:lineRule="exact"/>
              <w:rPr>
                <w:sz w:val="20"/>
                <w:szCs w:val="20"/>
                <w:color w:val="auto"/>
              </w:rPr>
            </w:pPr>
            <w:r>
              <w:rPr>
                <w:rFonts w:ascii="Arial" w:cs="Arial" w:eastAsia="Arial" w:hAnsi="Arial"/>
                <w:sz w:val="14"/>
                <w:szCs w:val="14"/>
                <w:color w:val="auto"/>
              </w:rPr>
              <w:t>Post-IPO net income attributable to Tradeweb Markets Inc.</w:t>
            </w: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line="142" w:lineRule="exact"/>
              <w:rPr>
                <w:sz w:val="20"/>
                <w:szCs w:val="20"/>
                <w:color w:val="auto"/>
              </w:rPr>
            </w:pPr>
            <w:r>
              <w:rPr>
                <w:rFonts w:ascii="Arial" w:cs="Arial" w:eastAsia="Arial" w:hAnsi="Arial"/>
                <w:sz w:val="14"/>
                <w:szCs w:val="14"/>
                <w:color w:val="auto"/>
              </w:rPr>
              <w:t>83,769</w:t>
            </w:r>
          </w:p>
        </w:tc>
        <w:tc>
          <w:tcPr>
            <w:tcW w:w="160" w:type="dxa"/>
            <w:vAlign w:val="bottom"/>
          </w:tcPr>
          <w:p>
            <w:pPr>
              <w:spacing w:after="0"/>
              <w:rPr>
                <w:sz w:val="12"/>
                <w:szCs w:val="12"/>
                <w:color w:val="auto"/>
              </w:rPr>
            </w:pPr>
          </w:p>
        </w:tc>
      </w:tr>
      <w:tr>
        <w:trPr>
          <w:trHeight w:val="149"/>
        </w:trPr>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5"/>
        </w:trPr>
        <w:tc>
          <w:tcPr>
            <w:tcW w:w="7360" w:type="dxa"/>
            <w:vAlign w:val="bottom"/>
            <w:gridSpan w:val="4"/>
          </w:tcPr>
          <w:p>
            <w:pPr>
              <w:spacing w:after="0" w:line="135" w:lineRule="exact"/>
              <w:rPr>
                <w:sz w:val="20"/>
                <w:szCs w:val="20"/>
                <w:color w:val="auto"/>
              </w:rPr>
            </w:pPr>
            <w:r>
              <w:rPr>
                <w:rFonts w:ascii="Arial" w:cs="Arial" w:eastAsia="Arial" w:hAnsi="Arial"/>
                <w:sz w:val="14"/>
                <w:szCs w:val="14"/>
                <w:color w:val="auto"/>
              </w:rPr>
              <w:t>Denominator:</w:t>
            </w: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736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Weighted average shares of Class A and Class B common stock outstanding - Basic</w:t>
            </w: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148,013,274</w:t>
            </w:r>
          </w:p>
        </w:tc>
        <w:tc>
          <w:tcPr>
            <w:tcW w:w="160" w:type="dxa"/>
            <w:vAlign w:val="bottom"/>
            <w:shd w:val="clear" w:color="auto" w:fill="CCEEFF"/>
          </w:tcPr>
          <w:p>
            <w:pPr>
              <w:spacing w:after="0"/>
              <w:rPr>
                <w:sz w:val="12"/>
                <w:szCs w:val="12"/>
                <w:color w:val="auto"/>
              </w:rPr>
            </w:pPr>
          </w:p>
        </w:tc>
      </w:tr>
      <w:tr>
        <w:trPr>
          <w:trHeight w:val="149"/>
        </w:trPr>
        <w:tc>
          <w:tcPr>
            <w:tcW w:w="73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Dilutive effect of equity-settled PRSUs</w:t>
            </w:r>
          </w:p>
        </w:tc>
        <w:tc>
          <w:tcPr>
            <w:tcW w:w="2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2,464,137</w:t>
            </w:r>
          </w:p>
        </w:tc>
        <w:tc>
          <w:tcPr>
            <w:tcW w:w="160" w:type="dxa"/>
            <w:vAlign w:val="bottom"/>
          </w:tcPr>
          <w:p>
            <w:pPr>
              <w:spacing w:after="0"/>
              <w:rPr>
                <w:sz w:val="12"/>
                <w:szCs w:val="12"/>
                <w:color w:val="auto"/>
              </w:rPr>
            </w:pPr>
          </w:p>
        </w:tc>
      </w:tr>
      <w:tr>
        <w:trPr>
          <w:trHeight w:val="149"/>
        </w:trPr>
        <w:tc>
          <w:tcPr>
            <w:tcW w:w="736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Dilutive effect of options</w:t>
            </w:r>
          </w:p>
        </w:tc>
        <w:tc>
          <w:tcPr>
            <w:tcW w:w="20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6,062,835</w:t>
            </w:r>
          </w:p>
        </w:tc>
        <w:tc>
          <w:tcPr>
            <w:tcW w:w="160" w:type="dxa"/>
            <w:vAlign w:val="bottom"/>
            <w:shd w:val="clear" w:color="auto" w:fill="CCEEFF"/>
          </w:tcPr>
          <w:p>
            <w:pPr>
              <w:spacing w:after="0"/>
              <w:rPr>
                <w:sz w:val="12"/>
                <w:szCs w:val="12"/>
                <w:color w:val="auto"/>
              </w:rPr>
            </w:pPr>
          </w:p>
        </w:tc>
      </w:tr>
      <w:tr>
        <w:trPr>
          <w:trHeight w:val="149"/>
        </w:trPr>
        <w:tc>
          <w:tcPr>
            <w:tcW w:w="736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color w:val="auto"/>
              </w:rPr>
              <w:t>Weighted average shares of Class A and Class B common stock outstanding - Diluted</w:t>
            </w: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156,540,246</w:t>
            </w:r>
          </w:p>
        </w:tc>
        <w:tc>
          <w:tcPr>
            <w:tcW w:w="160" w:type="dxa"/>
            <w:vAlign w:val="bottom"/>
            <w:tcBorders>
              <w:bottom w:val="single" w:sz="8" w:color="CCEEFF"/>
            </w:tcBorders>
          </w:tcPr>
          <w:p>
            <w:pPr>
              <w:spacing w:after="0"/>
              <w:rPr>
                <w:sz w:val="12"/>
                <w:szCs w:val="12"/>
                <w:color w:val="auto"/>
              </w:rPr>
            </w:pPr>
          </w:p>
        </w:tc>
      </w:tr>
      <w:tr>
        <w:trPr>
          <w:trHeight w:val="149"/>
        </w:trPr>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6"/>
        </w:trPr>
        <w:tc>
          <w:tcPr>
            <w:tcW w:w="7360" w:type="dxa"/>
            <w:vAlign w:val="bottom"/>
            <w:tcBorders>
              <w:bottom w:val="single" w:sz="8" w:color="CCEEFF"/>
            </w:tcBorders>
            <w:gridSpan w:val="4"/>
          </w:tcPr>
          <w:p>
            <w:pPr>
              <w:spacing w:after="0" w:line="149" w:lineRule="exact"/>
              <w:rPr>
                <w:sz w:val="20"/>
                <w:szCs w:val="20"/>
                <w:color w:val="auto"/>
              </w:rPr>
            </w:pPr>
            <w:r>
              <w:rPr>
                <w:rFonts w:ascii="Arial" w:cs="Arial" w:eastAsia="Arial" w:hAnsi="Arial"/>
                <w:sz w:val="14"/>
                <w:szCs w:val="14"/>
                <w:color w:val="auto"/>
              </w:rPr>
              <w:t>Earnings per share - Basic</w:t>
            </w:r>
          </w:p>
        </w:tc>
        <w:tc>
          <w:tcPr>
            <w:tcW w:w="2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0.57</w:t>
            </w:r>
          </w:p>
        </w:tc>
        <w:tc>
          <w:tcPr>
            <w:tcW w:w="160" w:type="dxa"/>
            <w:vAlign w:val="bottom"/>
            <w:tcBorders>
              <w:bottom w:val="single" w:sz="8" w:color="CCEEFF"/>
            </w:tcBorders>
          </w:tcPr>
          <w:p>
            <w:pPr>
              <w:spacing w:after="0"/>
              <w:rPr>
                <w:sz w:val="13"/>
                <w:szCs w:val="13"/>
                <w:color w:val="auto"/>
              </w:rPr>
            </w:pPr>
          </w:p>
        </w:tc>
      </w:tr>
      <w:tr>
        <w:trPr>
          <w:trHeight w:val="156"/>
        </w:trPr>
        <w:tc>
          <w:tcPr>
            <w:tcW w:w="7360" w:type="dxa"/>
            <w:vAlign w:val="bottom"/>
            <w:tcBorders>
              <w:bottom w:val="single" w:sz="8" w:color="CCEEFF"/>
            </w:tcBorders>
            <w:gridSpan w:val="4"/>
            <w:shd w:val="clear" w:color="auto" w:fill="CCEEFF"/>
          </w:tcPr>
          <w:p>
            <w:pPr>
              <w:spacing w:after="0" w:line="149" w:lineRule="exact"/>
              <w:rPr>
                <w:sz w:val="20"/>
                <w:szCs w:val="20"/>
                <w:color w:val="auto"/>
              </w:rPr>
            </w:pPr>
            <w:r>
              <w:rPr>
                <w:rFonts w:ascii="Arial" w:cs="Arial" w:eastAsia="Arial" w:hAnsi="Arial"/>
                <w:sz w:val="14"/>
                <w:szCs w:val="14"/>
                <w:color w:val="auto"/>
              </w:rPr>
              <w:t>Earnings per share - Diluted</w:t>
            </w:r>
          </w:p>
        </w:tc>
        <w:tc>
          <w:tcPr>
            <w:tcW w:w="2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0.54</w:t>
            </w:r>
          </w:p>
        </w:tc>
        <w:tc>
          <w:tcPr>
            <w:tcW w:w="160" w:type="dxa"/>
            <w:vAlign w:val="bottom"/>
            <w:tcBorders>
              <w:bottom w:val="single" w:sz="8" w:color="CCEEFF"/>
            </w:tcBorders>
            <w:shd w:val="clear" w:color="auto" w:fill="CCEEFF"/>
          </w:tcPr>
          <w:p>
            <w:pPr>
              <w:spacing w:after="0"/>
              <w:rPr>
                <w:sz w:val="13"/>
                <w:szCs w:val="13"/>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year ended December 31, 2019, there were approximately 128,125 average shares underlying equity-settled PRSUs and options that were anti-dilutive. As a result, these shares, which are still outstanding, were excluded from the computation of diluted earnings per share. For the 2018 Predecessor Period, there were approximately 5,444,566 average shares related to the contingent consideration payable that were anti-dilutive and thus excluded from the computation of diluted earnings per share.</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such holders, for shares of Class A or Class B common stock of Tradeweb Markets Inc. After evaluating the potential dilutive effect under the if-converted method, the 59,182,155 LLC Interests for the assumed exchange of non-controlling interests were determined to be anti-dilutive and thus were excluded from the computation of diluted earnings per share for the post-IPO periods.</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77" w:lineRule="exact"/>
        <w:rPr>
          <w:sz w:val="20"/>
          <w:szCs w:val="20"/>
          <w:color w:val="auto"/>
        </w:rPr>
      </w:pPr>
    </w:p>
    <w:p>
      <w:pPr>
        <w:ind w:left="680" w:hanging="677"/>
        <w:spacing w:after="0"/>
        <w:tabs>
          <w:tab w:leader="none" w:pos="6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Capital Requirements</w:t>
      </w:r>
    </w:p>
    <w:p>
      <w:pPr>
        <w:spacing w:after="0" w:line="229"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TWL, DW and TWD are subject to the Uniform Net Capital Rule 15c3</w:t>
      </w:r>
      <w:r>
        <w:rPr>
          <w:rFonts w:ascii="MS PGothic" w:cs="MS PGothic" w:eastAsia="MS PGothic" w:hAnsi="MS PGothic"/>
          <w:sz w:val="18"/>
          <w:szCs w:val="18"/>
          <w:color w:val="auto"/>
        </w:rPr>
        <w:t>‑</w:t>
      </w:r>
      <w:r>
        <w:rPr>
          <w:rFonts w:ascii="Arial" w:cs="Arial" w:eastAsia="Arial" w:hAnsi="Arial"/>
          <w:sz w:val="18"/>
          <w:szCs w:val="18"/>
          <w:color w:val="auto"/>
        </w:rPr>
        <w:t>1 under the Securities Exchange Act of 1934. TEL is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December 31, 2019 and 2018, the regulatory capital requirements and regulatory capital for TWL, DW, TWD, TEL, TWJ and TWEU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2019</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4"/>
                <w:szCs w:val="14"/>
                <w:b w:val="1"/>
                <w:bCs w:val="1"/>
                <w:color w:val="auto"/>
              </w:rPr>
              <w:t>TWL</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DW</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TWD</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TEL</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TWJ</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TWEU</w:t>
            </w: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42,317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52,016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33,807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49,611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r>
      <w:tr>
        <w:trPr>
          <w:trHeight w:val="216"/>
        </w:trPr>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Regulatory Capital Requirement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2,396</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2,026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664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8"/>
              </w:rPr>
              <w:t>21,856</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8,565</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r>
      <w:tr>
        <w:trPr>
          <w:trHeight w:val="217"/>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Regulatory Capital</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39,921</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49,990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33,143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27,755</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3,286</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r>
      <w:tr>
        <w:trPr>
          <w:trHeight w:val="378"/>
        </w:trPr>
        <w:tc>
          <w:tcPr>
            <w:tcW w:w="3240" w:type="dxa"/>
            <w:vAlign w:val="bottom"/>
          </w:tcPr>
          <w:p>
            <w:pPr>
              <w:spacing w:after="0"/>
              <w:rPr>
                <w:sz w:val="20"/>
                <w:szCs w:val="20"/>
                <w:color w:val="auto"/>
              </w:rPr>
            </w:pPr>
            <w:r>
              <w:rPr>
                <w:rFonts w:ascii="Arial" w:cs="Arial" w:eastAsia="Arial" w:hAnsi="Arial"/>
                <w:sz w:val="14"/>
                <w:szCs w:val="14"/>
                <w:b w:val="1"/>
                <w:bCs w:val="1"/>
                <w:color w:val="auto"/>
              </w:rPr>
              <w:t>As of December 31, 2018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DW</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TWD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TEL</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TWJ</w:t>
            </w:r>
          </w:p>
        </w:tc>
      </w:tr>
      <w:tr>
        <w:trPr>
          <w:trHeight w:val="210"/>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Regulatory Capital</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18,986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41,164</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46,157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w:t>
            </w:r>
          </w:p>
        </w:tc>
      </w:tr>
      <w:tr>
        <w:trPr>
          <w:trHeight w:val="216"/>
        </w:trPr>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Regulatory Capital Requirement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2,698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1,803</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17,493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r>
      <w:tr>
        <w:trPr>
          <w:trHeight w:val="217"/>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Regulatory Capital</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16,288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39,361</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23,443</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28,664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w:t>
            </w:r>
          </w:p>
        </w:tc>
      </w:tr>
      <w:tr>
        <w:trPr>
          <w:trHeight w:val="864"/>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61"/>
        </w:trPr>
        <w:tc>
          <w:tcPr>
            <w:tcW w:w="3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53" w:name="page154"/>
    <w:bookmarkEnd w:id="15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SEFs, TW SEF and DW SEF are required to maintain adequate financial resources and liquid financial assets in accordance with CFTC regulations. The required and maintained financial resources and liquid financial assets at December 31, 2019 and 2018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As of December 31, 2019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3"/>
              </w:rPr>
              <w:t>As of December 31, 2018</w:t>
            </w:r>
          </w:p>
        </w:tc>
      </w:tr>
      <w:tr>
        <w:trPr>
          <w:trHeight w:val="142"/>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TW SEF</w:t>
            </w:r>
          </w:p>
        </w:tc>
        <w:tc>
          <w:tcPr>
            <w:tcW w:w="100" w:type="dxa"/>
            <w:vAlign w:val="bottom"/>
          </w:tcPr>
          <w:p>
            <w:pPr>
              <w:spacing w:after="0"/>
              <w:rPr>
                <w:sz w:val="12"/>
                <w:szCs w:val="12"/>
                <w:color w:val="auto"/>
              </w:rPr>
            </w:pPr>
          </w:p>
        </w:tc>
        <w:tc>
          <w:tcPr>
            <w:tcW w:w="7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DW SEF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TW SEF</w:t>
            </w:r>
          </w:p>
        </w:tc>
        <w:tc>
          <w:tcPr>
            <w:tcW w:w="120" w:type="dxa"/>
            <w:vAlign w:val="bottom"/>
          </w:tcPr>
          <w:p>
            <w:pPr>
              <w:spacing w:after="0"/>
              <w:rPr>
                <w:sz w:val="12"/>
                <w:szCs w:val="12"/>
                <w:color w:val="auto"/>
              </w:rPr>
            </w:pPr>
          </w:p>
        </w:tc>
        <w:tc>
          <w:tcPr>
            <w:tcW w:w="7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9"/>
              </w:rPr>
              <w:t>DW SEF</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Resources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17,837</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Required Financial Resources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r>
      <w:tr>
        <w:trPr>
          <w:trHeight w:val="21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Financial Resources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w:t>
            </w: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Liquid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Required Liquid Financial Assets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r>
      <w:tr>
        <w:trPr>
          <w:trHeight w:val="21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Liquid Financial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w:t>
            </w:r>
          </w:p>
        </w:tc>
      </w:tr>
    </w:tbl>
    <w:p>
      <w:pPr>
        <w:spacing w:after="0" w:line="211" w:lineRule="exact"/>
        <w:rPr>
          <w:sz w:val="20"/>
          <w:szCs w:val="20"/>
          <w:color w:val="auto"/>
        </w:rPr>
      </w:pPr>
    </w:p>
    <w:p>
      <w:pPr>
        <w:ind w:left="680" w:hanging="677"/>
        <w:spacing w:after="0"/>
        <w:tabs>
          <w:tab w:leader="none" w:pos="6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and Geographic Information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 Information regarding revenue by client sector is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5"/>
              </w:rPr>
              <w:t>Predecessor</w:t>
            </w: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Borders>
              <w:left w:val="single" w:sz="8" w:color="auto"/>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23"/>
                <w:szCs w:val="23"/>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October 1, 2018 to</w:t>
            </w:r>
          </w:p>
        </w:tc>
        <w:tc>
          <w:tcPr>
            <w:tcW w:w="1240" w:type="dxa"/>
            <w:vAlign w:val="bottom"/>
            <w:tcBorders>
              <w:left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January 1, 2018 to</w:t>
            </w:r>
          </w:p>
        </w:tc>
        <w:tc>
          <w:tcPr>
            <w:tcW w:w="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left w:val="single" w:sz="8" w:color="auto"/>
            </w:tcBorders>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140" w:type="dxa"/>
            <w:vAlign w:val="bottom"/>
            <w:tcBorders>
              <w:left w:val="single" w:sz="8" w:color="auto"/>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left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20"/>
              <w:spacing w:after="0"/>
              <w:rPr>
                <w:sz w:val="20"/>
                <w:szCs w:val="20"/>
                <w:color w:val="auto"/>
              </w:rPr>
            </w:pPr>
            <w:r>
              <w:rPr>
                <w:rFonts w:ascii="Arial" w:cs="Arial" w:eastAsia="Arial" w:hAnsi="Arial"/>
                <w:sz w:val="18"/>
                <w:szCs w:val="18"/>
                <w:color w:val="auto"/>
              </w:rPr>
              <w:t>Institutional</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453,379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103,971</w:t>
            </w:r>
          </w:p>
        </w:tc>
        <w:tc>
          <w:tcPr>
            <w:tcW w:w="100" w:type="dxa"/>
            <w:vAlign w:val="bottom"/>
          </w:tcPr>
          <w:p>
            <w:pPr>
              <w:spacing w:after="0"/>
              <w:rPr>
                <w:sz w:val="18"/>
                <w:szCs w:val="18"/>
                <w:color w:val="auto"/>
              </w:rPr>
            </w:pPr>
          </w:p>
        </w:tc>
        <w:tc>
          <w:tcPr>
            <w:tcW w:w="1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301,918</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318,038</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Wholesale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38,153</w:t>
            </w:r>
          </w:p>
        </w:tc>
        <w:tc>
          <w:tcPr>
            <w:tcW w:w="100" w:type="dxa"/>
            <w:vAlign w:val="bottom"/>
            <w:shd w:val="clear" w:color="auto" w:fill="CCEEFF"/>
          </w:tcPr>
          <w:p>
            <w:pPr>
              <w:spacing w:after="0"/>
              <w:rPr>
                <w:sz w:val="18"/>
                <w:szCs w:val="18"/>
                <w:color w:val="auto"/>
              </w:rPr>
            </w:pPr>
          </w:p>
        </w:tc>
        <w:tc>
          <w:tcPr>
            <w:tcW w:w="140" w:type="dxa"/>
            <w:vAlign w:val="bottom"/>
            <w:tcBorders>
              <w:left w:val="single" w:sz="8" w:color="auto"/>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118,451</w:t>
            </w:r>
          </w:p>
        </w:tc>
        <w:tc>
          <w:tcPr>
            <w:tcW w:w="0" w:type="dxa"/>
            <w:vAlign w:val="bottom"/>
          </w:tcPr>
          <w:p>
            <w:pPr>
              <w:spacing w:after="0"/>
              <w:rPr>
                <w:sz w:val="1"/>
                <w:szCs w:val="1"/>
                <w:color w:val="auto"/>
              </w:rPr>
            </w:pPr>
          </w:p>
        </w:tc>
      </w:tr>
      <w:tr>
        <w:trPr>
          <w:trHeight w:val="216"/>
        </w:trPr>
        <w:tc>
          <w:tcPr>
            <w:tcW w:w="3220" w:type="dxa"/>
            <w:vAlign w:val="bottom"/>
          </w:tcPr>
          <w:p>
            <w:pPr>
              <w:ind w:left="120"/>
              <w:spacing w:after="0"/>
              <w:rPr>
                <w:sz w:val="20"/>
                <w:szCs w:val="20"/>
                <w:color w:val="auto"/>
              </w:rPr>
            </w:pPr>
            <w:r>
              <w:rPr>
                <w:rFonts w:ascii="Arial" w:cs="Arial" w:eastAsia="Arial" w:hAnsi="Arial"/>
                <w:sz w:val="18"/>
                <w:szCs w:val="18"/>
                <w:color w:val="auto"/>
              </w:rPr>
              <w:t>Retail</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80,368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18"/>
                <w:szCs w:val="18"/>
                <w:color w:val="auto"/>
              </w:rPr>
            </w:pPr>
          </w:p>
        </w:tc>
        <w:tc>
          <w:tcPr>
            <w:tcW w:w="140" w:type="dxa"/>
            <w:vAlign w:val="bottom"/>
            <w:tcBorders>
              <w:left w:val="single" w:sz="8" w:color="auto"/>
            </w:tcBorders>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70,857</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 Data</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16,733</w:t>
            </w:r>
          </w:p>
        </w:tc>
        <w:tc>
          <w:tcPr>
            <w:tcW w:w="100" w:type="dxa"/>
            <w:vAlign w:val="bottom"/>
            <w:shd w:val="clear" w:color="auto" w:fill="CCEEFF"/>
          </w:tcPr>
          <w:p>
            <w:pPr>
              <w:spacing w:after="0"/>
              <w:rPr>
                <w:sz w:val="18"/>
                <w:szCs w:val="18"/>
                <w:color w:val="auto"/>
              </w:rPr>
            </w:pPr>
          </w:p>
        </w:tc>
        <w:tc>
          <w:tcPr>
            <w:tcW w:w="140" w:type="dxa"/>
            <w:vAlign w:val="bottom"/>
            <w:tcBorders>
              <w:left w:val="single" w:sz="8" w:color="auto"/>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55,622</w:t>
            </w:r>
          </w:p>
        </w:tc>
        <w:tc>
          <w:tcPr>
            <w:tcW w:w="0" w:type="dxa"/>
            <w:vAlign w:val="bottom"/>
          </w:tcPr>
          <w:p>
            <w:pPr>
              <w:spacing w:after="0"/>
              <w:rPr>
                <w:sz w:val="1"/>
                <w:szCs w:val="1"/>
                <w:color w:val="auto"/>
              </w:rPr>
            </w:pPr>
          </w:p>
        </w:tc>
      </w:tr>
      <w:tr>
        <w:trPr>
          <w:trHeight w:val="216"/>
        </w:trPr>
        <w:tc>
          <w:tcPr>
            <w:tcW w:w="322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auto"/>
            </w:tcBorders>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(26,830)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775,566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478,941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504,448</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585,747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146,702</w:t>
            </w:r>
          </w:p>
        </w:tc>
        <w:tc>
          <w:tcPr>
            <w:tcW w:w="100" w:type="dxa"/>
            <w:vAlign w:val="bottom"/>
            <w:tcBorders>
              <w:bottom w:val="single" w:sz="8" w:color="CCEEFF"/>
            </w:tcBorders>
          </w:tcPr>
          <w:p>
            <w:pPr>
              <w:spacing w:after="0"/>
              <w:rPr>
                <w:sz w:val="18"/>
                <w:szCs w:val="18"/>
                <w:color w:val="auto"/>
              </w:rPr>
            </w:pPr>
          </w:p>
        </w:tc>
        <w:tc>
          <w:tcPr>
            <w:tcW w:w="14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338,607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415,356</w:t>
            </w: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189,819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left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140,334</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89,092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6" w:right="1419" w:bottom="1440" w:gutter="0" w:footer="0" w:header="0"/>
        </w:sectPr>
      </w:pPr>
    </w:p>
    <w:bookmarkStart w:id="154" w:name="page155"/>
    <w:bookmarkEnd w:id="15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breakdown of revenue by geographic area for the year ended December 31, 2019, the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Successor Period, the 2018 Predecessor Period and the year ended December 31,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7"/>
              </w:rPr>
              <w:t>Predecessor</w:t>
            </w: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3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Borders>
              <w:left w:val="single" w:sz="8" w:color="auto"/>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3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October 1, 2018 to</w:t>
            </w:r>
          </w:p>
        </w:tc>
        <w:tc>
          <w:tcPr>
            <w:tcW w:w="1240" w:type="dxa"/>
            <w:vAlign w:val="bottom"/>
            <w:tcBorders>
              <w:left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January 1, 2018 to</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Borders>
              <w:left w:val="single" w:sz="8" w:color="auto"/>
            </w:tcBorders>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4"/>
                <w:szCs w:val="14"/>
                <w:color w:val="auto"/>
              </w:rPr>
            </w:pPr>
          </w:p>
        </w:tc>
        <w:tc>
          <w:tcPr>
            <w:tcW w:w="120" w:type="dxa"/>
            <w:vAlign w:val="bottom"/>
            <w:tcBorders>
              <w:left w:val="single" w:sz="8" w:color="auto"/>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U.S.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497,316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115,907</w:t>
            </w:r>
          </w:p>
        </w:tc>
        <w:tc>
          <w:tcPr>
            <w:tcW w:w="160" w:type="dxa"/>
            <w:vAlign w:val="bottom"/>
          </w:tcPr>
          <w:p>
            <w:pPr>
              <w:spacing w:after="0"/>
              <w:rPr>
                <w:sz w:val="18"/>
                <w:szCs w:val="18"/>
                <w:color w:val="auto"/>
              </w:rPr>
            </w:pPr>
          </w:p>
        </w:tc>
        <w:tc>
          <w:tcPr>
            <w:tcW w:w="1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324,304</w:t>
            </w:r>
          </w:p>
        </w:tc>
        <w:tc>
          <w:tcPr>
            <w:tcW w:w="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385,176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62,730</w:t>
            </w:r>
          </w:p>
        </w:tc>
        <w:tc>
          <w:tcPr>
            <w:tcW w:w="160" w:type="dxa"/>
            <w:vAlign w:val="bottom"/>
            <w:shd w:val="clear" w:color="auto" w:fill="CCEEFF"/>
          </w:tcPr>
          <w:p>
            <w:pPr>
              <w:spacing w:after="0"/>
              <w:rPr>
                <w:sz w:val="18"/>
                <w:szCs w:val="18"/>
                <w:color w:val="auto"/>
              </w:rPr>
            </w:pPr>
          </w:p>
        </w:tc>
        <w:tc>
          <w:tcPr>
            <w:tcW w:w="120" w:type="dxa"/>
            <w:vAlign w:val="bottom"/>
            <w:tcBorders>
              <w:left w:val="single" w:sz="8" w:color="auto"/>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181,467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177,792</w:t>
            </w:r>
          </w:p>
        </w:tc>
        <w:tc>
          <w:tcPr>
            <w:tcW w:w="0" w:type="dxa"/>
            <w:vAlign w:val="bottom"/>
          </w:tcPr>
          <w:p>
            <w:pPr>
              <w:spacing w:after="0"/>
              <w:rPr>
                <w:sz w:val="1"/>
                <w:szCs w:val="1"/>
                <w:color w:val="auto"/>
              </w:rPr>
            </w:pPr>
          </w:p>
        </w:tc>
      </w:tr>
      <w:tr>
        <w:trPr>
          <w:trHeight w:val="210"/>
        </w:trPr>
        <w:tc>
          <w:tcPr>
            <w:tcW w:w="3200" w:type="dxa"/>
            <w:vAlign w:val="bottom"/>
          </w:tcPr>
          <w:p>
            <w:pPr>
              <w:ind w:left="220"/>
              <w:spacing w:after="0"/>
              <w:rPr>
                <w:sz w:val="20"/>
                <w:szCs w:val="20"/>
                <w:color w:val="auto"/>
              </w:rPr>
            </w:pPr>
            <w:r>
              <w:rPr>
                <w:rFonts w:ascii="Arial" w:cs="Arial" w:eastAsia="Arial" w:hAnsi="Arial"/>
                <w:sz w:val="18"/>
                <w:szCs w:val="18"/>
                <w:color w:val="auto"/>
              </w:rPr>
              <w:t>Gross revenue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775,566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178,637</w:t>
            </w:r>
          </w:p>
        </w:tc>
        <w:tc>
          <w:tcPr>
            <w:tcW w:w="16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505,771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562,968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consideration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17"/>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775,566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178,637</w:t>
            </w:r>
          </w:p>
        </w:tc>
        <w:tc>
          <w:tcPr>
            <w:tcW w:w="160" w:type="dxa"/>
            <w:vAlign w:val="bottom"/>
          </w:tcPr>
          <w:p>
            <w:pPr>
              <w:spacing w:after="0"/>
              <w:rPr>
                <w:sz w:val="18"/>
                <w:szCs w:val="18"/>
                <w:color w:val="auto"/>
              </w:rPr>
            </w:pPr>
          </w:p>
        </w:tc>
        <w:tc>
          <w:tcPr>
            <w:tcW w:w="120" w:type="dxa"/>
            <w:vAlign w:val="bottom"/>
            <w:tcBorders>
              <w:top w:val="single" w:sz="8" w:color="auto"/>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478,941</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504,448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attribution of long-lived assets by geographic area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4"/>
                <w:szCs w:val="14"/>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w w:val="84"/>
              </w:rPr>
              <w:t>Successor</w:t>
            </w:r>
          </w:p>
        </w:tc>
      </w:tr>
      <w:tr>
        <w:trPr>
          <w:trHeight w:val="119"/>
        </w:trPr>
        <w:tc>
          <w:tcPr>
            <w:tcW w:w="41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9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c>
          <w:tcPr>
            <w:tcW w:w="9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r>
      <w:tr>
        <w:trPr>
          <w:trHeight w:val="171"/>
        </w:trPr>
        <w:tc>
          <w:tcPr>
            <w:tcW w:w="410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2018</w:t>
            </w: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U.S.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4,200,133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4,276,568</w:t>
            </w: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2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w:t>
            </w: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4,214,233</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4,284,355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Results of Operations (Unaudited)</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following tables set forth certain unaudited financial data for the Company’s quarterly operations in 2019 and 2018. The following information has been prepared on the same basis as the annual information presented elsewhere in this report and, in the opinion of management, includes all adjustments, consisting only of normal recurring adjustments,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5" w:name="page156"/>
    <w:bookmarkEnd w:id="15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necessary for a fair presentation of the information for the quarterly periods presented. The operating results for any quarter are not necessarily indicative of results for any future period.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00" w:type="dxa"/>
            <w:vAlign w:val="bottom"/>
            <w:gridSpan w:val="9"/>
          </w:tcPr>
          <w:p>
            <w:pPr>
              <w:jc w:val="center"/>
              <w:ind w:right="180"/>
              <w:spacing w:after="0"/>
              <w:rPr>
                <w:sz w:val="20"/>
                <w:szCs w:val="20"/>
                <w:color w:val="auto"/>
              </w:rPr>
            </w:pPr>
            <w:r>
              <w:rPr>
                <w:rFonts w:ascii="Arial" w:cs="Arial" w:eastAsia="Arial" w:hAnsi="Arial"/>
                <w:sz w:val="11"/>
                <w:szCs w:val="11"/>
                <w:b w:val="1"/>
                <w:bCs w:val="1"/>
                <w:color w:val="auto"/>
                <w:w w:val="91"/>
              </w:rPr>
              <w:t>Tradeweb Markets Inc. (post-IPO)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520" w:type="dxa"/>
            <w:vAlign w:val="bottom"/>
            <w:gridSpan w:val="8"/>
          </w:tcPr>
          <w:p>
            <w:pPr>
              <w:jc w:val="center"/>
              <w:ind w:right="200"/>
              <w:spacing w:after="0"/>
              <w:rPr>
                <w:sz w:val="20"/>
                <w:szCs w:val="20"/>
                <w:color w:val="auto"/>
              </w:rPr>
            </w:pPr>
            <w:r>
              <w:rPr>
                <w:rFonts w:ascii="Arial" w:cs="Arial" w:eastAsia="Arial" w:hAnsi="Arial"/>
                <w:sz w:val="11"/>
                <w:szCs w:val="11"/>
                <w:b w:val="1"/>
                <w:bCs w:val="1"/>
                <w:color w:val="auto"/>
                <w:w w:val="93"/>
              </w:rPr>
              <w:t>Tradeweb Markets LLC (pre-IPO)</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82"/>
              </w:rPr>
              <w:t>Successor</w:t>
            </w:r>
          </w:p>
        </w:tc>
        <w:tc>
          <w:tcPr>
            <w:tcW w:w="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78"/>
              </w:rPr>
              <w:t>Successor</w:t>
            </w:r>
          </w:p>
        </w:tc>
        <w:tc>
          <w:tcPr>
            <w:tcW w:w="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center"/>
              <w:ind w:right="46"/>
              <w:spacing w:after="0" w:line="115" w:lineRule="exact"/>
              <w:rPr>
                <w:sz w:val="20"/>
                <w:szCs w:val="20"/>
                <w:color w:val="auto"/>
              </w:rPr>
            </w:pPr>
            <w:r>
              <w:rPr>
                <w:rFonts w:ascii="Arial" w:cs="Arial" w:eastAsia="Arial" w:hAnsi="Arial"/>
                <w:sz w:val="11"/>
                <w:szCs w:val="11"/>
                <w:b w:val="1"/>
                <w:bCs w:val="1"/>
                <w:color w:val="auto"/>
                <w:w w:val="82"/>
              </w:rPr>
              <w:t>Successor</w:t>
            </w:r>
          </w:p>
        </w:tc>
        <w:tc>
          <w:tcPr>
            <w:tcW w:w="8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82"/>
              </w:rPr>
              <w:t>Successor</w:t>
            </w:r>
          </w:p>
        </w:tc>
        <w:tc>
          <w:tcPr>
            <w:tcW w:w="6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2"/>
              </w:rPr>
              <w:t>Successor</w:t>
            </w:r>
          </w:p>
        </w:tc>
        <w:tc>
          <w:tcPr>
            <w:tcW w:w="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auto"/>
                <w:w w:val="84"/>
              </w:rPr>
              <w:t>Predecessor</w:t>
            </w:r>
          </w:p>
        </w:tc>
        <w:tc>
          <w:tcPr>
            <w:tcW w:w="10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gridSpan w:val="2"/>
          </w:tcPr>
          <w:p>
            <w:pPr>
              <w:jc w:val="center"/>
              <w:ind w:right="240"/>
              <w:spacing w:after="0" w:line="115" w:lineRule="exact"/>
              <w:rPr>
                <w:sz w:val="20"/>
                <w:szCs w:val="20"/>
                <w:color w:val="auto"/>
              </w:rPr>
            </w:pPr>
            <w:r>
              <w:rPr>
                <w:rFonts w:ascii="Arial" w:cs="Arial" w:eastAsia="Arial" w:hAnsi="Arial"/>
                <w:sz w:val="11"/>
                <w:szCs w:val="11"/>
                <w:b w:val="1"/>
                <w:bCs w:val="1"/>
                <w:color w:val="auto"/>
                <w:w w:val="84"/>
              </w:rPr>
              <w:t>Predecessor</w:t>
            </w:r>
          </w:p>
        </w:tc>
        <w:tc>
          <w:tcPr>
            <w:tcW w:w="6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auto"/>
                <w:w w:val="84"/>
              </w:rPr>
              <w:t>Predecessor</w:t>
            </w:r>
          </w:p>
        </w:tc>
        <w:tc>
          <w:tcPr>
            <w:tcW w:w="0" w:type="dxa"/>
            <w:vAlign w:val="bottom"/>
          </w:tcPr>
          <w:p>
            <w:pPr>
              <w:spacing w:after="0"/>
              <w:rPr>
                <w:sz w:val="1"/>
                <w:szCs w:val="1"/>
                <w:color w:val="auto"/>
              </w:rPr>
            </w:pPr>
          </w:p>
        </w:tc>
      </w:tr>
      <w:tr>
        <w:trPr>
          <w:trHeight w:val="115"/>
        </w:trPr>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tcPr>
          <w:p>
            <w:pPr>
              <w:jc w:val="right"/>
              <w:ind w:right="286"/>
              <w:spacing w:after="0" w:line="115" w:lineRule="exact"/>
              <w:rPr>
                <w:sz w:val="20"/>
                <w:szCs w:val="20"/>
                <w:color w:val="auto"/>
              </w:rPr>
            </w:pPr>
            <w:r>
              <w:rPr>
                <w:rFonts w:ascii="Arial" w:cs="Arial" w:eastAsia="Arial" w:hAnsi="Arial"/>
                <w:sz w:val="11"/>
                <w:szCs w:val="11"/>
                <w:b w:val="1"/>
                <w:bCs w:val="1"/>
                <w:color w:val="auto"/>
              </w:rPr>
              <w:t>Three Months Ended</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3"/>
          </w:tcPr>
          <w:p>
            <w:pPr>
              <w:jc w:val="center"/>
              <w:ind w:right="160"/>
              <w:spacing w:after="0" w:line="102" w:lineRule="exact"/>
              <w:rPr>
                <w:sz w:val="20"/>
                <w:szCs w:val="20"/>
                <w:color w:val="auto"/>
              </w:rPr>
            </w:pPr>
            <w:r>
              <w:rPr>
                <w:rFonts w:ascii="Arial" w:cs="Arial" w:eastAsia="Arial" w:hAnsi="Arial"/>
                <w:sz w:val="11"/>
                <w:szCs w:val="11"/>
                <w:b w:val="1"/>
                <w:bCs w:val="1"/>
                <w:color w:val="auto"/>
                <w:w w:val="86"/>
              </w:rPr>
              <w:t>December 31,</w:t>
            </w:r>
          </w:p>
        </w:tc>
        <w:tc>
          <w:tcPr>
            <w:tcW w:w="60" w:type="dxa"/>
            <w:vAlign w:val="bottom"/>
          </w:tcPr>
          <w:p>
            <w:pPr>
              <w:spacing w:after="0"/>
              <w:rPr>
                <w:sz w:val="8"/>
                <w:szCs w:val="8"/>
                <w:color w:val="auto"/>
              </w:rPr>
            </w:pPr>
          </w:p>
        </w:tc>
        <w:tc>
          <w:tcPr>
            <w:tcW w:w="7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September 30,</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86"/>
              </w:rPr>
              <w:t>June 30,</w:t>
            </w:r>
          </w:p>
        </w:tc>
        <w:tc>
          <w:tcPr>
            <w:tcW w:w="100" w:type="dxa"/>
            <w:vAlign w:val="bottom"/>
          </w:tcPr>
          <w:p>
            <w:pPr>
              <w:spacing w:after="0"/>
              <w:rPr>
                <w:sz w:val="8"/>
                <w:szCs w:val="8"/>
                <w:color w:val="auto"/>
              </w:rPr>
            </w:pPr>
          </w:p>
        </w:tc>
        <w:tc>
          <w:tcPr>
            <w:tcW w:w="7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0"/>
              </w:rPr>
              <w:t>March 31,</w:t>
            </w:r>
          </w:p>
        </w:tc>
        <w:tc>
          <w:tcPr>
            <w:tcW w:w="60" w:type="dxa"/>
            <w:vAlign w:val="bottom"/>
          </w:tcPr>
          <w:p>
            <w:pPr>
              <w:spacing w:after="0"/>
              <w:rPr>
                <w:sz w:val="8"/>
                <w:szCs w:val="8"/>
                <w:color w:val="auto"/>
              </w:rPr>
            </w:pPr>
          </w:p>
        </w:tc>
        <w:tc>
          <w:tcPr>
            <w:tcW w:w="7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8"/>
                <w:szCs w:val="8"/>
                <w:color w:val="auto"/>
              </w:rPr>
            </w:pPr>
          </w:p>
        </w:tc>
        <w:tc>
          <w:tcPr>
            <w:tcW w:w="74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w w:val="87"/>
              </w:rPr>
              <w:t>September 30,</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6"/>
              </w:rPr>
              <w:t>June 30,</w:t>
            </w:r>
          </w:p>
        </w:tc>
        <w:tc>
          <w:tcPr>
            <w:tcW w:w="60" w:type="dxa"/>
            <w:vAlign w:val="bottom"/>
          </w:tcPr>
          <w:p>
            <w:pPr>
              <w:spacing w:after="0"/>
              <w:rPr>
                <w:sz w:val="8"/>
                <w:szCs w:val="8"/>
                <w:color w:val="auto"/>
              </w:rPr>
            </w:pPr>
          </w:p>
        </w:tc>
        <w:tc>
          <w:tcPr>
            <w:tcW w:w="66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94"/>
              </w:rPr>
              <w:t>March 31,</w:t>
            </w:r>
          </w:p>
        </w:tc>
        <w:tc>
          <w:tcPr>
            <w:tcW w:w="0" w:type="dxa"/>
            <w:vAlign w:val="bottom"/>
          </w:tcPr>
          <w:p>
            <w:pPr>
              <w:spacing w:after="0"/>
              <w:rPr>
                <w:sz w:val="1"/>
                <w:szCs w:val="1"/>
                <w:color w:val="auto"/>
              </w:rPr>
            </w:pPr>
          </w:p>
        </w:tc>
      </w:tr>
      <w:tr>
        <w:trPr>
          <w:trHeight w:val="135"/>
        </w:trPr>
        <w:tc>
          <w:tcPr>
            <w:tcW w:w="2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6"/>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1"/>
              </w:rPr>
              <w:t>2019</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2019</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2019</w:t>
            </w: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2018</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1"/>
              </w:rPr>
              <w:t>2018</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9"/>
              </w:rPr>
              <w:t>2018</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1"/>
              </w:rPr>
              <w:t>2018</w:t>
            </w:r>
          </w:p>
        </w:tc>
        <w:tc>
          <w:tcPr>
            <w:tcW w:w="0" w:type="dxa"/>
            <w:vAlign w:val="bottom"/>
          </w:tcPr>
          <w:p>
            <w:pPr>
              <w:spacing w:after="0"/>
              <w:rPr>
                <w:sz w:val="1"/>
                <w:szCs w:val="1"/>
                <w:color w:val="auto"/>
              </w:rPr>
            </w:pPr>
          </w:p>
        </w:tc>
      </w:tr>
      <w:tr>
        <w:trPr>
          <w:trHeight w:val="115"/>
        </w:trPr>
        <w:tc>
          <w:tcPr>
            <w:tcW w:w="222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Revenues</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0" w:type="dxa"/>
            <w:vAlign w:val="bottom"/>
            <w:gridSpan w:val="10"/>
            <w:shd w:val="clear" w:color="auto" w:fill="CCEEFF"/>
          </w:tcPr>
          <w:p>
            <w:pPr>
              <w:jc w:val="right"/>
              <w:ind w:right="526"/>
              <w:spacing w:after="0" w:line="115" w:lineRule="exact"/>
              <w:rPr>
                <w:sz w:val="20"/>
                <w:szCs w:val="20"/>
                <w:color w:val="auto"/>
              </w:rPr>
            </w:pPr>
            <w:r>
              <w:rPr>
                <w:rFonts w:ascii="Arial" w:cs="Arial" w:eastAsia="Arial" w:hAnsi="Arial"/>
                <w:sz w:val="11"/>
                <w:szCs w:val="11"/>
                <w:b w:val="1"/>
                <w:bCs w:val="1"/>
                <w:color w:val="auto"/>
              </w:rPr>
              <w:t>(in thousands, except share and per share data)</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120"/>
              <w:spacing w:after="0" w:line="122" w:lineRule="exact"/>
              <w:rPr>
                <w:sz w:val="20"/>
                <w:szCs w:val="20"/>
                <w:color w:val="auto"/>
              </w:rPr>
            </w:pPr>
            <w:r>
              <w:rPr>
                <w:rFonts w:ascii="Arial" w:cs="Arial" w:eastAsia="Arial" w:hAnsi="Arial"/>
                <w:sz w:val="11"/>
                <w:szCs w:val="11"/>
                <w:color w:val="auto"/>
              </w:rPr>
              <w:t>Transaction fees</w:t>
            </w: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104,245</w:t>
            </w:r>
          </w:p>
        </w:tc>
        <w:tc>
          <w:tcPr>
            <w:tcW w:w="1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112,746</w:t>
            </w:r>
          </w:p>
        </w:tc>
        <w:tc>
          <w:tcPr>
            <w:tcW w:w="6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103,952</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102,640</w:t>
            </w:r>
          </w:p>
        </w:tc>
        <w:tc>
          <w:tcPr>
            <w:tcW w:w="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97,130</w:t>
            </w: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92,582</w:t>
            </w:r>
          </w:p>
        </w:tc>
        <w:tc>
          <w:tcPr>
            <w:tcW w:w="1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91,030</w:t>
            </w:r>
          </w:p>
        </w:tc>
        <w:tc>
          <w:tcPr>
            <w:tcW w:w="1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90,139</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Subscription fees</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34,333</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35,387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34,566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34,445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33,052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33,157</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37,647</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36,326</w:t>
            </w:r>
          </w:p>
        </w:tc>
        <w:tc>
          <w:tcPr>
            <w:tcW w:w="0" w:type="dxa"/>
            <w:vAlign w:val="bottom"/>
          </w:tcPr>
          <w:p>
            <w:pPr>
              <w:spacing w:after="0"/>
              <w:rPr>
                <w:sz w:val="1"/>
                <w:szCs w:val="1"/>
                <w:color w:val="auto"/>
              </w:rPr>
            </w:pPr>
          </w:p>
        </w:tc>
      </w:tr>
      <w:tr>
        <w:trPr>
          <w:trHeight w:val="122"/>
        </w:trPr>
        <w:tc>
          <w:tcPr>
            <w:tcW w:w="2220" w:type="dxa"/>
            <w:vAlign w:val="bottom"/>
          </w:tcPr>
          <w:p>
            <w:pPr>
              <w:ind w:left="120"/>
              <w:spacing w:after="0" w:line="122" w:lineRule="exact"/>
              <w:rPr>
                <w:sz w:val="20"/>
                <w:szCs w:val="20"/>
                <w:color w:val="auto"/>
              </w:rPr>
            </w:pPr>
            <w:r>
              <w:rPr>
                <w:rFonts w:ascii="Arial" w:cs="Arial" w:eastAsia="Arial" w:hAnsi="Arial"/>
                <w:sz w:val="11"/>
                <w:szCs w:val="11"/>
                <w:color w:val="auto"/>
              </w:rPr>
              <w:t>Commissions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41,165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37,590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36,413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34,197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32,840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24,394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27,553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27,883</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Refinitiv market data fees</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15,383</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13,251</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13,385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13,616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13,467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12,533</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12,081</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12,237</w:t>
            </w:r>
          </w:p>
        </w:tc>
        <w:tc>
          <w:tcPr>
            <w:tcW w:w="0" w:type="dxa"/>
            <w:vAlign w:val="bottom"/>
          </w:tcPr>
          <w:p>
            <w:pPr>
              <w:spacing w:after="0"/>
              <w:rPr>
                <w:sz w:val="1"/>
                <w:szCs w:val="1"/>
                <w:color w:val="auto"/>
              </w:rPr>
            </w:pPr>
          </w:p>
        </w:tc>
      </w:tr>
      <w:tr>
        <w:trPr>
          <w:trHeight w:val="122"/>
        </w:trPr>
        <w:tc>
          <w:tcPr>
            <w:tcW w:w="2220" w:type="dxa"/>
            <w:vAlign w:val="bottom"/>
            <w:tcBorders>
              <w:bottom w:val="single" w:sz="8" w:color="CCEEFF"/>
            </w:tcBorders>
          </w:tcPr>
          <w:p>
            <w:pPr>
              <w:ind w:left="120"/>
              <w:spacing w:after="0" w:line="122" w:lineRule="exact"/>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2,182</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2,007</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2,169</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1,894</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2,148</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2,587</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2,704</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2,918</w:t>
            </w:r>
          </w:p>
        </w:tc>
        <w:tc>
          <w:tcPr>
            <w:tcW w:w="0" w:type="dxa"/>
            <w:vAlign w:val="bottom"/>
          </w:tcPr>
          <w:p>
            <w:pPr>
              <w:spacing w:after="0"/>
              <w:rPr>
                <w:sz w:val="1"/>
                <w:szCs w:val="1"/>
                <w:color w:val="auto"/>
              </w:rPr>
            </w:pPr>
          </w:p>
        </w:tc>
      </w:tr>
      <w:tr>
        <w:trPr>
          <w:trHeight w:val="115"/>
        </w:trPr>
        <w:tc>
          <w:tcPr>
            <w:tcW w:w="2220" w:type="dxa"/>
            <w:vAlign w:val="bottom"/>
            <w:shd w:val="clear" w:color="auto" w:fill="CCEEFF"/>
          </w:tcPr>
          <w:p>
            <w:pPr>
              <w:ind w:left="220"/>
              <w:spacing w:after="0" w:line="115" w:lineRule="exact"/>
              <w:rPr>
                <w:sz w:val="20"/>
                <w:szCs w:val="20"/>
                <w:color w:val="auto"/>
              </w:rPr>
            </w:pPr>
            <w:r>
              <w:rPr>
                <w:rFonts w:ascii="Arial" w:cs="Arial" w:eastAsia="Arial" w:hAnsi="Arial"/>
                <w:sz w:val="11"/>
                <w:szCs w:val="11"/>
                <w:b w:val="1"/>
                <w:bCs w:val="1"/>
                <w:color w:val="auto"/>
              </w:rPr>
              <w:t>Gross revenue</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197,308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200,981</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190,485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186,792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178,637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165,253</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171,015</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169,503</w:t>
            </w:r>
          </w:p>
        </w:tc>
        <w:tc>
          <w:tcPr>
            <w:tcW w:w="0" w:type="dxa"/>
            <w:vAlign w:val="bottom"/>
          </w:tcPr>
          <w:p>
            <w:pPr>
              <w:spacing w:after="0"/>
              <w:rPr>
                <w:sz w:val="1"/>
                <w:szCs w:val="1"/>
                <w:color w:val="auto"/>
              </w:rPr>
            </w:pPr>
          </w:p>
        </w:tc>
      </w:tr>
      <w:tr>
        <w:trPr>
          <w:trHeight w:val="122"/>
        </w:trPr>
        <w:tc>
          <w:tcPr>
            <w:tcW w:w="2220" w:type="dxa"/>
            <w:vAlign w:val="bottom"/>
          </w:tcPr>
          <w:p>
            <w:pPr>
              <w:ind w:left="120"/>
              <w:spacing w:after="0" w:line="122" w:lineRule="exact"/>
              <w:rPr>
                <w:sz w:val="20"/>
                <w:szCs w:val="20"/>
                <w:color w:val="auto"/>
              </w:rPr>
            </w:pPr>
            <w:r>
              <w:rPr>
                <w:rFonts w:ascii="Arial" w:cs="Arial" w:eastAsia="Arial" w:hAnsi="Arial"/>
                <w:sz w:val="11"/>
                <w:szCs w:val="11"/>
                <w:color w:val="auto"/>
              </w:rPr>
              <w:t>Contingent consideration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2,537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(19,297)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(10,070)</w:t>
            </w:r>
          </w:p>
        </w:tc>
        <w:tc>
          <w:tcPr>
            <w:tcW w:w="0" w:type="dxa"/>
            <w:vAlign w:val="bottom"/>
          </w:tcPr>
          <w:p>
            <w:pPr>
              <w:spacing w:after="0"/>
              <w:rPr>
                <w:sz w:val="1"/>
                <w:szCs w:val="1"/>
                <w:color w:val="auto"/>
              </w:rPr>
            </w:pPr>
          </w:p>
        </w:tc>
      </w:tr>
      <w:tr>
        <w:trPr>
          <w:trHeight w:val="115"/>
        </w:trPr>
        <w:tc>
          <w:tcPr>
            <w:tcW w:w="22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Net revenue</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197,308</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200,981</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190,485</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186,792</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178,637</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167,790</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151,718</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159,433</w:t>
            </w:r>
          </w:p>
        </w:tc>
        <w:tc>
          <w:tcPr>
            <w:tcW w:w="0" w:type="dxa"/>
            <w:vAlign w:val="bottom"/>
          </w:tcPr>
          <w:p>
            <w:pPr>
              <w:spacing w:after="0"/>
              <w:rPr>
                <w:sz w:val="1"/>
                <w:szCs w:val="1"/>
                <w:color w:val="auto"/>
              </w:rPr>
            </w:pPr>
          </w:p>
        </w:tc>
      </w:tr>
      <w:tr>
        <w:trPr>
          <w:trHeight w:val="115"/>
        </w:trPr>
        <w:tc>
          <w:tcPr>
            <w:tcW w:w="2220" w:type="dxa"/>
            <w:vAlign w:val="bottom"/>
          </w:tcPr>
          <w:p>
            <w:pPr>
              <w:spacing w:after="0" w:line="115" w:lineRule="exact"/>
              <w:rPr>
                <w:sz w:val="20"/>
                <w:szCs w:val="20"/>
                <w:color w:val="auto"/>
              </w:rPr>
            </w:pPr>
            <w:r>
              <w:rPr>
                <w:rFonts w:ascii="Arial" w:cs="Arial" w:eastAsia="Arial" w:hAnsi="Arial"/>
                <w:sz w:val="11"/>
                <w:szCs w:val="11"/>
                <w:b w:val="1"/>
                <w:bCs w:val="1"/>
                <w:color w:val="auto"/>
              </w:rPr>
              <w:t>Expenses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Employee compensation and benefits</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76,545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79,644</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95,995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77,273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80,436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69,076</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68,407</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71,570</w:t>
            </w:r>
          </w:p>
        </w:tc>
        <w:tc>
          <w:tcPr>
            <w:tcW w:w="0" w:type="dxa"/>
            <w:vAlign w:val="bottom"/>
          </w:tcPr>
          <w:p>
            <w:pPr>
              <w:spacing w:after="0"/>
              <w:rPr>
                <w:sz w:val="1"/>
                <w:szCs w:val="1"/>
                <w:color w:val="auto"/>
              </w:rPr>
            </w:pPr>
          </w:p>
        </w:tc>
      </w:tr>
      <w:tr>
        <w:trPr>
          <w:trHeight w:val="122"/>
        </w:trPr>
        <w:tc>
          <w:tcPr>
            <w:tcW w:w="2220" w:type="dxa"/>
            <w:vAlign w:val="bottom"/>
          </w:tcPr>
          <w:p>
            <w:pPr>
              <w:ind w:left="120"/>
              <w:spacing w:after="0" w:line="122" w:lineRule="exact"/>
              <w:rPr>
                <w:sz w:val="20"/>
                <w:szCs w:val="20"/>
                <w:color w:val="auto"/>
              </w:rPr>
            </w:pPr>
            <w:r>
              <w:rPr>
                <w:rFonts w:ascii="Arial" w:cs="Arial" w:eastAsia="Arial" w:hAnsi="Arial"/>
                <w:sz w:val="11"/>
                <w:szCs w:val="11"/>
                <w:color w:val="auto"/>
              </w:rPr>
              <w:t>Depreciation and amortization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36,402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35,133</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34,292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33,503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33,020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16,362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16,178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16,268</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Technology and communications</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10,199</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9,527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9,519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10,040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9,907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9,112</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9,023</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8,463</w:t>
            </w:r>
          </w:p>
        </w:tc>
        <w:tc>
          <w:tcPr>
            <w:tcW w:w="0" w:type="dxa"/>
            <w:vAlign w:val="bottom"/>
          </w:tcPr>
          <w:p>
            <w:pPr>
              <w:spacing w:after="0"/>
              <w:rPr>
                <w:sz w:val="1"/>
                <w:szCs w:val="1"/>
                <w:color w:val="auto"/>
              </w:rPr>
            </w:pPr>
          </w:p>
        </w:tc>
      </w:tr>
      <w:tr>
        <w:trPr>
          <w:trHeight w:val="122"/>
        </w:trPr>
        <w:tc>
          <w:tcPr>
            <w:tcW w:w="2220" w:type="dxa"/>
            <w:vAlign w:val="bottom"/>
          </w:tcPr>
          <w:p>
            <w:pPr>
              <w:ind w:left="120"/>
              <w:spacing w:after="0" w:line="122" w:lineRule="exact"/>
              <w:rPr>
                <w:sz w:val="20"/>
                <w:szCs w:val="20"/>
                <w:color w:val="auto"/>
              </w:rPr>
            </w:pPr>
            <w:r>
              <w:rPr>
                <w:rFonts w:ascii="Arial" w:cs="Arial" w:eastAsia="Arial" w:hAnsi="Arial"/>
                <w:sz w:val="11"/>
                <w:szCs w:val="11"/>
                <w:color w:val="auto"/>
              </w:rPr>
              <w:t>General and administrative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8,999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7,507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9,365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9,089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11,837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9,386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7,153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6,517</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Professional fees</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7,048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7,272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6,738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6,971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8,194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7,546</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7,276</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5,538</w:t>
            </w:r>
          </w:p>
        </w:tc>
        <w:tc>
          <w:tcPr>
            <w:tcW w:w="0" w:type="dxa"/>
            <w:vAlign w:val="bottom"/>
          </w:tcPr>
          <w:p>
            <w:pPr>
              <w:spacing w:after="0"/>
              <w:rPr>
                <w:sz w:val="1"/>
                <w:szCs w:val="1"/>
                <w:color w:val="auto"/>
              </w:rPr>
            </w:pPr>
          </w:p>
        </w:tc>
      </w:tr>
      <w:tr>
        <w:trPr>
          <w:trHeight w:val="122"/>
        </w:trPr>
        <w:tc>
          <w:tcPr>
            <w:tcW w:w="2220" w:type="dxa"/>
            <w:vAlign w:val="bottom"/>
            <w:tcBorders>
              <w:bottom w:val="single" w:sz="8" w:color="CCEEFF"/>
            </w:tcBorders>
          </w:tcPr>
          <w:p>
            <w:pPr>
              <w:ind w:left="120"/>
              <w:spacing w:after="0" w:line="122" w:lineRule="exact"/>
              <w:rPr>
                <w:sz w:val="20"/>
                <w:szCs w:val="20"/>
                <w:color w:val="auto"/>
              </w:rPr>
            </w:pPr>
            <w:r>
              <w:rPr>
                <w:rFonts w:ascii="Arial" w:cs="Arial" w:eastAsia="Arial" w:hAnsi="Arial"/>
                <w:sz w:val="11"/>
                <w:szCs w:val="11"/>
                <w:color w:val="auto"/>
              </w:rPr>
              <w:t>Occupancy</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3,786</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3,640</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3,621</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3,639</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3,308</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3,491</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3,519</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3,722</w:t>
            </w:r>
          </w:p>
        </w:tc>
        <w:tc>
          <w:tcPr>
            <w:tcW w:w="0" w:type="dxa"/>
            <w:vAlign w:val="bottom"/>
          </w:tcPr>
          <w:p>
            <w:pPr>
              <w:spacing w:after="0"/>
              <w:rPr>
                <w:sz w:val="1"/>
                <w:szCs w:val="1"/>
                <w:color w:val="auto"/>
              </w:rPr>
            </w:pPr>
          </w:p>
        </w:tc>
      </w:tr>
      <w:tr>
        <w:trPr>
          <w:trHeight w:val="115"/>
        </w:trPr>
        <w:tc>
          <w:tcPr>
            <w:tcW w:w="2220" w:type="dxa"/>
            <w:vAlign w:val="bottom"/>
            <w:shd w:val="clear" w:color="auto" w:fill="CCEEFF"/>
          </w:tcPr>
          <w:p>
            <w:pPr>
              <w:ind w:left="220"/>
              <w:spacing w:after="0" w:line="115" w:lineRule="exact"/>
              <w:rPr>
                <w:sz w:val="20"/>
                <w:szCs w:val="20"/>
                <w:color w:val="auto"/>
              </w:rPr>
            </w:pPr>
            <w:r>
              <w:rPr>
                <w:rFonts w:ascii="Arial" w:cs="Arial" w:eastAsia="Arial" w:hAnsi="Arial"/>
                <w:sz w:val="11"/>
                <w:szCs w:val="11"/>
                <w:b w:val="1"/>
                <w:bCs w:val="1"/>
                <w:color w:val="auto"/>
              </w:rPr>
              <w:t>Total expenses</w:t>
            </w: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142,979</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142,723</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159,530</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140,515</w:t>
            </w: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146,702</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114,973</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111,556</w:t>
            </w:r>
          </w:p>
        </w:tc>
        <w:tc>
          <w:tcPr>
            <w:tcW w:w="1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112,078</w:t>
            </w:r>
          </w:p>
        </w:tc>
        <w:tc>
          <w:tcPr>
            <w:tcW w:w="0" w:type="dxa"/>
            <w:vAlign w:val="bottom"/>
          </w:tcPr>
          <w:p>
            <w:pPr>
              <w:spacing w:after="0"/>
              <w:rPr>
                <w:sz w:val="1"/>
                <w:szCs w:val="1"/>
                <w:color w:val="auto"/>
              </w:rPr>
            </w:pPr>
          </w:p>
        </w:tc>
      </w:tr>
      <w:tr>
        <w:trPr>
          <w:trHeight w:val="115"/>
        </w:trPr>
        <w:tc>
          <w:tcPr>
            <w:tcW w:w="2220" w:type="dxa"/>
            <w:vAlign w:val="bottom"/>
          </w:tcPr>
          <w:p>
            <w:pPr>
              <w:spacing w:after="0" w:line="115" w:lineRule="exact"/>
              <w:rPr>
                <w:sz w:val="20"/>
                <w:szCs w:val="20"/>
                <w:color w:val="auto"/>
              </w:rPr>
            </w:pPr>
            <w:r>
              <w:rPr>
                <w:rFonts w:ascii="Arial" w:cs="Arial" w:eastAsia="Arial" w:hAnsi="Arial"/>
                <w:sz w:val="11"/>
                <w:szCs w:val="11"/>
                <w:b w:val="1"/>
                <w:bCs w:val="1"/>
                <w:color w:val="auto"/>
              </w:rPr>
              <w:t>Operating income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54,329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58,258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30,955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46,277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31,935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52,817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40,162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47,355</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w w:val="94"/>
              </w:rPr>
              <w:t>Tax receivable agreement liability adjustment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33,134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220" w:type="dxa"/>
            <w:vAlign w:val="bottom"/>
            <w:tcBorders>
              <w:bottom w:val="single" w:sz="8" w:color="CCEEFF"/>
            </w:tcBorders>
          </w:tcPr>
          <w:p>
            <w:pPr>
              <w:ind w:left="120"/>
              <w:spacing w:after="0" w:line="122" w:lineRule="exact"/>
              <w:rPr>
                <w:sz w:val="20"/>
                <w:szCs w:val="20"/>
                <w:color w:val="auto"/>
              </w:rPr>
            </w:pPr>
            <w:r>
              <w:rPr>
                <w:rFonts w:ascii="Arial" w:cs="Arial" w:eastAsia="Arial" w:hAnsi="Arial"/>
                <w:sz w:val="11"/>
                <w:szCs w:val="11"/>
                <w:color w:val="auto"/>
              </w:rPr>
              <w:t>Net interest income</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color w:val="auto"/>
              </w:rPr>
              <w:t>704</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636</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175</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858</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787</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673</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582</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471</w:t>
            </w:r>
          </w:p>
        </w:tc>
        <w:tc>
          <w:tcPr>
            <w:tcW w:w="0" w:type="dxa"/>
            <w:vAlign w:val="bottom"/>
          </w:tcPr>
          <w:p>
            <w:pPr>
              <w:spacing w:after="0"/>
              <w:rPr>
                <w:sz w:val="1"/>
                <w:szCs w:val="1"/>
                <w:color w:val="auto"/>
              </w:rPr>
            </w:pPr>
          </w:p>
        </w:tc>
      </w:tr>
      <w:tr>
        <w:trPr>
          <w:trHeight w:val="115"/>
        </w:trPr>
        <w:tc>
          <w:tcPr>
            <w:tcW w:w="222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Income before taxes</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88,167</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58,894</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31,130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47,135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32,722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53,490</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40,744</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47,826</w:t>
            </w: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Arial" w:cs="Arial" w:eastAsia="Arial" w:hAnsi="Arial"/>
                <w:sz w:val="11"/>
                <w:szCs w:val="11"/>
                <w:color w:val="auto"/>
              </w:rPr>
              <w:t>Provision for income taxes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(30,889)</w:t>
            </w:r>
          </w:p>
        </w:tc>
        <w:tc>
          <w:tcPr>
            <w:tcW w:w="60" w:type="dxa"/>
            <w:vAlign w:val="bottom"/>
          </w:tcPr>
          <w:p>
            <w:pPr>
              <w:spacing w:after="0"/>
              <w:rPr>
                <w:sz w:val="10"/>
                <w:szCs w:val="10"/>
                <w:color w:val="auto"/>
              </w:rPr>
            </w:pPr>
          </w:p>
        </w:tc>
        <w:tc>
          <w:tcPr>
            <w:tcW w:w="7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(10,316)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(6,314)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(4,783)</w:t>
            </w: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(3,415)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(7,535)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(1,847)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(2,518)</w:t>
            </w:r>
          </w:p>
        </w:tc>
        <w:tc>
          <w:tcPr>
            <w:tcW w:w="0" w:type="dxa"/>
            <w:vAlign w:val="bottom"/>
          </w:tcPr>
          <w:p>
            <w:pPr>
              <w:spacing w:after="0"/>
              <w:rPr>
                <w:sz w:val="1"/>
                <w:szCs w:val="1"/>
                <w:color w:val="auto"/>
              </w:rPr>
            </w:pPr>
          </w:p>
        </w:tc>
      </w:tr>
      <w:tr>
        <w:trPr>
          <w:trHeight w:val="135"/>
        </w:trPr>
        <w:tc>
          <w:tcPr>
            <w:tcW w:w="222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Net income</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57,278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48,578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24,816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42,352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29,307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45,955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38,897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45,308</w:t>
            </w:r>
          </w:p>
        </w:tc>
        <w:tc>
          <w:tcPr>
            <w:tcW w:w="0" w:type="dxa"/>
            <w:vAlign w:val="bottom"/>
          </w:tcPr>
          <w:p>
            <w:pPr>
              <w:spacing w:after="0"/>
              <w:rPr>
                <w:sz w:val="1"/>
                <w:szCs w:val="1"/>
                <w:color w:val="auto"/>
              </w:rPr>
            </w:pPr>
          </w:p>
        </w:tc>
      </w:tr>
      <w:tr>
        <w:trPr>
          <w:trHeight w:val="85"/>
        </w:trPr>
        <w:tc>
          <w:tcPr>
            <w:tcW w:w="2220" w:type="dxa"/>
            <w:vAlign w:val="bottom"/>
          </w:tcPr>
          <w:p>
            <w:pPr>
              <w:spacing w:after="0" w:line="85" w:lineRule="exact"/>
              <w:rPr>
                <w:sz w:val="20"/>
                <w:szCs w:val="20"/>
                <w:color w:val="auto"/>
              </w:rPr>
            </w:pPr>
            <w:r>
              <w:rPr>
                <w:rFonts w:ascii="Arial" w:cs="Arial" w:eastAsia="Arial" w:hAnsi="Arial"/>
                <w:sz w:val="9"/>
                <w:szCs w:val="9"/>
                <w:color w:val="auto"/>
              </w:rPr>
              <w:t>Net income attributable to non-controlling</w:t>
            </w: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40" w:type="dxa"/>
            <w:vAlign w:val="bottom"/>
            <w:vMerge w:val="restart"/>
          </w:tcPr>
          <w:p>
            <w:pPr>
              <w:spacing w:after="0"/>
              <w:rPr>
                <w:sz w:val="7"/>
                <w:szCs w:val="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15,949</w:t>
            </w:r>
          </w:p>
        </w:tc>
        <w:tc>
          <w:tcPr>
            <w:tcW w:w="100" w:type="dxa"/>
            <w:vAlign w:val="bottom"/>
          </w:tcPr>
          <w:p>
            <w:pPr>
              <w:spacing w:after="0"/>
              <w:rPr>
                <w:sz w:val="7"/>
                <w:szCs w:val="7"/>
                <w:color w:val="auto"/>
              </w:rPr>
            </w:pPr>
          </w:p>
        </w:tc>
        <w:tc>
          <w:tcPr>
            <w:tcW w:w="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18,966</w:t>
            </w: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11,988</w:t>
            </w: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220" w:type="dxa"/>
            <w:vAlign w:val="bottom"/>
          </w:tcPr>
          <w:p>
            <w:pPr>
              <w:spacing w:after="0" w:line="118" w:lineRule="exact"/>
              <w:rPr>
                <w:sz w:val="20"/>
                <w:szCs w:val="20"/>
                <w:color w:val="auto"/>
              </w:rPr>
            </w:pPr>
            <w:r>
              <w:rPr>
                <w:rFonts w:ascii="Arial" w:cs="Arial" w:eastAsia="Arial" w:hAnsi="Arial"/>
                <w:sz w:val="11"/>
                <w:szCs w:val="11"/>
                <w:color w:val="auto"/>
              </w:rPr>
              <w:t>interests</w:t>
            </w:r>
          </w:p>
        </w:tc>
        <w:tc>
          <w:tcPr>
            <w:tcW w:w="140" w:type="dxa"/>
            <w:vAlign w:val="bottom"/>
            <w:gridSpan w:val="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220" w:type="dxa"/>
            <w:vAlign w:val="bottom"/>
            <w:vMerge w:val="restart"/>
          </w:tcPr>
          <w:p>
            <w:pPr>
              <w:spacing w:after="0" w:line="122" w:lineRule="exact"/>
              <w:rPr>
                <w:sz w:val="20"/>
                <w:szCs w:val="20"/>
                <w:color w:val="auto"/>
              </w:rPr>
            </w:pPr>
            <w:r>
              <w:rPr>
                <w:rFonts w:ascii="Arial" w:cs="Arial" w:eastAsia="Arial" w:hAnsi="Arial"/>
                <w:sz w:val="11"/>
                <w:szCs w:val="11"/>
                <w:b w:val="1"/>
                <w:bCs w:val="1"/>
                <w:color w:val="auto"/>
                <w:w w:val="93"/>
              </w:rPr>
              <w:t>Net income attributable to Tradeweb Markets</w:t>
            </w: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220" w:type="dxa"/>
            <w:vAlign w:val="bottom"/>
            <w:vMerge w:val="continue"/>
          </w:tcPr>
          <w:p>
            <w:pPr>
              <w:spacing w:after="0"/>
              <w:rPr>
                <w:sz w:val="8"/>
                <w:szCs w:val="8"/>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41,329</w:t>
            </w:r>
          </w:p>
        </w:tc>
        <w:tc>
          <w:tcPr>
            <w:tcW w:w="10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29,612</w:t>
            </w:r>
          </w:p>
        </w:tc>
        <w:tc>
          <w:tcPr>
            <w:tcW w:w="60" w:type="dxa"/>
            <w:vAlign w:val="bottom"/>
          </w:tcPr>
          <w:p>
            <w:pPr>
              <w:spacing w:after="0"/>
              <w:rPr>
                <w:sz w:val="8"/>
                <w:szCs w:val="8"/>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12,828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220" w:type="dxa"/>
            <w:vAlign w:val="bottom"/>
          </w:tcPr>
          <w:p>
            <w:pPr>
              <w:spacing w:after="0" w:line="111" w:lineRule="exact"/>
              <w:rPr>
                <w:sz w:val="20"/>
                <w:szCs w:val="20"/>
                <w:color w:val="auto"/>
              </w:rPr>
            </w:pPr>
            <w:r>
              <w:rPr>
                <w:rFonts w:ascii="Arial" w:cs="Arial" w:eastAsia="Arial" w:hAnsi="Arial"/>
                <w:sz w:val="11"/>
                <w:szCs w:val="11"/>
                <w:b w:val="1"/>
                <w:bCs w:val="1"/>
                <w:color w:val="auto"/>
              </w:rPr>
              <w:t>Inc.</w:t>
            </w:r>
          </w:p>
        </w:tc>
        <w:tc>
          <w:tcPr>
            <w:tcW w:w="1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20" w:type="dxa"/>
            <w:vAlign w:val="bottom"/>
          </w:tcPr>
          <w:p>
            <w:pPr>
              <w:spacing w:after="0" w:line="113" w:lineRule="exact"/>
              <w:rPr>
                <w:sz w:val="20"/>
                <w:szCs w:val="20"/>
                <w:color w:val="auto"/>
              </w:rPr>
            </w:pPr>
            <w:r>
              <w:rPr>
                <w:rFonts w:ascii="Arial" w:cs="Arial" w:eastAsia="Arial" w:hAnsi="Arial"/>
                <w:sz w:val="11"/>
                <w:szCs w:val="11"/>
                <w:color w:val="auto"/>
              </w:rPr>
              <w:t xml:space="preserve">Earnings per share </w:t>
            </w:r>
            <w:r>
              <w:rPr>
                <w:rFonts w:ascii="Arial" w:cs="Arial" w:eastAsia="Arial" w:hAnsi="Arial"/>
                <w:sz w:val="11"/>
                <w:szCs w:val="11"/>
                <w:color w:val="auto"/>
                <w:vertAlign w:val="superscript"/>
              </w:rPr>
              <w:t>(1)</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Basic</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0" w:type="dxa"/>
            <w:vAlign w:val="bottom"/>
          </w:tcPr>
          <w:p>
            <w:pPr>
              <w:spacing w:after="0"/>
              <w:rPr>
                <w:sz w:val="1"/>
                <w:szCs w:val="1"/>
                <w:color w:val="auto"/>
              </w:rPr>
            </w:pPr>
          </w:p>
        </w:tc>
      </w:tr>
      <w:tr>
        <w:trPr>
          <w:trHeight w:val="116"/>
        </w:trPr>
        <w:tc>
          <w:tcPr>
            <w:tcW w:w="2220" w:type="dxa"/>
            <w:vAlign w:val="bottom"/>
            <w:tcBorders>
              <w:top w:val="single" w:sz="8" w:color="CCEEFF"/>
              <w:bottom w:val="single" w:sz="8" w:color="CCEEFF"/>
            </w:tcBorders>
          </w:tcPr>
          <w:p>
            <w:pPr>
              <w:ind w:left="120"/>
              <w:spacing w:after="0" w:line="109" w:lineRule="exact"/>
              <w:rPr>
                <w:sz w:val="20"/>
                <w:szCs w:val="20"/>
                <w:color w:val="auto"/>
              </w:rPr>
            </w:pPr>
            <w:r>
              <w:rPr>
                <w:rFonts w:ascii="Arial" w:cs="Arial" w:eastAsia="Arial" w:hAnsi="Arial"/>
                <w:sz w:val="11"/>
                <w:szCs w:val="11"/>
                <w:color w:val="auto"/>
              </w:rPr>
              <w:t>Diluted</w:t>
            </w:r>
          </w:p>
        </w:tc>
        <w:tc>
          <w:tcPr>
            <w:tcW w:w="80" w:type="dxa"/>
            <w:vAlign w:val="bottom"/>
            <w:tcBorders>
              <w:top w:val="single" w:sz="8" w:color="CCEEFF"/>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2"/>
          </w:tcPr>
          <w:p>
            <w:pPr>
              <w:jc w:val="right"/>
              <w:spacing w:after="0" w:line="109" w:lineRule="exact"/>
              <w:rPr>
                <w:sz w:val="20"/>
                <w:szCs w:val="20"/>
                <w:color w:val="auto"/>
              </w:rPr>
            </w:pPr>
            <w:r>
              <w:rPr>
                <w:rFonts w:ascii="Arial" w:cs="Arial" w:eastAsia="Arial" w:hAnsi="Arial"/>
                <w:sz w:val="11"/>
                <w:szCs w:val="11"/>
                <w:color w:val="auto"/>
              </w:rPr>
              <w:t>0.25</w:t>
            </w:r>
          </w:p>
        </w:tc>
        <w:tc>
          <w:tcPr>
            <w:tcW w:w="100" w:type="dxa"/>
            <w:vAlign w:val="bottom"/>
            <w:tcBorders>
              <w:top w:val="single" w:sz="8" w:color="CCEEFF"/>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0.20</w:t>
            </w:r>
          </w:p>
        </w:tc>
        <w:tc>
          <w:tcPr>
            <w:tcW w:w="60" w:type="dxa"/>
            <w:vAlign w:val="bottom"/>
            <w:tcBorders>
              <w:top w:val="single" w:sz="8" w:color="CCEEFF"/>
              <w:bottom w:val="single" w:sz="8" w:color="CCEEFF"/>
            </w:tcBorders>
          </w:tcPr>
          <w:p>
            <w:pPr>
              <w:spacing w:after="0"/>
              <w:rPr>
                <w:sz w:val="10"/>
                <w:szCs w:val="10"/>
                <w:color w:val="auto"/>
              </w:rPr>
            </w:pPr>
          </w:p>
        </w:tc>
        <w:tc>
          <w:tcPr>
            <w:tcW w:w="4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0.09</w:t>
            </w:r>
          </w:p>
        </w:tc>
        <w:tc>
          <w:tcPr>
            <w:tcW w:w="8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0.19</w:t>
            </w:r>
          </w:p>
        </w:tc>
        <w:tc>
          <w:tcPr>
            <w:tcW w:w="80" w:type="dxa"/>
            <w:vAlign w:val="bottom"/>
            <w:tcBorders>
              <w:top w:val="single" w:sz="8" w:color="CCEEFF"/>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0.13</w:t>
            </w:r>
          </w:p>
        </w:tc>
        <w:tc>
          <w:tcPr>
            <w:tcW w:w="80" w:type="dxa"/>
            <w:vAlign w:val="bottom"/>
            <w:tcBorders>
              <w:top w:val="single" w:sz="8" w:color="CCEEFF"/>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0.21</w:t>
            </w:r>
          </w:p>
        </w:tc>
        <w:tc>
          <w:tcPr>
            <w:tcW w:w="100" w:type="dxa"/>
            <w:vAlign w:val="bottom"/>
            <w:tcBorders>
              <w:top w:val="single" w:sz="8" w:color="CCEEFF"/>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0.18</w:t>
            </w:r>
          </w:p>
        </w:tc>
        <w:tc>
          <w:tcPr>
            <w:tcW w:w="160" w:type="dxa"/>
            <w:vAlign w:val="bottom"/>
            <w:tcBorders>
              <w:top w:val="single" w:sz="8" w:color="CCEEFF"/>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0.21</w:t>
            </w:r>
          </w:p>
        </w:tc>
        <w:tc>
          <w:tcPr>
            <w:tcW w:w="0" w:type="dxa"/>
            <w:vAlign w:val="bottom"/>
          </w:tcPr>
          <w:p>
            <w:pPr>
              <w:spacing w:after="0"/>
              <w:rPr>
                <w:sz w:val="1"/>
                <w:szCs w:val="1"/>
                <w:color w:val="auto"/>
              </w:rPr>
            </w:pPr>
          </w:p>
        </w:tc>
      </w:tr>
      <w:tr>
        <w:trPr>
          <w:trHeight w:val="122"/>
        </w:trPr>
        <w:tc>
          <w:tcPr>
            <w:tcW w:w="22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Weighted average shares outstanding</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220" w:type="dxa"/>
            <w:vAlign w:val="bottom"/>
          </w:tcPr>
          <w:p>
            <w:pPr>
              <w:ind w:left="120"/>
              <w:spacing w:after="0" w:line="112" w:lineRule="exact"/>
              <w:rPr>
                <w:sz w:val="20"/>
                <w:szCs w:val="20"/>
                <w:color w:val="auto"/>
              </w:rPr>
            </w:pPr>
            <w:r>
              <w:rPr>
                <w:rFonts w:ascii="Arial" w:cs="Arial" w:eastAsia="Arial" w:hAnsi="Arial"/>
                <w:sz w:val="11"/>
                <w:szCs w:val="11"/>
                <w:color w:val="auto"/>
              </w:rPr>
              <w:t>Basic</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spacing w:after="0" w:line="112" w:lineRule="exact"/>
              <w:rPr>
                <w:sz w:val="20"/>
                <w:szCs w:val="20"/>
                <w:color w:val="auto"/>
              </w:rPr>
            </w:pPr>
            <w:r>
              <w:rPr>
                <w:rFonts w:ascii="Arial" w:cs="Arial" w:eastAsia="Arial" w:hAnsi="Arial"/>
                <w:sz w:val="11"/>
                <w:szCs w:val="11"/>
                <w:color w:val="auto"/>
              </w:rPr>
              <w:t>157,950,550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142,935,206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142,933,192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222,222,197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222,221,628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w w:val="98"/>
              </w:rPr>
              <w:t>219,165,997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213,435,314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w w:val="98"/>
              </w:rPr>
              <w:t>213,435,321</w:t>
            </w:r>
          </w:p>
        </w:tc>
        <w:tc>
          <w:tcPr>
            <w:tcW w:w="0" w:type="dxa"/>
            <w:vAlign w:val="bottom"/>
          </w:tcPr>
          <w:p>
            <w:pPr>
              <w:spacing w:after="0"/>
              <w:rPr>
                <w:sz w:val="1"/>
                <w:szCs w:val="1"/>
                <w:color w:val="auto"/>
              </w:rPr>
            </w:pPr>
          </w:p>
        </w:tc>
      </w:tr>
      <w:tr>
        <w:trPr>
          <w:trHeight w:val="125"/>
        </w:trPr>
        <w:tc>
          <w:tcPr>
            <w:tcW w:w="2220" w:type="dxa"/>
            <w:vAlign w:val="bottom"/>
          </w:tcPr>
          <w:p>
            <w:pPr>
              <w:ind w:left="120"/>
              <w:spacing w:after="0" w:line="125" w:lineRule="exact"/>
              <w:rPr>
                <w:sz w:val="20"/>
                <w:szCs w:val="20"/>
                <w:color w:val="auto"/>
              </w:rPr>
            </w:pPr>
            <w:r>
              <w:rPr>
                <w:rFonts w:ascii="Arial" w:cs="Arial" w:eastAsia="Arial" w:hAnsi="Arial"/>
                <w:sz w:val="11"/>
                <w:szCs w:val="11"/>
                <w:color w:val="auto"/>
              </w:rPr>
              <w:t>Diluted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167,323,520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151,362,643</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150,847,183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223,320,457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222,243,851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w w:val="98"/>
              </w:rPr>
              <w:t>219,165,997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213,435,314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w w:val="98"/>
              </w:rPr>
              <w:t>213,435,321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-655320</wp:posOffset>
            </wp:positionV>
            <wp:extent cx="575437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5437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-72390</wp:posOffset>
            </wp:positionV>
            <wp:extent cx="5754370" cy="774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54370" cy="77470"/>
                    </a:xfrm>
                    <a:prstGeom prst="rect">
                      <a:avLst/>
                    </a:prstGeom>
                    <a:noFill/>
                  </pic:spPr>
                </pic:pic>
              </a:graphicData>
            </a:graphic>
          </wp:anchor>
        </w:drawing>
      </w:r>
    </w:p>
    <w:p>
      <w:pPr>
        <w:ind w:left="660" w:right="140" w:hanging="333"/>
        <w:spacing w:after="0" w:line="229" w:lineRule="auto"/>
        <w:tabs>
          <w:tab w:leader="none" w:pos="6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See Note 18 — Earnings Per Share for additional information.</w:t>
      </w:r>
    </w:p>
    <w:p>
      <w:pPr>
        <w:spacing w:after="0" w:line="18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Earnings per share for quarterly periods are based on the weighted average common shares outstanding in individual quarters; thus, the sum of earnings per share of the quarters may not equal the amounts reported for the full year.</w:t>
      </w:r>
    </w:p>
    <w:p>
      <w:pPr>
        <w:spacing w:after="0" w:line="120" w:lineRule="exact"/>
        <w:rPr>
          <w:sz w:val="20"/>
          <w:szCs w:val="20"/>
          <w:color w:val="auto"/>
        </w:rPr>
      </w:pPr>
    </w:p>
    <w:p>
      <w:pPr>
        <w:ind w:left="680" w:hanging="677"/>
        <w:spacing w:after="0"/>
        <w:tabs>
          <w:tab w:leader="none" w:pos="6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February 11, 2020, the board of directors of Tradeweb Markets Inc. declared a cash dividend of $0.08 per share of Class A common stock and Class B common stock for the first quarter of 2020. This dividend will be payable on March 16, 2020 to stockholders of record as of March 2, 2020.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6" w:name="page157"/>
    <w:bookmarkEnd w:id="15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324"/>
        <w:spacing w:after="0" w:line="217" w:lineRule="exact"/>
        <w:rPr>
          <w:sz w:val="20"/>
          <w:szCs w:val="20"/>
          <w:color w:val="auto"/>
        </w:rPr>
      </w:pPr>
      <w:r>
        <w:rPr>
          <w:rFonts w:ascii="Arial" w:cs="Arial" w:eastAsia="Arial" w:hAnsi="Arial"/>
          <w:sz w:val="16"/>
          <w:szCs w:val="16"/>
          <w:color w:val="auto"/>
        </w:rPr>
        <w:t>Our management has evaluated, under the supervision of our Chief Executive Officer and Chief Financial Officer, the effectiveness of our disclosure controls and procedures, as defined in Rule 13a</w:t>
      </w:r>
      <w:r>
        <w:rPr>
          <w:rFonts w:ascii="MS PGothic" w:cs="MS PGothic" w:eastAsia="MS PGothic" w:hAnsi="MS PGothic"/>
          <w:sz w:val="16"/>
          <w:szCs w:val="16"/>
          <w:color w:val="auto"/>
        </w:rPr>
        <w:t>‑</w:t>
      </w:r>
      <w:r>
        <w:rPr>
          <w:rFonts w:ascii="Arial" w:cs="Arial" w:eastAsia="Arial" w:hAnsi="Arial"/>
          <w:sz w:val="16"/>
          <w:szCs w:val="16"/>
          <w:color w:val="auto"/>
        </w:rPr>
        <w:t>15(e) of the Exchange Act,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Based on that evaluation, our Chief Executive Officer and Chief Financial Officer have concluded that our disclosure controls and procedures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due to a transition period established by the rules of the SEC for newly public companies. In addition, because we are an “emerging growth company” under the JOBS Act, our independent registered public accounting firm will not be required to attest to the effectiveness of our internal control over financial reporting for so long as we are an emerging growth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There were no changes to our internal control over financial reporting during the quarter ended December 31, 2019 that have materially affected, or that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providing the following disclosure in lieu of filing a Current Report on Form 8-K relating to Item 5.02— Departure of Directors or Certain Officers; Election of Directors; Appointment of Certain Officers; Compensatory Arrangements of Certain Officers of Form 8-K.</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February 14, 2020, James Spencer notified the board of directors of his intent to retire from the Company. Mr. Spencer will continue to serve as our Chief Technology Officer until a later date in April 2020, at which time the new Chief Technology Officer, Justin Peterson, will assume the role. Mr. Spencer will continue to serve as an employee of the Company until October 1, 2020 and will assist with the transition of his responsibilities and duties to Mr. Peterson. Mr. Spencer’s retirement will be effective as of October 1, 2020.</w:t>
      </w:r>
    </w:p>
    <w:p>
      <w:pPr>
        <w:spacing w:after="0" w:line="188"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The Company intends to provide Mr. Spencer with a discretionary cash payment at the time of his retirement in recognition of his service to the Company, the amount of which will be determined at a later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7" w:name="page158"/>
    <w:bookmarkEnd w:id="15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right="59" w:firstLine="324"/>
        <w:spacing w:after="0" w:line="264"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2020 Annual Meeting of Stockholders and is incorporated herein by reference. We will file such definitive proxy statement with the SEC pursuant to Regulation 14A within 120 days after the fiscal year ended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11. EXECUTIVE COMPENSATION.</w:t>
      </w:r>
    </w:p>
    <w:p>
      <w:pPr>
        <w:spacing w:after="0" w:line="229" w:lineRule="exact"/>
        <w:rPr>
          <w:sz w:val="20"/>
          <w:szCs w:val="20"/>
          <w:color w:val="auto"/>
        </w:rPr>
      </w:pPr>
    </w:p>
    <w:p>
      <w:pPr>
        <w:jc w:val="both"/>
        <w:ind w:right="59" w:firstLine="324"/>
        <w:spacing w:after="0" w:line="264"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2020 Annual Meeting of Stockholders and is incorporated herein by reference. We will file such definitive proxy statement with the SEC pursuant to Regulation 14A within 120 days after the fiscal year ended December 31, 2019.</w:t>
      </w:r>
    </w:p>
    <w:p>
      <w:pPr>
        <w:spacing w:after="0" w:line="191" w:lineRule="exact"/>
        <w:rPr>
          <w:sz w:val="20"/>
          <w:szCs w:val="20"/>
          <w:color w:val="auto"/>
        </w:rPr>
      </w:pPr>
    </w:p>
    <w:p>
      <w:pPr>
        <w:ind w:right="719"/>
        <w:spacing w:after="0" w:line="282" w:lineRule="auto"/>
        <w:rPr>
          <w:sz w:val="20"/>
          <w:szCs w:val="20"/>
          <w:color w:val="auto"/>
        </w:rPr>
      </w:pPr>
      <w:r>
        <w:rPr>
          <w:rFonts w:ascii="Arial" w:cs="Arial" w:eastAsia="Arial" w:hAnsi="Arial"/>
          <w:sz w:val="18"/>
          <w:szCs w:val="18"/>
          <w:b w:val="1"/>
          <w:bCs w:val="1"/>
          <w:color w:val="231F20"/>
        </w:rPr>
        <w:t>ITEM 12. SECURITY OWNERSHIP OF CERTAIN BENEFICIAL OWNERS AND MANAGEMENT AND RELATED STOCKHOLDER MATTERS.</w:t>
      </w:r>
    </w:p>
    <w:p>
      <w:pPr>
        <w:spacing w:after="0" w:line="166" w:lineRule="exact"/>
        <w:rPr>
          <w:sz w:val="20"/>
          <w:szCs w:val="20"/>
          <w:color w:val="auto"/>
        </w:rPr>
      </w:pPr>
    </w:p>
    <w:p>
      <w:pPr>
        <w:jc w:val="both"/>
        <w:ind w:right="59" w:firstLine="324"/>
        <w:spacing w:after="0" w:line="264"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2020 Annual Meeting of Stockholders and is incorporated herein by reference. We will file such definitive proxy statement with the SEC pursuant to Regulation 14A within 120 days after the fiscal year ended December 31,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13. CERTAIN RELATIONSHIPS AND RELATED TRANSACTIONS, AND DIRECTOR INDEPENDENCE.</w:t>
      </w:r>
    </w:p>
    <w:p>
      <w:pPr>
        <w:spacing w:after="0" w:line="229" w:lineRule="exact"/>
        <w:rPr>
          <w:sz w:val="20"/>
          <w:szCs w:val="20"/>
          <w:color w:val="auto"/>
        </w:rPr>
      </w:pPr>
    </w:p>
    <w:p>
      <w:pPr>
        <w:jc w:val="both"/>
        <w:ind w:right="59" w:firstLine="324"/>
        <w:spacing w:after="0" w:line="264"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2020 Annual Meeting of Stockholders and is incorporated herein by reference. We will file such definitive proxy statement with the SEC pursuant to Regulation 14A within 120 days after the fiscal year ended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14. PRINCIPAL ACCOUNTING FEES AND SERVICES.</w:t>
      </w:r>
    </w:p>
    <w:p>
      <w:pPr>
        <w:spacing w:after="0" w:line="229" w:lineRule="exact"/>
        <w:rPr>
          <w:sz w:val="20"/>
          <w:szCs w:val="20"/>
          <w:color w:val="auto"/>
        </w:rPr>
      </w:pPr>
    </w:p>
    <w:p>
      <w:pPr>
        <w:jc w:val="both"/>
        <w:ind w:right="59" w:firstLine="324"/>
        <w:spacing w:after="0" w:line="264" w:lineRule="auto"/>
        <w:rPr>
          <w:sz w:val="20"/>
          <w:szCs w:val="20"/>
          <w:color w:val="auto"/>
        </w:rPr>
      </w:pPr>
      <w:r>
        <w:rPr>
          <w:rFonts w:ascii="Arial" w:cs="Arial" w:eastAsia="Arial" w:hAnsi="Arial"/>
          <w:sz w:val="18"/>
          <w:szCs w:val="18"/>
          <w:color w:val="231F20"/>
        </w:rPr>
        <w:t>The information required by this item will be included in our definitive proxy statement for the 2020 Annual Meeting of Stockholders and is incorporated herein by reference. We will file such definitive proxy statement with the SEC pursuant to Regulation 14A within 120 days after the fiscal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8" w:name="page159"/>
    <w:bookmarkEnd w:id="15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15. EXHIBITS, FINANCIAL STATEMENT SCHEDULES.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(a)  1. Financial Statements.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231F20"/>
        </w:rPr>
        <w:t>The financial statements are set forth under Part II, Item 8. – “Financial Statements and Supplementary Data” of this Annual Report.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2. Financial Statement Schedules.</w:t>
      </w:r>
    </w:p>
    <w:p>
      <w:pPr>
        <w:spacing w:after="0" w:line="225"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231F20"/>
        </w:rPr>
        <w:t>Financial statement schedules have been omitted because they are not required, are not applicable or the required information is included in the financial statements or the notes thereto in Part II, Item 8. – “Financial Statements and Supplementary Data.”</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3. Exhibits.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The following exhibits are filed or furnished as a part of this Annual Report on Form 10-K: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80" w:type="dxa"/>
            <w:vAlign w:val="bottom"/>
            <w:gridSpan w:val="18"/>
          </w:tcPr>
          <w:p>
            <w:pPr>
              <w:jc w:val="right"/>
              <w:ind w:right="32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53"/>
        </w:trPr>
        <w:tc>
          <w:tcPr>
            <w:tcW w:w="11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70" w:lineRule="exact"/>
              <w:rPr>
                <w:sz w:val="20"/>
                <w:szCs w:val="20"/>
                <w:color w:val="auto"/>
              </w:rPr>
            </w:pPr>
            <w:r>
              <w:rPr>
                <w:rFonts w:ascii="Arial" w:cs="Arial" w:eastAsia="Arial" w:hAnsi="Arial"/>
                <w:sz w:val="18"/>
                <w:szCs w:val="18"/>
                <w:color w:val="auto"/>
              </w:rPr>
              <w:t>3.1</w:t>
            </w:r>
          </w:p>
        </w:tc>
        <w:tc>
          <w:tcPr>
            <w:tcW w:w="220" w:type="dxa"/>
            <w:vAlign w:val="bottom"/>
            <w:vMerge w:val="continue"/>
          </w:tcPr>
          <w:p>
            <w:pPr>
              <w:spacing w:after="0"/>
              <w:rPr>
                <w:sz w:val="14"/>
                <w:szCs w:val="14"/>
                <w:color w:val="auto"/>
              </w:rPr>
            </w:pPr>
          </w:p>
        </w:tc>
        <w:tc>
          <w:tcPr>
            <w:tcW w:w="7720" w:type="dxa"/>
            <w:vAlign w:val="bottom"/>
            <w:gridSpan w:val="20"/>
          </w:tcPr>
          <w:p>
            <w:pPr>
              <w:spacing w:after="0" w:line="170"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Amended and Restated Certificate of Incorporation of Tradeweb Markets Inc. (incorporated by reference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4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to Exhibit 3.1 to the Company’s Current Report on Form 8-K filed on April 9, 2019 (File No. 001-38860))</w:t>
              </w:r>
            </w:hyperlink>
          </w:p>
        </w:tc>
        <w:tc>
          <w:tcPr>
            <w:tcW w:w="180" w:type="dxa"/>
            <w:vAlign w:val="bottom"/>
            <w:tcBorders>
              <w:bottom w:val="single" w:sz="8" w:color="0000EE"/>
            </w:tcBorders>
            <w:gridSpan w:val="4"/>
          </w:tcPr>
          <w:p>
            <w:pPr>
              <w:jc w:val="right"/>
              <w:ind w:right="20"/>
              <w:spacing w:after="0" w:line="182" w:lineRule="exact"/>
              <w:rPr>
                <w:rFonts w:ascii="Arial" w:cs="Arial" w:eastAsia="Arial" w:hAnsi="Arial"/>
                <w:sz w:val="18"/>
                <w:szCs w:val="18"/>
                <w:color w:val="0000EE"/>
              </w:rPr>
            </w:pPr>
            <w:hyperlink r:id="rId206">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2"/>
              </w:rPr>
            </w:pPr>
            <w:hyperlink r:id="rId207">
              <w:r>
                <w:rPr>
                  <w:rFonts w:ascii="Arial" w:cs="Arial" w:eastAsia="Arial" w:hAnsi="Arial"/>
                  <w:sz w:val="18"/>
                  <w:szCs w:val="18"/>
                  <w:color w:val="0000EE"/>
                  <w:w w:val="92"/>
                </w:rPr>
                <w:t>Amended and Restated Bylaws of Tradeweb Markets Inc. (incorporated by reference to Exhibit 3.2 to the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207">
              <w:r>
                <w:rPr>
                  <w:rFonts w:ascii="Arial" w:cs="Arial" w:eastAsia="Arial" w:hAnsi="Arial"/>
                  <w:sz w:val="18"/>
                  <w:szCs w:val="18"/>
                  <w:color w:val="0000EE"/>
                </w:rPr>
                <w:t>Company’s Current Report on Form 8-K filed on April 9, 2019 (File No. 001-38860)).</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3"/>
              </w:rPr>
            </w:pPr>
            <w:hyperlink r:id="rId208">
              <w:r>
                <w:rPr>
                  <w:rFonts w:ascii="Arial" w:cs="Arial" w:eastAsia="Arial" w:hAnsi="Arial"/>
                  <w:sz w:val="18"/>
                  <w:szCs w:val="18"/>
                  <w:color w:val="0000EE"/>
                  <w:w w:val="93"/>
                </w:rPr>
                <w:t>Specimen Common Stock Certificate of Tradeweb Markets Inc. (incorporated by reference to Exhibit 4.1</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to the Company’s Registration Statement on Form S-1 (File No. 333-230115)).</w:t>
              </w:r>
            </w:hyperlink>
          </w:p>
        </w:tc>
        <w:tc>
          <w:tcPr>
            <w:tcW w:w="1880" w:type="dxa"/>
            <w:vAlign w:val="bottom"/>
            <w:tcBorders>
              <w:top w:val="single" w:sz="8" w:color="0000EE"/>
            </w:tcBorders>
            <w:gridSpan w:val="13"/>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7"/>
              </w:rPr>
            </w:pPr>
            <w:hyperlink w:anchor="page163">
              <w:r>
                <w:rPr>
                  <w:rFonts w:ascii="Arial" w:cs="Arial" w:eastAsia="Arial" w:hAnsi="Arial"/>
                  <w:sz w:val="18"/>
                  <w:szCs w:val="18"/>
                  <w:color w:val="0000EE"/>
                  <w:w w:val="97"/>
                </w:rPr>
                <w:t>Description of Securities Registered Pursuant to Section 12 of the Securities Exchange Act of 1934.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4"/>
              </w:rPr>
            </w:pPr>
            <w:hyperlink r:id="rId209">
              <w:r>
                <w:rPr>
                  <w:rFonts w:ascii="Arial" w:cs="Arial" w:eastAsia="Arial" w:hAnsi="Arial"/>
                  <w:sz w:val="18"/>
                  <w:szCs w:val="18"/>
                  <w:color w:val="0000EE"/>
                  <w:w w:val="94"/>
                </w:rPr>
                <w:t>Stockholders Agreement, dated as of April 8, 2019, by and among Tradeweb Markets Inc., Refinitiv US</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80" w:type="dxa"/>
            <w:vAlign w:val="bottom"/>
            <w:tcBorders>
              <w:top w:val="single" w:sz="8" w:color="0000EE"/>
            </w:tcBorders>
            <w:gridSpan w:val="14"/>
          </w:tcPr>
          <w:p>
            <w:pPr>
              <w:spacing w:after="0" w:line="182" w:lineRule="exact"/>
              <w:rPr>
                <w:rFonts w:ascii="Arial" w:cs="Arial" w:eastAsia="Arial" w:hAnsi="Arial"/>
                <w:sz w:val="18"/>
                <w:szCs w:val="18"/>
                <w:color w:val="0000EE"/>
                <w:w w:val="95"/>
              </w:rPr>
            </w:pPr>
            <w:hyperlink r:id="rId209">
              <w:r>
                <w:rPr>
                  <w:rFonts w:ascii="Arial" w:cs="Arial" w:eastAsia="Arial" w:hAnsi="Arial"/>
                  <w:sz w:val="18"/>
                  <w:szCs w:val="18"/>
                  <w:color w:val="0000EE"/>
                  <w:w w:val="95"/>
                </w:rPr>
                <w:t>PME LLC and Refinitiv Parent Limited (incorporated by reference to Exhibit 10.1 to the Company’s</w:t>
              </w:r>
            </w:hyperlink>
          </w:p>
        </w:tc>
        <w:tc>
          <w:tcPr>
            <w:tcW w:w="2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209">
              <w:r>
                <w:rPr>
                  <w:rFonts w:ascii="Arial" w:cs="Arial" w:eastAsia="Arial" w:hAnsi="Arial"/>
                  <w:sz w:val="18"/>
                  <w:szCs w:val="18"/>
                  <w:color w:val="0000EE"/>
                </w:rPr>
                <w:t>Quarterly Report on Form 10-Q filed on May 20, 2019 (File No. 001-38860)).</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6"/>
              </w:rPr>
            </w:pPr>
            <w:hyperlink r:id="rId210">
              <w:r>
                <w:rPr>
                  <w:rFonts w:ascii="Arial" w:cs="Arial" w:eastAsia="Arial" w:hAnsi="Arial"/>
                  <w:sz w:val="18"/>
                  <w:szCs w:val="18"/>
                  <w:color w:val="0000EE"/>
                  <w:w w:val="96"/>
                </w:rPr>
                <w:t>Registration Rights Agreement, dated as of April 8, 2019, by and among Tradeweb Markets Inc., the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60" w:type="dxa"/>
            <w:vAlign w:val="bottom"/>
            <w:tcBorders>
              <w:top w:val="single" w:sz="8" w:color="0000EE"/>
            </w:tcBorders>
            <w:gridSpan w:val="8"/>
          </w:tcPr>
          <w:p>
            <w:pPr>
              <w:spacing w:after="0" w:line="182"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Refinitiv Holders (as defined therein), the Bank Holders (as defined therein) and the other holders of</w:t>
              </w:r>
            </w:hyperlink>
          </w:p>
        </w:tc>
        <w:tc>
          <w:tcPr>
            <w:tcW w:w="40" w:type="dxa"/>
            <w:vAlign w:val="bottom"/>
            <w:gridSpan w:val="2"/>
          </w:tcPr>
          <w:p>
            <w:pPr>
              <w:spacing w:after="0"/>
              <w:rPr>
                <w:sz w:val="15"/>
                <w:szCs w:val="15"/>
                <w:color w:val="auto"/>
              </w:rPr>
            </w:pPr>
          </w:p>
        </w:tc>
        <w:tc>
          <w:tcPr>
            <w:tcW w:w="420" w:type="dxa"/>
            <w:vAlign w:val="bottom"/>
            <w:gridSpan w:val="10"/>
            <w:vMerge w:val="restart"/>
          </w:tcPr>
          <w:p>
            <w:pPr>
              <w:jc w:val="right"/>
              <w:ind w:right="300"/>
              <w:spacing w:after="0"/>
              <w:rPr>
                <w:rFonts w:ascii="Arial" w:cs="Arial" w:eastAsia="Arial" w:hAnsi="Arial"/>
                <w:sz w:val="17"/>
                <w:szCs w:val="17"/>
                <w:color w:val="0000EE"/>
                <w:w w:val="70"/>
              </w:rPr>
            </w:pPr>
            <w:hyperlink r:id="rId210">
              <w:r>
                <w:rPr>
                  <w:rFonts w:ascii="Arial" w:cs="Arial" w:eastAsia="Arial" w:hAnsi="Arial"/>
                  <w:sz w:val="17"/>
                  <w:szCs w:val="17"/>
                  <w:color w:val="0000EE"/>
                  <w:w w:val="70"/>
                </w:rPr>
                <w:t>to</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40" w:type="dxa"/>
            <w:vAlign w:val="bottom"/>
            <w:tcBorders>
              <w:top w:val="single" w:sz="8" w:color="0000EE"/>
            </w:tcBorders>
            <w:gridSpan w:val="7"/>
          </w:tcPr>
          <w:p>
            <w:pPr>
              <w:spacing w:after="0" w:line="182"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Registrable Securities (as defined therein) party thereto from time to time (incorporated by reference</w:t>
              </w:r>
            </w:hyperlink>
          </w:p>
        </w:tc>
        <w:tc>
          <w:tcPr>
            <w:tcW w:w="60" w:type="dxa"/>
            <w:vAlign w:val="bottom"/>
            <w:gridSpan w:val="3"/>
          </w:tcPr>
          <w:p>
            <w:pPr>
              <w:spacing w:after="0"/>
              <w:rPr>
                <w:sz w:val="15"/>
                <w:szCs w:val="15"/>
                <w:color w:val="auto"/>
              </w:rPr>
            </w:pPr>
          </w:p>
        </w:tc>
        <w:tc>
          <w:tcPr>
            <w:tcW w:w="42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20" w:type="dxa"/>
            <w:vAlign w:val="bottom"/>
            <w:tcBorders>
              <w:top w:val="single" w:sz="8" w:color="0000EE"/>
            </w:tcBorders>
            <w:gridSpan w:val="12"/>
          </w:tcPr>
          <w:p>
            <w:pPr>
              <w:spacing w:after="0" w:line="182" w:lineRule="exact"/>
              <w:rPr>
                <w:rFonts w:ascii="Arial" w:cs="Arial" w:eastAsia="Arial" w:hAnsi="Arial"/>
                <w:sz w:val="18"/>
                <w:szCs w:val="18"/>
                <w:color w:val="0000EE"/>
                <w:w w:val="94"/>
              </w:rPr>
            </w:pPr>
            <w:hyperlink r:id="rId210">
              <w:r>
                <w:rPr>
                  <w:rFonts w:ascii="Arial" w:cs="Arial" w:eastAsia="Arial" w:hAnsi="Arial"/>
                  <w:sz w:val="18"/>
                  <w:szCs w:val="18"/>
                  <w:color w:val="0000EE"/>
                  <w:w w:val="94"/>
                </w:rPr>
                <w:t>Exhibit 10.2 to the Company’s Quarterly Report on Form 10-Q filed on May 20, 2019 (File No. 001-</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6"/>
              </w:rPr>
            </w:pPr>
            <w:hyperlink r:id="rId210">
              <w:r>
                <w:rPr>
                  <w:rFonts w:ascii="Arial" w:cs="Arial" w:eastAsia="Arial" w:hAnsi="Arial"/>
                  <w:sz w:val="18"/>
                  <w:szCs w:val="18"/>
                  <w:color w:val="0000EE"/>
                  <w:w w:val="86"/>
                </w:rPr>
                <w:t>38860)</w:t>
              </w:r>
              <w:r>
                <w:rPr>
                  <w:rFonts w:ascii="Arial" w:cs="Arial" w:eastAsia="Arial" w:hAnsi="Arial"/>
                  <w:sz w:val="18"/>
                  <w:szCs w:val="18"/>
                  <w:u w:val="single" w:color="auto"/>
                  <w:color w:val="0000EE"/>
                  <w:w w:val="86"/>
                </w:rPr>
                <w:t>)</w:t>
              </w:r>
              <w:r>
                <w:rPr>
                  <w:rFonts w:ascii="Arial" w:cs="Arial" w:eastAsia="Arial" w:hAnsi="Arial"/>
                  <w:sz w:val="18"/>
                  <w:szCs w:val="18"/>
                  <w:color w:val="0000EE"/>
                  <w:w w:val="86"/>
                </w:rPr>
                <w:t>.</w:t>
              </w:r>
            </w:hyperlink>
          </w:p>
        </w:tc>
        <w:tc>
          <w:tcPr>
            <w:tcW w:w="640" w:type="dxa"/>
            <w:vAlign w:val="bottom"/>
            <w:tcBorders>
              <w:top w:val="single" w:sz="8" w:color="0000EE"/>
            </w:tcBorders>
          </w:tcPr>
          <w:p>
            <w:pPr>
              <w:spacing w:after="0"/>
              <w:rPr>
                <w:sz w:val="15"/>
                <w:szCs w:val="15"/>
                <w:color w:val="auto"/>
              </w:rPr>
            </w:pPr>
          </w:p>
        </w:tc>
        <w:tc>
          <w:tcPr>
            <w:tcW w:w="4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5"/>
              </w:rPr>
            </w:pPr>
            <w:hyperlink r:id="rId211">
              <w:r>
                <w:rPr>
                  <w:rFonts w:ascii="Arial" w:cs="Arial" w:eastAsia="Arial" w:hAnsi="Arial"/>
                  <w:sz w:val="18"/>
                  <w:szCs w:val="18"/>
                  <w:color w:val="0000EE"/>
                  <w:w w:val="95"/>
                </w:rPr>
                <w:t>Fifth Amended and Restated LLC Agreement of Tradeweb Markets LLC (incorporated by reference to</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0" w:type="dxa"/>
            <w:vAlign w:val="bottom"/>
            <w:tcBorders>
              <w:top w:val="single" w:sz="8" w:color="0000EE"/>
            </w:tcBorders>
            <w:gridSpan w:val="11"/>
          </w:tcPr>
          <w:p>
            <w:pPr>
              <w:spacing w:after="0" w:line="182" w:lineRule="exact"/>
              <w:rPr>
                <w:rFonts w:ascii="Arial" w:cs="Arial" w:eastAsia="Arial" w:hAnsi="Arial"/>
                <w:sz w:val="18"/>
                <w:szCs w:val="18"/>
                <w:color w:val="0000EE"/>
                <w:w w:val="93"/>
              </w:rPr>
            </w:pPr>
            <w:hyperlink r:id="rId211">
              <w:r>
                <w:rPr>
                  <w:rFonts w:ascii="Arial" w:cs="Arial" w:eastAsia="Arial" w:hAnsi="Arial"/>
                  <w:sz w:val="18"/>
                  <w:szCs w:val="18"/>
                  <w:color w:val="0000EE"/>
                  <w:w w:val="93"/>
                </w:rPr>
                <w:t>Exhibit 10.3 to the Company’s Quarterly Report on Form 10-Q filed on May 20, 2019 (File No. 001-</w:t>
              </w:r>
            </w:hyperlink>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6"/>
              </w:rPr>
            </w:pPr>
            <w:hyperlink r:id="rId211">
              <w:r>
                <w:rPr>
                  <w:rFonts w:ascii="Arial" w:cs="Arial" w:eastAsia="Arial" w:hAnsi="Arial"/>
                  <w:sz w:val="18"/>
                  <w:szCs w:val="18"/>
                  <w:color w:val="0000EE"/>
                  <w:w w:val="86"/>
                </w:rPr>
                <w:t>38860)</w:t>
              </w:r>
              <w:r>
                <w:rPr>
                  <w:rFonts w:ascii="Arial" w:cs="Arial" w:eastAsia="Arial" w:hAnsi="Arial"/>
                  <w:sz w:val="18"/>
                  <w:szCs w:val="18"/>
                  <w:u w:val="single" w:color="auto"/>
                  <w:color w:val="0000EE"/>
                  <w:w w:val="86"/>
                </w:rPr>
                <w:t>)</w:t>
              </w:r>
              <w:r>
                <w:rPr>
                  <w:rFonts w:ascii="Arial" w:cs="Arial" w:eastAsia="Arial" w:hAnsi="Arial"/>
                  <w:sz w:val="18"/>
                  <w:szCs w:val="18"/>
                  <w:color w:val="0000EE"/>
                  <w:w w:val="86"/>
                </w:rPr>
                <w:t>.</w:t>
              </w:r>
            </w:hyperlink>
          </w:p>
        </w:tc>
        <w:tc>
          <w:tcPr>
            <w:tcW w:w="640" w:type="dxa"/>
            <w:vAlign w:val="bottom"/>
            <w:tcBorders>
              <w:top w:val="single" w:sz="8" w:color="0000EE"/>
            </w:tcBorders>
          </w:tcPr>
          <w:p>
            <w:pPr>
              <w:spacing w:after="0"/>
              <w:rPr>
                <w:sz w:val="15"/>
                <w:szCs w:val="15"/>
                <w:color w:val="auto"/>
              </w:rPr>
            </w:pPr>
          </w:p>
        </w:tc>
        <w:tc>
          <w:tcPr>
            <w:tcW w:w="4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3"/>
              </w:rPr>
            </w:pPr>
            <w:hyperlink r:id="rId212">
              <w:r>
                <w:rPr>
                  <w:rFonts w:ascii="Arial" w:cs="Arial" w:eastAsia="Arial" w:hAnsi="Arial"/>
                  <w:sz w:val="18"/>
                  <w:szCs w:val="18"/>
                  <w:color w:val="0000EE"/>
                  <w:w w:val="93"/>
                </w:rPr>
                <w:t>Tax Receivable Agreement, dated as of April 8, 2019, by and among Tradeweb Markets Inc., Tradeweb</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Markets LLC and the members of Tradeweb Markets LLC from time to time party thereto (incorporated</w:t>
              </w:r>
            </w:hyperlink>
          </w:p>
        </w:tc>
        <w:tc>
          <w:tcPr>
            <w:tcW w:w="40" w:type="dxa"/>
            <w:vAlign w:val="bottom"/>
            <w:tcBorders>
              <w:bottom w:val="single" w:sz="8" w:color="0000EE"/>
            </w:tcBorders>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gridSpan w:val="20"/>
          </w:tcPr>
          <w:p>
            <w:pPr>
              <w:spacing w:after="0" w:line="182" w:lineRule="exact"/>
              <w:rPr>
                <w:rFonts w:ascii="Arial" w:cs="Arial" w:eastAsia="Arial" w:hAnsi="Arial"/>
                <w:sz w:val="18"/>
                <w:szCs w:val="18"/>
                <w:color w:val="0000EE"/>
                <w:w w:val="92"/>
              </w:rPr>
            </w:pPr>
            <w:hyperlink r:id="rId212">
              <w:r>
                <w:rPr>
                  <w:rFonts w:ascii="Arial" w:cs="Arial" w:eastAsia="Arial" w:hAnsi="Arial"/>
                  <w:sz w:val="18"/>
                  <w:szCs w:val="18"/>
                  <w:color w:val="0000EE"/>
                  <w:w w:val="92"/>
                </w:rPr>
                <w:t>by reference to Exhibit 10.4 to the Company’s Quarterly Report on Form 10-Q filed on May 20, 2019 (File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212">
              <w:r>
                <w:rPr>
                  <w:rFonts w:ascii="Arial" w:cs="Arial" w:eastAsia="Arial" w:hAnsi="Arial"/>
                  <w:sz w:val="18"/>
                  <w:szCs w:val="18"/>
                  <w:color w:val="0000EE"/>
                </w:rPr>
                <w:t>No. 001-38860)).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9"/>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0000EE"/>
            </w:tcBorders>
            <w:gridSpan w:val="2"/>
          </w:tcPr>
          <w:p>
            <w:pPr>
              <w:spacing w:after="0"/>
              <w:rPr>
                <w:sz w:val="24"/>
                <w:szCs w:val="24"/>
                <w:color w:val="auto"/>
              </w:rPr>
            </w:pPr>
          </w:p>
        </w:tc>
        <w:tc>
          <w:tcPr>
            <w:tcW w:w="4380" w:type="dxa"/>
            <w:vAlign w:val="bottom"/>
          </w:tcPr>
          <w:p>
            <w:pPr>
              <w:jc w:val="right"/>
              <w:ind w:right="2239"/>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59" w:name="page160"/>
    <w:bookmarkEnd w:id="15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40" w:type="dxa"/>
            <w:vAlign w:val="bottom"/>
            <w:gridSpan w:val="28"/>
          </w:tcPr>
          <w:p>
            <w:pPr>
              <w:ind w:left="14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53"/>
        </w:trPr>
        <w:tc>
          <w:tcPr>
            <w:tcW w:w="11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70" w:lineRule="exact"/>
              <w:rPr>
                <w:sz w:val="20"/>
                <w:szCs w:val="20"/>
                <w:color w:val="auto"/>
              </w:rPr>
            </w:pPr>
            <w:r>
              <w:rPr>
                <w:rFonts w:ascii="Arial" w:cs="Arial" w:eastAsia="Arial" w:hAnsi="Arial"/>
                <w:sz w:val="18"/>
                <w:szCs w:val="18"/>
                <w:color w:val="auto"/>
              </w:rPr>
              <w:t>10.5</w:t>
            </w:r>
          </w:p>
        </w:tc>
        <w:tc>
          <w:tcPr>
            <w:tcW w:w="220" w:type="dxa"/>
            <w:vAlign w:val="bottom"/>
            <w:vMerge w:val="continue"/>
          </w:tcPr>
          <w:p>
            <w:pPr>
              <w:spacing w:after="0"/>
              <w:rPr>
                <w:sz w:val="14"/>
                <w:szCs w:val="14"/>
                <w:color w:val="auto"/>
              </w:rPr>
            </w:pPr>
          </w:p>
        </w:tc>
        <w:tc>
          <w:tcPr>
            <w:tcW w:w="7760" w:type="dxa"/>
            <w:vAlign w:val="bottom"/>
            <w:gridSpan w:val="31"/>
          </w:tcPr>
          <w:p>
            <w:pPr>
              <w:spacing w:after="0" w:line="170" w:lineRule="exact"/>
              <w:rPr>
                <w:rFonts w:ascii="Arial" w:cs="Arial" w:eastAsia="Arial" w:hAnsi="Arial"/>
                <w:sz w:val="18"/>
                <w:szCs w:val="18"/>
                <w:color w:val="0000EE"/>
                <w:w w:val="99"/>
              </w:rPr>
            </w:pPr>
            <w:hyperlink r:id="rId213">
              <w:r>
                <w:rPr>
                  <w:rFonts w:ascii="Arial" w:cs="Arial" w:eastAsia="Arial" w:hAnsi="Arial"/>
                  <w:sz w:val="18"/>
                  <w:szCs w:val="18"/>
                  <w:color w:val="0000EE"/>
                  <w:w w:val="99"/>
                </w:rPr>
                <w:t>Restrictive Covenant Agreement, dated as of April 8, 2019, by and among the Refinitiv Entities (as</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60" w:type="dxa"/>
            <w:vAlign w:val="bottom"/>
            <w:tcBorders>
              <w:top w:val="single" w:sz="8" w:color="0000EE"/>
            </w:tcBorders>
            <w:gridSpan w:val="11"/>
          </w:tcPr>
          <w:p>
            <w:pPr>
              <w:spacing w:after="0" w:line="182"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defined therein), Tradeweb Markets LLC and Tradeweb Markets Inc. (incorporated by reference to</w:t>
              </w:r>
            </w:hyperlink>
          </w:p>
        </w:tc>
        <w:tc>
          <w:tcPr>
            <w:tcW w:w="600" w:type="dxa"/>
            <w:vAlign w:val="bottom"/>
            <w:gridSpan w:val="20"/>
          </w:tcPr>
          <w:p>
            <w:pPr>
              <w:spacing w:after="0" w:line="182" w:lineRule="exact"/>
              <w:rPr>
                <w:rFonts w:ascii="Arial" w:cs="Arial" w:eastAsia="Arial" w:hAnsi="Arial"/>
                <w:sz w:val="18"/>
                <w:szCs w:val="18"/>
                <w:color w:val="0000EE"/>
              </w:rPr>
            </w:pPr>
            <w:hyperlink r:id="rId213">
              <w:r>
                <w:rPr>
                  <w:rFonts w:ascii="Arial" w:cs="Arial" w:eastAsia="Arial" w:hAnsi="Arial"/>
                  <w:sz w:val="18"/>
                  <w:szCs w:val="18"/>
                  <w:color w:val="0000EE"/>
                </w:rPr>
                <w:t>Exhibit</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40" w:type="dxa"/>
            <w:vAlign w:val="bottom"/>
            <w:tcBorders>
              <w:top w:val="single" w:sz="8" w:color="0000EE"/>
            </w:tcBorders>
            <w:gridSpan w:val="30"/>
          </w:tcPr>
          <w:p>
            <w:pPr>
              <w:spacing w:after="0" w:line="182" w:lineRule="exact"/>
              <w:rPr>
                <w:rFonts w:ascii="Arial" w:cs="Arial" w:eastAsia="Arial" w:hAnsi="Arial"/>
                <w:sz w:val="18"/>
                <w:szCs w:val="18"/>
                <w:color w:val="0000EE"/>
                <w:w w:val="97"/>
              </w:rPr>
            </w:pPr>
            <w:hyperlink r:id="rId213">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5</w:t>
              </w:r>
              <w:r>
                <w:rPr>
                  <w:rFonts w:ascii="Arial" w:cs="Arial" w:eastAsia="Arial" w:hAnsi="Arial"/>
                  <w:sz w:val="18"/>
                  <w:szCs w:val="18"/>
                  <w:color w:val="0000EE"/>
                  <w:w w:val="97"/>
                </w:rPr>
                <w:t xml:space="preserve"> to the Company’s Quarterly Report on Form 10-Q filed on May 20, 2019 (File No. 001-38860)).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0"/>
                <w:szCs w:val="20"/>
                <w:color w:val="auto"/>
              </w:rPr>
            </w:pPr>
          </w:p>
        </w:tc>
        <w:tc>
          <w:tcPr>
            <w:tcW w:w="7760" w:type="dxa"/>
            <w:vAlign w:val="bottom"/>
            <w:gridSpan w:val="31"/>
          </w:tcPr>
          <w:p>
            <w:pPr>
              <w:spacing w:after="0"/>
              <w:rPr>
                <w:rFonts w:ascii="Arial" w:cs="Arial" w:eastAsia="Arial" w:hAnsi="Arial"/>
                <w:sz w:val="18"/>
                <w:szCs w:val="18"/>
                <w:color w:val="0000EE"/>
                <w:w w:val="96"/>
              </w:rPr>
            </w:pPr>
            <w:hyperlink r:id="rId214">
              <w:r>
                <w:rPr>
                  <w:rFonts w:ascii="Arial" w:cs="Arial" w:eastAsia="Arial" w:hAnsi="Arial"/>
                  <w:sz w:val="18"/>
                  <w:szCs w:val="18"/>
                  <w:color w:val="0000EE"/>
                  <w:w w:val="96"/>
                </w:rPr>
                <w:t>Credit Agreement, dated as of April 8, 2019, by and among Tradeweb Markets LLC, as borrower, the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60" w:type="dxa"/>
            <w:vAlign w:val="bottom"/>
            <w:gridSpan w:val="31"/>
          </w:tcPr>
          <w:p>
            <w:pPr>
              <w:spacing w:after="0" w:line="182" w:lineRule="exact"/>
              <w:rPr>
                <w:rFonts w:ascii="Arial" w:cs="Arial" w:eastAsia="Arial" w:hAnsi="Arial"/>
                <w:sz w:val="18"/>
                <w:szCs w:val="18"/>
                <w:color w:val="0000EE"/>
                <w:w w:val="92"/>
              </w:rPr>
            </w:pPr>
            <w:hyperlink r:id="rId214">
              <w:r>
                <w:rPr>
                  <w:rFonts w:ascii="Arial" w:cs="Arial" w:eastAsia="Arial" w:hAnsi="Arial"/>
                  <w:sz w:val="18"/>
                  <w:szCs w:val="18"/>
                  <w:color w:val="0000EE"/>
                  <w:w w:val="92"/>
                </w:rPr>
                <w:t>lenders party thereto and Citibank, N.A., as administrative agent, collateral agent, issuing bank and swing</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40" w:type="dxa"/>
            <w:vAlign w:val="bottom"/>
            <w:tcBorders>
              <w:top w:val="single" w:sz="8" w:color="0000EE"/>
              <w:bottom w:val="single" w:sz="8" w:color="0000EE"/>
            </w:tcBorders>
            <w:gridSpan w:val="25"/>
          </w:tcPr>
          <w:p>
            <w:pPr>
              <w:spacing w:after="0" w:line="182"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line lender, Citigroup Global Markets Inc., JPMorgan Chase Bank, N.A., Morgan Stanley Senior Funding,</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bottom w:val="single" w:sz="8" w:color="0000EE"/>
            </w:tcBorders>
            <w:gridSpan w:val="28"/>
          </w:tcPr>
          <w:p>
            <w:pPr>
              <w:spacing w:after="0" w:line="182" w:lineRule="exact"/>
              <w:rPr>
                <w:rFonts w:ascii="Arial" w:cs="Arial" w:eastAsia="Arial" w:hAnsi="Arial"/>
                <w:sz w:val="18"/>
                <w:szCs w:val="18"/>
                <w:color w:val="0000EE"/>
                <w:w w:val="90"/>
              </w:rPr>
            </w:pPr>
            <w:hyperlink r:id="rId214">
              <w:r>
                <w:rPr>
                  <w:rFonts w:ascii="Arial" w:cs="Arial" w:eastAsia="Arial" w:hAnsi="Arial"/>
                  <w:sz w:val="18"/>
                  <w:szCs w:val="18"/>
                  <w:color w:val="0000EE"/>
                  <w:w w:val="90"/>
                </w:rPr>
                <w:t>Inc. and Goldman Sachs Bank USA, as joint lead arrangers and joint bookrunners, JPMorgan Chase Bank,</w:t>
              </w:r>
            </w:hyperlink>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gridSpan w:val="29"/>
          </w:tcPr>
          <w:p>
            <w:pPr>
              <w:spacing w:after="0" w:line="182" w:lineRule="exact"/>
              <w:rPr>
                <w:rFonts w:ascii="Arial" w:cs="Arial" w:eastAsia="Arial" w:hAnsi="Arial"/>
                <w:sz w:val="18"/>
                <w:szCs w:val="18"/>
                <w:color w:val="0000EE"/>
                <w:w w:val="92"/>
              </w:rPr>
            </w:pPr>
            <w:hyperlink r:id="rId214">
              <w:r>
                <w:rPr>
                  <w:rFonts w:ascii="Arial" w:cs="Arial" w:eastAsia="Arial" w:hAnsi="Arial"/>
                  <w:sz w:val="18"/>
                  <w:szCs w:val="18"/>
                  <w:color w:val="0000EE"/>
                  <w:w w:val="92"/>
                </w:rPr>
                <w:t>N.A., as syndication agent, and Morgan Stanley Senior Funding, Inc. and Goldman Sachs Bank USA, as</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40" w:type="dxa"/>
            <w:vAlign w:val="bottom"/>
            <w:tcBorders>
              <w:top w:val="single" w:sz="8" w:color="0000EE"/>
            </w:tcBorders>
            <w:gridSpan w:val="20"/>
          </w:tcPr>
          <w:p>
            <w:pPr>
              <w:spacing w:after="0" w:line="182"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documentation agents (incorporated by reference to Exhibit 10.6 to the Company’s Quarterly Report 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2"/>
              </w:rPr>
            </w:pPr>
            <w:hyperlink r:id="rId214">
              <w:r>
                <w:rPr>
                  <w:rFonts w:ascii="Arial" w:cs="Arial" w:eastAsia="Arial" w:hAnsi="Arial"/>
                  <w:sz w:val="18"/>
                  <w:szCs w:val="18"/>
                  <w:color w:val="0000EE"/>
                  <w:w w:val="92"/>
                </w:rPr>
                <w:t>Form 10-Q filed on May 20, 2019 (File No. 001-38860)).</w:t>
              </w:r>
            </w:hyperlink>
          </w:p>
        </w:tc>
        <w:tc>
          <w:tcPr>
            <w:tcW w:w="332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20"/>
                <w:szCs w:val="20"/>
                <w:color w:val="auto"/>
              </w:rPr>
            </w:pPr>
          </w:p>
        </w:tc>
        <w:tc>
          <w:tcPr>
            <w:tcW w:w="7760" w:type="dxa"/>
            <w:vAlign w:val="bottom"/>
            <w:gridSpan w:val="31"/>
          </w:tcPr>
          <w:p>
            <w:pPr>
              <w:spacing w:after="0"/>
              <w:rPr>
                <w:rFonts w:ascii="Arial" w:cs="Arial" w:eastAsia="Arial" w:hAnsi="Arial"/>
                <w:sz w:val="18"/>
                <w:szCs w:val="18"/>
                <w:color w:val="0000EE"/>
                <w:w w:val="93"/>
              </w:rPr>
            </w:pPr>
            <w:hyperlink r:id="rId215">
              <w:r>
                <w:rPr>
                  <w:rFonts w:ascii="Arial" w:cs="Arial" w:eastAsia="Arial" w:hAnsi="Arial"/>
                  <w:sz w:val="18"/>
                  <w:szCs w:val="18"/>
                  <w:color w:val="0000EE"/>
                  <w:w w:val="93"/>
                </w:rPr>
                <w:t>Amendment No.1, dated as of November 7, 2019, among Tradeweb Markets LLC and each lender party</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00" w:type="dxa"/>
            <w:vAlign w:val="bottom"/>
            <w:tcBorders>
              <w:top w:val="single" w:sz="8" w:color="0000EE"/>
            </w:tcBorders>
            <w:gridSpan w:val="18"/>
          </w:tcPr>
          <w:p>
            <w:pPr>
              <w:spacing w:after="0" w:line="182" w:lineRule="exact"/>
              <w:rPr>
                <w:rFonts w:ascii="Arial" w:cs="Arial" w:eastAsia="Arial" w:hAnsi="Arial"/>
                <w:sz w:val="18"/>
                <w:szCs w:val="18"/>
                <w:color w:val="0000EE"/>
                <w:w w:val="94"/>
              </w:rPr>
            </w:pPr>
            <w:hyperlink r:id="rId215">
              <w:r>
                <w:rPr>
                  <w:rFonts w:ascii="Arial" w:cs="Arial" w:eastAsia="Arial" w:hAnsi="Arial"/>
                  <w:sz w:val="18"/>
                  <w:szCs w:val="18"/>
                  <w:color w:val="0000EE"/>
                  <w:w w:val="94"/>
                </w:rPr>
                <w:t>thereto, relating to Credit Agreement, dated as of April 8, 2019, among Tradeweb Markets LLC, the</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0" w:type="dxa"/>
            <w:vAlign w:val="bottom"/>
            <w:tcBorders>
              <w:top w:val="single" w:sz="8" w:color="0000EE"/>
            </w:tcBorders>
            <w:gridSpan w:val="12"/>
          </w:tcPr>
          <w:p>
            <w:pPr>
              <w:spacing w:after="0" w:line="182"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lenders party thereto and Citibank, N.A., as administrative agent, collateral agent, issuing bank and</w:t>
              </w:r>
            </w:hyperlink>
          </w:p>
        </w:tc>
        <w:tc>
          <w:tcPr>
            <w:tcW w:w="560" w:type="dxa"/>
            <w:vAlign w:val="bottom"/>
            <w:gridSpan w:val="19"/>
          </w:tcPr>
          <w:p>
            <w:pPr>
              <w:spacing w:after="0" w:line="182" w:lineRule="exact"/>
              <w:rPr>
                <w:rFonts w:ascii="Arial" w:cs="Arial" w:eastAsia="Arial" w:hAnsi="Arial"/>
                <w:sz w:val="18"/>
                <w:szCs w:val="18"/>
                <w:color w:val="0000EE"/>
              </w:rPr>
            </w:pPr>
            <w:hyperlink r:id="rId215">
              <w:r>
                <w:rPr>
                  <w:rFonts w:ascii="Arial" w:cs="Arial" w:eastAsia="Arial" w:hAnsi="Arial"/>
                  <w:sz w:val="18"/>
                  <w:szCs w:val="18"/>
                  <w:color w:val="0000EE"/>
                </w:rPr>
                <w:t>swing</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20" w:type="dxa"/>
            <w:vAlign w:val="bottom"/>
            <w:tcBorders>
              <w:top w:val="single" w:sz="8" w:color="0000EE"/>
            </w:tcBorders>
            <w:gridSpan w:val="24"/>
          </w:tcPr>
          <w:p>
            <w:pPr>
              <w:spacing w:after="0" w:line="182"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line lender (incorporated by reference to Exhibit 10.1 to the Company’s Quarterly Report on Form 10-Q</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215">
              <w:r>
                <w:rPr>
                  <w:rFonts w:ascii="Arial" w:cs="Arial" w:eastAsia="Arial" w:hAnsi="Arial"/>
                  <w:sz w:val="18"/>
                  <w:szCs w:val="18"/>
                  <w:color w:val="0000EE"/>
                </w:rPr>
                <w:t>filed on November 8, 2019 (File No. 001-38860)).</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0"/>
                <w:szCs w:val="20"/>
                <w:color w:val="auto"/>
              </w:rPr>
            </w:pPr>
          </w:p>
        </w:tc>
        <w:tc>
          <w:tcPr>
            <w:tcW w:w="7760" w:type="dxa"/>
            <w:vAlign w:val="bottom"/>
            <w:gridSpan w:val="31"/>
          </w:tcPr>
          <w:p>
            <w:pPr>
              <w:spacing w:after="0"/>
              <w:rPr>
                <w:rFonts w:ascii="Arial" w:cs="Arial" w:eastAsia="Arial" w:hAnsi="Arial"/>
                <w:sz w:val="18"/>
                <w:szCs w:val="18"/>
                <w:color w:val="0000EE"/>
                <w:w w:val="94"/>
              </w:rPr>
            </w:pPr>
            <w:hyperlink r:id="rId216">
              <w:r>
                <w:rPr>
                  <w:rFonts w:ascii="Arial" w:cs="Arial" w:eastAsia="Arial" w:hAnsi="Arial"/>
                  <w:sz w:val="18"/>
                  <w:szCs w:val="18"/>
                  <w:color w:val="0000EE"/>
                  <w:w w:val="94"/>
                </w:rPr>
                <w:t>Security Agreement, dated as of April 8, 2019, among the grantors identified therein and Citibank, N.A.,</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8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0"/>
              </w:rPr>
            </w:pPr>
            <w:hyperlink r:id="rId216">
              <w:r>
                <w:rPr>
                  <w:rFonts w:ascii="Arial" w:cs="Arial" w:eastAsia="Arial" w:hAnsi="Arial"/>
                  <w:sz w:val="18"/>
                  <w:szCs w:val="18"/>
                  <w:color w:val="0000EE"/>
                  <w:w w:val="90"/>
                </w:rPr>
                <w:t>as collateral agent (incorporated by reference to Exhibit 10.7 to the Company’s Quarterly Report on Form</w:t>
              </w:r>
            </w:hyperlink>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tcBorders>
              <w:bottom w:val="single" w:sz="8" w:color="0000EE"/>
            </w:tcBorders>
            <w:gridSpan w:val="5"/>
          </w:tcPr>
          <w:p>
            <w:pPr>
              <w:spacing w:after="0" w:line="182" w:lineRule="exact"/>
              <w:rPr>
                <w:rFonts w:ascii="Arial" w:cs="Arial" w:eastAsia="Arial" w:hAnsi="Arial"/>
                <w:sz w:val="18"/>
                <w:szCs w:val="18"/>
                <w:color w:val="0000EE"/>
                <w:w w:val="92"/>
              </w:rPr>
            </w:pPr>
            <w:hyperlink r:id="rId216">
              <w:r>
                <w:rPr>
                  <w:rFonts w:ascii="Arial" w:cs="Arial" w:eastAsia="Arial" w:hAnsi="Arial"/>
                  <w:sz w:val="18"/>
                  <w:szCs w:val="18"/>
                  <w:color w:val="0000EE"/>
                  <w:w w:val="92"/>
                </w:rPr>
                <w:t>10-Q filed on May 20, 2019 (File No. 001-38860)).</w:t>
              </w:r>
            </w:hyperlink>
          </w:p>
        </w:tc>
        <w:tc>
          <w:tcPr>
            <w:tcW w:w="396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10.8†</w:t>
            </w:r>
          </w:p>
        </w:tc>
        <w:tc>
          <w:tcPr>
            <w:tcW w:w="7140" w:type="dxa"/>
            <w:vAlign w:val="bottom"/>
            <w:tcBorders>
              <w:bottom w:val="single" w:sz="8" w:color="0000EE"/>
            </w:tcBorders>
            <w:gridSpan w:val="10"/>
          </w:tcPr>
          <w:p>
            <w:pPr>
              <w:spacing w:after="0"/>
              <w:rPr>
                <w:rFonts w:ascii="Arial" w:cs="Arial" w:eastAsia="Arial" w:hAnsi="Arial"/>
                <w:sz w:val="18"/>
                <w:szCs w:val="18"/>
                <w:color w:val="0000EE"/>
                <w:w w:val="91"/>
              </w:rPr>
            </w:pPr>
            <w:hyperlink r:id="rId217">
              <w:r>
                <w:rPr>
                  <w:rFonts w:ascii="Arial" w:cs="Arial" w:eastAsia="Arial" w:hAnsi="Arial"/>
                  <w:sz w:val="18"/>
                  <w:szCs w:val="18"/>
                  <w:color w:val="0000EE"/>
                  <w:w w:val="91"/>
                </w:rPr>
                <w:t>Employment Agreement by and between Lee Olesky and Tradeweb Markets LLC (incorporated by</w:t>
              </w:r>
            </w:hyperlink>
          </w:p>
        </w:tc>
        <w:tc>
          <w:tcPr>
            <w:tcW w:w="62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60" w:type="dxa"/>
            <w:vAlign w:val="bottom"/>
            <w:tcBorders>
              <w:bottom w:val="single" w:sz="8" w:color="0000EE"/>
            </w:tcBorders>
            <w:gridSpan w:val="21"/>
          </w:tcPr>
          <w:p>
            <w:pPr>
              <w:spacing w:after="0" w:line="182" w:lineRule="exact"/>
              <w:rPr>
                <w:rFonts w:ascii="Arial" w:cs="Arial" w:eastAsia="Arial" w:hAnsi="Arial"/>
                <w:sz w:val="18"/>
                <w:szCs w:val="18"/>
                <w:color w:val="0000EE"/>
                <w:w w:val="91"/>
              </w:rPr>
            </w:pPr>
            <w:hyperlink r:id="rId217">
              <w:r>
                <w:rPr>
                  <w:rFonts w:ascii="Arial" w:cs="Arial" w:eastAsia="Arial" w:hAnsi="Arial"/>
                  <w:sz w:val="18"/>
                  <w:szCs w:val="18"/>
                  <w:color w:val="0000EE"/>
                  <w:w w:val="91"/>
                </w:rPr>
                <w:t>reference to Exhibit 10.8 to the Company’s Registration Statement on Form S-1 (File No. 333-230115)).</w:t>
              </w:r>
            </w:hyperlink>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10.9†</w:t>
            </w:r>
          </w:p>
        </w:tc>
        <w:tc>
          <w:tcPr>
            <w:tcW w:w="7260" w:type="dxa"/>
            <w:vAlign w:val="bottom"/>
            <w:tcBorders>
              <w:bottom w:val="single" w:sz="8" w:color="0000EE"/>
            </w:tcBorders>
            <w:gridSpan w:val="13"/>
          </w:tcPr>
          <w:p>
            <w:pPr>
              <w:spacing w:after="0"/>
              <w:rPr>
                <w:rFonts w:ascii="Arial" w:cs="Arial" w:eastAsia="Arial" w:hAnsi="Arial"/>
                <w:sz w:val="18"/>
                <w:szCs w:val="18"/>
                <w:color w:val="0000EE"/>
                <w:w w:val="91"/>
              </w:rPr>
            </w:pPr>
            <w:hyperlink r:id="rId218">
              <w:r>
                <w:rPr>
                  <w:rFonts w:ascii="Arial" w:cs="Arial" w:eastAsia="Arial" w:hAnsi="Arial"/>
                  <w:sz w:val="18"/>
                  <w:szCs w:val="18"/>
                  <w:color w:val="0000EE"/>
                  <w:w w:val="91"/>
                </w:rPr>
                <w:t>Employment Agreement by and between William Hult and Tradeweb Markets LLC (incorporated by</w:t>
              </w:r>
            </w:hyperlink>
          </w:p>
        </w:tc>
        <w:tc>
          <w:tcPr>
            <w:tcW w:w="50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60" w:type="dxa"/>
            <w:vAlign w:val="bottom"/>
            <w:tcBorders>
              <w:bottom w:val="single" w:sz="8" w:color="0000EE"/>
            </w:tcBorders>
            <w:gridSpan w:val="21"/>
          </w:tcPr>
          <w:p>
            <w:pPr>
              <w:spacing w:after="0" w:line="182"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reference to Exhibit 10.9 to the Company’s Registration Statement on Form S-1 (File No. 333-230115)).</w:t>
              </w:r>
            </w:hyperlink>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10.10†</w:t>
            </w:r>
          </w:p>
        </w:tc>
        <w:tc>
          <w:tcPr>
            <w:tcW w:w="7760" w:type="dxa"/>
            <w:vAlign w:val="bottom"/>
            <w:gridSpan w:val="31"/>
          </w:tcPr>
          <w:p>
            <w:pPr>
              <w:spacing w:after="0"/>
              <w:rPr>
                <w:rFonts w:ascii="Arial" w:cs="Arial" w:eastAsia="Arial" w:hAnsi="Arial"/>
                <w:sz w:val="18"/>
                <w:szCs w:val="18"/>
                <w:color w:val="0000EE"/>
                <w:w w:val="95"/>
              </w:rPr>
            </w:pPr>
            <w:hyperlink r:id="rId219">
              <w:r>
                <w:rPr>
                  <w:rFonts w:ascii="Arial" w:cs="Arial" w:eastAsia="Arial" w:hAnsi="Arial"/>
                  <w:sz w:val="18"/>
                  <w:szCs w:val="18"/>
                  <w:color w:val="0000EE"/>
                  <w:w w:val="95"/>
                </w:rPr>
                <w:t>Amended and Restated Tradeweb Markets Inc. 2018 Share Option Plan (incorporated by reference to</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00" w:type="dxa"/>
            <w:vAlign w:val="bottom"/>
            <w:tcBorders>
              <w:top w:val="single" w:sz="8" w:color="0000EE"/>
            </w:tcBorders>
            <w:gridSpan w:val="14"/>
          </w:tcPr>
          <w:p>
            <w:pPr>
              <w:spacing w:after="0" w:line="182"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Exhibit 10.8 to the Company’s Quarterly Report on Form 10-Q filed on May 20, 2019 (File No. 001-</w:t>
              </w:r>
            </w:hyperlink>
          </w:p>
        </w:tc>
        <w:tc>
          <w:tcPr>
            <w:tcW w:w="1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r:id="rId219">
              <w:r>
                <w:rPr>
                  <w:rFonts w:ascii="Arial" w:cs="Arial" w:eastAsia="Arial" w:hAnsi="Arial"/>
                  <w:sz w:val="18"/>
                  <w:szCs w:val="18"/>
                  <w:color w:val="0000EE"/>
                </w:rPr>
                <w:t>38860)</w:t>
              </w:r>
              <w:r>
                <w:rPr>
                  <w:rFonts w:ascii="Arial" w:cs="Arial" w:eastAsia="Arial" w:hAnsi="Arial"/>
                  <w:sz w:val="18"/>
                  <w:szCs w:val="18"/>
                  <w:u w:val="single" w:color="auto"/>
                  <w:color w:val="0000EE"/>
                </w:rPr>
                <w:t>)</w:t>
              </w:r>
              <w:r>
                <w:rPr>
                  <w:rFonts w:ascii="Arial" w:cs="Arial" w:eastAsia="Arial" w:hAnsi="Arial"/>
                  <w:sz w:val="18"/>
                  <w:szCs w:val="18"/>
                  <w:color w:val="0000EE"/>
                </w:rPr>
                <w:t>.</w:t>
              </w:r>
            </w:hyperlink>
          </w:p>
        </w:tc>
        <w:tc>
          <w:tcPr>
            <w:tcW w:w="380" w:type="dxa"/>
            <w:vAlign w:val="bottom"/>
            <w:tcBorders>
              <w:top w:val="single" w:sz="8" w:color="0000EE"/>
            </w:tcBorders>
          </w:tcPr>
          <w:p>
            <w:pPr>
              <w:spacing w:after="0"/>
              <w:rPr>
                <w:sz w:val="15"/>
                <w:szCs w:val="15"/>
                <w:color w:val="auto"/>
              </w:rPr>
            </w:pPr>
          </w:p>
        </w:tc>
        <w:tc>
          <w:tcPr>
            <w:tcW w:w="19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10.11†</w:t>
            </w:r>
          </w:p>
        </w:tc>
        <w:tc>
          <w:tcPr>
            <w:tcW w:w="7760" w:type="dxa"/>
            <w:vAlign w:val="bottom"/>
            <w:gridSpan w:val="31"/>
          </w:tcPr>
          <w:p>
            <w:pPr>
              <w:spacing w:after="0"/>
              <w:rPr>
                <w:rFonts w:ascii="Arial" w:cs="Arial" w:eastAsia="Arial" w:hAnsi="Arial"/>
                <w:sz w:val="18"/>
                <w:szCs w:val="18"/>
                <w:color w:val="0000EE"/>
                <w:w w:val="92"/>
              </w:rPr>
            </w:pPr>
            <w:hyperlink r:id="rId220">
              <w:r>
                <w:rPr>
                  <w:rFonts w:ascii="Arial" w:cs="Arial" w:eastAsia="Arial" w:hAnsi="Arial"/>
                  <w:sz w:val="18"/>
                  <w:szCs w:val="18"/>
                  <w:color w:val="0000EE"/>
                  <w:w w:val="92"/>
                </w:rPr>
                <w:t>Form of Option Agreement under the Amended and Restated Tradeweb Markets Inc. 2018 Share Option</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560" w:type="dxa"/>
            <w:vAlign w:val="bottom"/>
            <w:tcBorders>
              <w:top w:val="single" w:sz="8" w:color="0000EE"/>
            </w:tcBorders>
            <w:gridSpan w:val="21"/>
          </w:tcPr>
          <w:p>
            <w:pPr>
              <w:spacing w:after="0" w:line="182" w:lineRule="exact"/>
              <w:rPr>
                <w:rFonts w:ascii="Arial" w:cs="Arial" w:eastAsia="Arial" w:hAnsi="Arial"/>
                <w:sz w:val="18"/>
                <w:szCs w:val="18"/>
                <w:color w:val="0000EE"/>
                <w:w w:val="92"/>
              </w:rPr>
            </w:pPr>
            <w:hyperlink r:id="rId220">
              <w:r>
                <w:rPr>
                  <w:rFonts w:ascii="Arial" w:cs="Arial" w:eastAsia="Arial" w:hAnsi="Arial"/>
                  <w:sz w:val="18"/>
                  <w:szCs w:val="18"/>
                  <w:color w:val="0000EE"/>
                  <w:w w:val="92"/>
                </w:rPr>
                <w:t>Plan (incorporated by reference to Exhibit 10.11 to the Company’s Registration Statement on Form S-1</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(File No. 333-230115)).</w:t>
              </w:r>
            </w:hyperlink>
          </w:p>
        </w:tc>
        <w:tc>
          <w:tcPr>
            <w:tcW w:w="5720" w:type="dxa"/>
            <w:vAlign w:val="bottom"/>
            <w:tcBorders>
              <w:top w:val="single" w:sz="8" w:color="0000EE"/>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10.12†</w:t>
            </w:r>
          </w:p>
        </w:tc>
        <w:tc>
          <w:tcPr>
            <w:tcW w:w="7760" w:type="dxa"/>
            <w:vAlign w:val="bottom"/>
            <w:gridSpan w:val="31"/>
          </w:tcPr>
          <w:p>
            <w:pPr>
              <w:spacing w:after="0"/>
              <w:rPr>
                <w:rFonts w:ascii="Arial" w:cs="Arial" w:eastAsia="Arial" w:hAnsi="Arial"/>
                <w:sz w:val="18"/>
                <w:szCs w:val="18"/>
                <w:color w:val="0000EE"/>
                <w:w w:val="92"/>
              </w:rPr>
            </w:pPr>
            <w:hyperlink r:id="rId221">
              <w:r>
                <w:rPr>
                  <w:rFonts w:ascii="Arial" w:cs="Arial" w:eastAsia="Arial" w:hAnsi="Arial"/>
                  <w:sz w:val="18"/>
                  <w:szCs w:val="18"/>
                  <w:color w:val="0000EE"/>
                  <w:w w:val="92"/>
                </w:rPr>
                <w:t>Amended &amp; Restated Tradeweb Markets Inc. PRSU Plan (incorporated by reference to Exhibit 10.9 to the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2"/>
              </w:rPr>
            </w:pPr>
            <w:hyperlink r:id="rId221">
              <w:r>
                <w:rPr>
                  <w:rFonts w:ascii="Arial" w:cs="Arial" w:eastAsia="Arial" w:hAnsi="Arial"/>
                  <w:sz w:val="18"/>
                  <w:szCs w:val="18"/>
                  <w:color w:val="0000EE"/>
                  <w:w w:val="92"/>
                </w:rPr>
                <w:t>Company’s Quarterly Report on Form 10-Q filed on May 20, 2019 (File No. 001-38860)).</w:t>
              </w:r>
            </w:hyperlink>
          </w:p>
        </w:tc>
        <w:tc>
          <w:tcPr>
            <w:tcW w:w="1180" w:type="dxa"/>
            <w:vAlign w:val="bottom"/>
            <w:tcBorders>
              <w:top w:val="single" w:sz="8" w:color="0000EE"/>
            </w:tcBorders>
            <w:gridSpan w:val="20"/>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10.13†</w:t>
            </w:r>
          </w:p>
        </w:tc>
        <w:tc>
          <w:tcPr>
            <w:tcW w:w="7760" w:type="dxa"/>
            <w:vAlign w:val="bottom"/>
            <w:gridSpan w:val="31"/>
          </w:tcPr>
          <w:p>
            <w:pPr>
              <w:spacing w:after="0"/>
              <w:rPr>
                <w:rFonts w:ascii="Arial" w:cs="Arial" w:eastAsia="Arial" w:hAnsi="Arial"/>
                <w:sz w:val="18"/>
                <w:szCs w:val="18"/>
                <w:color w:val="0000EE"/>
              </w:rPr>
            </w:pPr>
            <w:hyperlink r:id="rId222">
              <w:r>
                <w:rPr>
                  <w:rFonts w:ascii="Arial" w:cs="Arial" w:eastAsia="Arial" w:hAnsi="Arial"/>
                  <w:sz w:val="18"/>
                  <w:szCs w:val="18"/>
                  <w:color w:val="0000EE"/>
                </w:rPr>
                <w:t>Form of PRSU Agreement under the Amended &amp; Restated Tradeweb Markets Inc. PRSU Plan</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0" w:type="dxa"/>
            <w:vAlign w:val="bottom"/>
            <w:tcBorders>
              <w:top w:val="single" w:sz="8" w:color="0000EE"/>
            </w:tcBorders>
            <w:gridSpan w:val="8"/>
          </w:tcPr>
          <w:p>
            <w:pPr>
              <w:spacing w:after="0" w:line="182"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(incorporated by reference to Exhibit 10.13 to the Company’s Registration Statement on Form</w:t>
              </w:r>
            </w:hyperlink>
          </w:p>
        </w:tc>
        <w:tc>
          <w:tcPr>
            <w:tcW w:w="960" w:type="dxa"/>
            <w:vAlign w:val="bottom"/>
            <w:gridSpan w:val="23"/>
          </w:tcPr>
          <w:p>
            <w:pPr>
              <w:ind w:left="20"/>
              <w:spacing w:after="0" w:line="182" w:lineRule="exact"/>
              <w:rPr>
                <w:rFonts w:ascii="Arial" w:cs="Arial" w:eastAsia="Arial" w:hAnsi="Arial"/>
                <w:sz w:val="18"/>
                <w:szCs w:val="18"/>
                <w:color w:val="0000EE"/>
              </w:rPr>
            </w:pPr>
            <w:hyperlink r:id="rId222">
              <w:r>
                <w:rPr>
                  <w:rFonts w:ascii="Arial" w:cs="Arial" w:eastAsia="Arial" w:hAnsi="Arial"/>
                  <w:sz w:val="18"/>
                  <w:szCs w:val="18"/>
                  <w:color w:val="0000EE"/>
                </w:rPr>
                <w:t>S-1 (File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No. 333-230115)).</w:t>
              </w:r>
            </w:hyperlink>
          </w:p>
        </w:tc>
        <w:tc>
          <w:tcPr>
            <w:tcW w:w="6140" w:type="dxa"/>
            <w:vAlign w:val="bottom"/>
            <w:tcBorders>
              <w:top w:val="single" w:sz="8" w:color="0000EE"/>
            </w:tcBorders>
            <w:gridSpan w:val="15"/>
          </w:tcPr>
          <w:p>
            <w:pPr>
              <w:spacing w:after="0"/>
              <w:rPr>
                <w:sz w:val="15"/>
                <w:szCs w:val="15"/>
                <w:color w:val="auto"/>
              </w:rPr>
            </w:pPr>
          </w:p>
        </w:tc>
        <w:tc>
          <w:tcPr>
            <w:tcW w:w="120" w:type="dxa"/>
            <w:vAlign w:val="bottom"/>
            <w:gridSpan w:val="6"/>
          </w:tcPr>
          <w:p>
            <w:pPr>
              <w:spacing w:after="0"/>
              <w:rPr>
                <w:sz w:val="15"/>
                <w:szCs w:val="15"/>
                <w:color w:val="auto"/>
              </w:rPr>
            </w:pPr>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10.14†</w:t>
            </w:r>
          </w:p>
        </w:tc>
        <w:tc>
          <w:tcPr>
            <w:tcW w:w="7760" w:type="dxa"/>
            <w:vAlign w:val="bottom"/>
            <w:gridSpan w:val="31"/>
          </w:tcPr>
          <w:p>
            <w:pPr>
              <w:spacing w:after="0"/>
              <w:rPr>
                <w:rFonts w:ascii="Arial" w:cs="Arial" w:eastAsia="Arial" w:hAnsi="Arial"/>
                <w:sz w:val="18"/>
                <w:szCs w:val="18"/>
                <w:color w:val="0000EE"/>
                <w:w w:val="93"/>
              </w:rPr>
            </w:pPr>
            <w:hyperlink r:id="rId223">
              <w:r>
                <w:rPr>
                  <w:rFonts w:ascii="Arial" w:cs="Arial" w:eastAsia="Arial" w:hAnsi="Arial"/>
                  <w:sz w:val="18"/>
                  <w:szCs w:val="18"/>
                  <w:color w:val="0000EE"/>
                  <w:w w:val="93"/>
                </w:rPr>
                <w:t>Tradeweb Markets Inc. 2019 Omnibus Equity Incentive Plan (incorporated by reference to Exhibit 10.10</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223">
              <w:r>
                <w:rPr>
                  <w:rFonts w:ascii="Arial" w:cs="Arial" w:eastAsia="Arial" w:hAnsi="Arial"/>
                  <w:sz w:val="18"/>
                  <w:szCs w:val="18"/>
                  <w:color w:val="0000EE"/>
                </w:rPr>
                <w:t>to the Company’s Quarterly Report on Form 10-Q filed on May 20, 2019 (File No. 001-38860)).</w:t>
              </w:r>
            </w:hyperlink>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709"/>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Borders>
              <w:top w:val="single" w:sz="8" w:color="0000EE"/>
            </w:tcBorders>
            <w:gridSpan w:val="4"/>
          </w:tcPr>
          <w:p>
            <w:pPr>
              <w:ind w:left="3040"/>
              <w:spacing w:after="0"/>
              <w:rPr>
                <w:sz w:val="20"/>
                <w:szCs w:val="20"/>
                <w:color w:val="auto"/>
              </w:rPr>
            </w:pPr>
            <w:r>
              <w:rPr>
                <w:rFonts w:ascii="Arial" w:cs="Arial" w:eastAsia="Arial" w:hAnsi="Arial"/>
                <w:sz w:val="18"/>
                <w:szCs w:val="18"/>
                <w:color w:val="auto"/>
              </w:rPr>
              <w:t>160</w:t>
            </w: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60" w:name="page161"/>
    <w:bookmarkEnd w:id="16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gridSpan w:val="14"/>
          </w:tcPr>
          <w:p>
            <w:pPr>
              <w:ind w:left="1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53"/>
        </w:trPr>
        <w:tc>
          <w:tcPr>
            <w:tcW w:w="1140" w:type="dxa"/>
            <w:vAlign w:val="bottom"/>
            <w:tcBorders>
              <w:bottom w:val="single" w:sz="8" w:color="auto"/>
            </w:tcBorders>
          </w:tcPr>
          <w:p>
            <w:pPr>
              <w:spacing w:after="0"/>
              <w:rPr>
                <w:sz w:val="4"/>
                <w:szCs w:val="4"/>
                <w:color w:val="auto"/>
              </w:rPr>
            </w:pPr>
          </w:p>
        </w:tc>
        <w:tc>
          <w:tcPr>
            <w:tcW w:w="220" w:type="dxa"/>
            <w:vAlign w:val="bottom"/>
            <w:vMerge w:val="restart"/>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70" w:lineRule="exact"/>
              <w:rPr>
                <w:sz w:val="20"/>
                <w:szCs w:val="20"/>
                <w:color w:val="auto"/>
              </w:rPr>
            </w:pPr>
            <w:r>
              <w:rPr>
                <w:rFonts w:ascii="Arial" w:cs="Arial" w:eastAsia="Arial" w:hAnsi="Arial"/>
                <w:sz w:val="18"/>
                <w:szCs w:val="18"/>
                <w:color w:val="auto"/>
              </w:rPr>
              <w:t>10.15†</w:t>
            </w:r>
          </w:p>
        </w:tc>
        <w:tc>
          <w:tcPr>
            <w:tcW w:w="220" w:type="dxa"/>
            <w:vAlign w:val="bottom"/>
            <w:vMerge w:val="continue"/>
          </w:tcPr>
          <w:p>
            <w:pPr>
              <w:spacing w:after="0"/>
              <w:rPr>
                <w:sz w:val="14"/>
                <w:szCs w:val="14"/>
                <w:color w:val="auto"/>
              </w:rPr>
            </w:pPr>
          </w:p>
        </w:tc>
        <w:tc>
          <w:tcPr>
            <w:tcW w:w="7720" w:type="dxa"/>
            <w:vAlign w:val="bottom"/>
            <w:gridSpan w:val="20"/>
          </w:tcPr>
          <w:p>
            <w:pPr>
              <w:spacing w:after="0" w:line="170" w:lineRule="exact"/>
              <w:rPr>
                <w:rFonts w:ascii="Arial" w:cs="Arial" w:eastAsia="Arial" w:hAnsi="Arial"/>
                <w:sz w:val="18"/>
                <w:szCs w:val="18"/>
                <w:color w:val="0000EE"/>
                <w:w w:val="92"/>
              </w:rPr>
            </w:pPr>
            <w:hyperlink r:id="rId224">
              <w:r>
                <w:rPr>
                  <w:rFonts w:ascii="Arial" w:cs="Arial" w:eastAsia="Arial" w:hAnsi="Arial"/>
                  <w:sz w:val="18"/>
                  <w:szCs w:val="18"/>
                  <w:color w:val="0000EE"/>
                  <w:w w:val="92"/>
                </w:rPr>
                <w:t>Form of Director RSU Agreement under the Tradeweb Markets Inc. 2019 Omnibus Equity Incentive Plan</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20" w:type="dxa"/>
            <w:vAlign w:val="bottom"/>
            <w:tcBorders>
              <w:top w:val="single" w:sz="8" w:color="0000EE"/>
            </w:tcBorders>
            <w:gridSpan w:val="18"/>
          </w:tcPr>
          <w:p>
            <w:pPr>
              <w:spacing w:after="0" w:line="182" w:lineRule="exact"/>
              <w:rPr>
                <w:rFonts w:ascii="Arial" w:cs="Arial" w:eastAsia="Arial" w:hAnsi="Arial"/>
                <w:sz w:val="18"/>
                <w:szCs w:val="18"/>
                <w:color w:val="0000EE"/>
                <w:w w:val="94"/>
              </w:rPr>
            </w:pPr>
            <w:hyperlink r:id="rId224">
              <w:r>
                <w:rPr>
                  <w:rFonts w:ascii="Arial" w:cs="Arial" w:eastAsia="Arial" w:hAnsi="Arial"/>
                  <w:sz w:val="18"/>
                  <w:szCs w:val="18"/>
                  <w:color w:val="0000EE"/>
                  <w:w w:val="94"/>
                </w:rPr>
                <w:t>(incorporated by reference to Exhibit 10.11 to the Company’s Quarterly Report on Form 10-Q filed on</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3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224">
              <w:r>
                <w:rPr>
                  <w:rFonts w:ascii="Arial" w:cs="Arial" w:eastAsia="Arial" w:hAnsi="Arial"/>
                  <w:sz w:val="18"/>
                  <w:szCs w:val="18"/>
                  <w:color w:val="0000EE"/>
                </w:rPr>
                <w:t>May 20, 2019 (File No. 001-38860)).</w:t>
              </w:r>
            </w:hyperlink>
          </w:p>
        </w:tc>
        <w:tc>
          <w:tcPr>
            <w:tcW w:w="1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10.16†</w:t>
            </w:r>
          </w:p>
        </w:tc>
        <w:tc>
          <w:tcPr>
            <w:tcW w:w="7720" w:type="dxa"/>
            <w:vAlign w:val="bottom"/>
            <w:gridSpan w:val="20"/>
          </w:tcPr>
          <w:p>
            <w:pPr>
              <w:spacing w:after="0"/>
              <w:rPr>
                <w:rFonts w:ascii="Arial" w:cs="Arial" w:eastAsia="Arial" w:hAnsi="Arial"/>
                <w:sz w:val="18"/>
                <w:szCs w:val="18"/>
                <w:color w:val="0000EE"/>
                <w:w w:val="99"/>
              </w:rPr>
            </w:pPr>
            <w:hyperlink r:id="rId225">
              <w:r>
                <w:rPr>
                  <w:rFonts w:ascii="Arial" w:cs="Arial" w:eastAsia="Arial" w:hAnsi="Arial"/>
                  <w:sz w:val="18"/>
                  <w:szCs w:val="18"/>
                  <w:color w:val="0000EE"/>
                  <w:w w:val="99"/>
                </w:rPr>
                <w:t>Form of Indemnification Agreement (incorporated by reference to Exhibit 10.16 to the Company’s</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225">
              <w:r>
                <w:rPr>
                  <w:rFonts w:ascii="Arial" w:cs="Arial" w:eastAsia="Arial" w:hAnsi="Arial"/>
                  <w:sz w:val="18"/>
                  <w:szCs w:val="18"/>
                  <w:color w:val="0000EE"/>
                </w:rPr>
                <w:t>Registration Statement on Form S-1 (File No. 333-230115)).</w:t>
              </w:r>
            </w:hyperlink>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8"/>
                <w:szCs w:val="18"/>
                <w:color w:val="231F20"/>
              </w:rPr>
              <w:t>+</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8"/>
              </w:rPr>
            </w:pPr>
            <w:hyperlink r:id="rId226">
              <w:r>
                <w:rPr>
                  <w:rFonts w:ascii="Arial" w:cs="Arial" w:eastAsia="Arial" w:hAnsi="Arial"/>
                  <w:sz w:val="18"/>
                  <w:szCs w:val="18"/>
                  <w:color w:val="0000EE"/>
                  <w:w w:val="98"/>
                </w:rPr>
                <w:t>Second Amended &amp; Restated Market Data Agreement, dated November 1, 2018, by and between</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0" w:type="dxa"/>
            <w:vAlign w:val="bottom"/>
            <w:tcBorders>
              <w:top w:val="single" w:sz="8" w:color="0000EE"/>
            </w:tcBorders>
            <w:gridSpan w:val="12"/>
          </w:tcPr>
          <w:p>
            <w:pPr>
              <w:spacing w:after="0" w:line="182" w:lineRule="exact"/>
              <w:rPr>
                <w:rFonts w:ascii="Arial" w:cs="Arial" w:eastAsia="Arial" w:hAnsi="Arial"/>
                <w:sz w:val="18"/>
                <w:szCs w:val="18"/>
                <w:color w:val="0000EE"/>
                <w:w w:val="95"/>
              </w:rPr>
            </w:pPr>
            <w:hyperlink r:id="rId226">
              <w:r>
                <w:rPr>
                  <w:rFonts w:ascii="Arial" w:cs="Arial" w:eastAsia="Arial" w:hAnsi="Arial"/>
                  <w:sz w:val="18"/>
                  <w:szCs w:val="18"/>
                  <w:color w:val="0000EE"/>
                  <w:w w:val="95"/>
                </w:rPr>
                <w:t>Tradeweb Markets LLC, Thomson Reuters (Markets) LLC and Thomson Reuters (GRC) Inc.</w:t>
              </w:r>
            </w:hyperlink>
          </w:p>
        </w:tc>
        <w:tc>
          <w:tcPr>
            <w:tcW w:w="1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20" w:type="dxa"/>
            <w:vAlign w:val="bottom"/>
            <w:tcBorders>
              <w:top w:val="single" w:sz="8" w:color="0000EE"/>
            </w:tcBorders>
            <w:gridSpan w:val="10"/>
          </w:tcPr>
          <w:p>
            <w:pPr>
              <w:spacing w:after="0" w:line="182" w:lineRule="exact"/>
              <w:rPr>
                <w:rFonts w:ascii="Arial" w:cs="Arial" w:eastAsia="Arial" w:hAnsi="Arial"/>
                <w:sz w:val="18"/>
                <w:szCs w:val="18"/>
                <w:color w:val="0000EE"/>
                <w:w w:val="89"/>
              </w:rPr>
            </w:pPr>
            <w:hyperlink r:id="rId226">
              <w:r>
                <w:rPr>
                  <w:rFonts w:ascii="Arial" w:cs="Arial" w:eastAsia="Arial" w:hAnsi="Arial"/>
                  <w:sz w:val="18"/>
                  <w:szCs w:val="18"/>
                  <w:color w:val="0000EE"/>
                  <w:w w:val="89"/>
                </w:rPr>
                <w:t>(incorporated by reference to Exhibit 10.14 to the Company’s Registration Statement on Form</w:t>
              </w:r>
            </w:hyperlink>
          </w:p>
        </w:tc>
        <w:tc>
          <w:tcPr>
            <w:tcW w:w="1000" w:type="dxa"/>
            <w:vAlign w:val="bottom"/>
            <w:gridSpan w:val="10"/>
          </w:tcPr>
          <w:p>
            <w:pPr>
              <w:ind w:left="100"/>
              <w:spacing w:after="0" w:line="182" w:lineRule="exact"/>
              <w:rPr>
                <w:rFonts w:ascii="Arial" w:cs="Arial" w:eastAsia="Arial" w:hAnsi="Arial"/>
                <w:sz w:val="18"/>
                <w:szCs w:val="18"/>
                <w:color w:val="0000EE"/>
              </w:rPr>
            </w:pPr>
            <w:hyperlink r:id="rId226">
              <w:r>
                <w:rPr>
                  <w:rFonts w:ascii="Arial" w:cs="Arial" w:eastAsia="Arial" w:hAnsi="Arial"/>
                  <w:sz w:val="18"/>
                  <w:szCs w:val="18"/>
                  <w:color w:val="0000EE"/>
                </w:rPr>
                <w:t>S-1 (File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0"/>
              </w:rPr>
            </w:pPr>
            <w:hyperlink r:id="rId226">
              <w:r>
                <w:rPr>
                  <w:rFonts w:ascii="Arial" w:cs="Arial" w:eastAsia="Arial" w:hAnsi="Arial"/>
                  <w:sz w:val="18"/>
                  <w:szCs w:val="18"/>
                  <w:color w:val="0000EE"/>
                  <w:w w:val="90"/>
                </w:rPr>
                <w:t>No. 333-230115)).</w:t>
              </w:r>
            </w:hyperlink>
          </w:p>
        </w:tc>
        <w:tc>
          <w:tcPr>
            <w:tcW w:w="6120" w:type="dxa"/>
            <w:vAlign w:val="bottom"/>
            <w:tcBorders>
              <w:top w:val="single" w:sz="8" w:color="0000EE"/>
            </w:tcBorders>
            <w:gridSpan w:val="15"/>
          </w:tcPr>
          <w:p>
            <w:pPr>
              <w:spacing w:after="0"/>
              <w:rPr>
                <w:sz w:val="15"/>
                <w:szCs w:val="15"/>
                <w:color w:val="auto"/>
              </w:rPr>
            </w:pP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List of Subsidiaries of Tradeweb Markets Inc.</w:t>
              </w:r>
            </w:hyperlink>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0"/>
                <w:szCs w:val="20"/>
                <w:color w:val="auto"/>
              </w:rPr>
            </w:pPr>
          </w:p>
        </w:tc>
        <w:tc>
          <w:tcPr>
            <w:tcW w:w="2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174">
              <w:r>
                <w:rPr>
                  <w:rFonts w:ascii="Arial" w:cs="Arial" w:eastAsia="Arial" w:hAnsi="Arial"/>
                  <w:sz w:val="18"/>
                  <w:szCs w:val="18"/>
                  <w:color w:val="0000EE"/>
                  <w:w w:val="91"/>
                </w:rPr>
                <w:t>Consent of Deloitte &amp; Touche LLP.</w:t>
              </w:r>
            </w:hyperlink>
          </w:p>
        </w:tc>
        <w:tc>
          <w:tcPr>
            <w:tcW w:w="740" w:type="dxa"/>
            <w:vAlign w:val="bottom"/>
            <w:tcBorders>
              <w:top w:val="single" w:sz="8" w:color="0000EE"/>
            </w:tcBorders>
            <w:gridSpan w:val="4"/>
          </w:tcPr>
          <w:p>
            <w:pPr>
              <w:spacing w:after="0"/>
              <w:rPr>
                <w:sz w:val="20"/>
                <w:szCs w:val="20"/>
                <w:color w:val="auto"/>
              </w:rPr>
            </w:pPr>
          </w:p>
        </w:tc>
        <w:tc>
          <w:tcPr>
            <w:tcW w:w="442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Consent of PricewaterhouseCoopers LLP.</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Certification of Chief Executive Officer pursuant to Rule 13a 14(a) or 15d 14(a) of the Securities</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gridSpan w:val="20"/>
          </w:tcPr>
          <w:p>
            <w:pPr>
              <w:spacing w:after="0" w:line="182" w:lineRule="exact"/>
              <w:rPr>
                <w:rFonts w:ascii="Arial" w:cs="Arial" w:eastAsia="Arial" w:hAnsi="Arial"/>
                <w:sz w:val="18"/>
                <w:szCs w:val="18"/>
                <w:color w:val="0000EE"/>
                <w:w w:val="94"/>
              </w:rPr>
            </w:pPr>
            <w:hyperlink w:anchor="page176">
              <w:r>
                <w:rPr>
                  <w:rFonts w:ascii="Arial" w:cs="Arial" w:eastAsia="Arial" w:hAnsi="Arial"/>
                  <w:sz w:val="18"/>
                  <w:szCs w:val="18"/>
                  <w:color w:val="0000EE"/>
                  <w:w w:val="94"/>
                </w:rPr>
                <w:t>Exchange Act of 1934, as amended, as adopted pursuant to Section 302 of the Sarbanes-Oxley Act of</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4"/>
              </w:rPr>
            </w:pPr>
            <w:hyperlink w:anchor="page176">
              <w:r>
                <w:rPr>
                  <w:rFonts w:ascii="Arial" w:cs="Arial" w:eastAsia="Arial" w:hAnsi="Arial"/>
                  <w:sz w:val="18"/>
                  <w:szCs w:val="18"/>
                  <w:color w:val="0000EE"/>
                  <w:w w:val="84"/>
                </w:rPr>
                <w:t>2002.</w:t>
              </w:r>
            </w:hyperlink>
          </w:p>
        </w:tc>
        <w:tc>
          <w:tcPr>
            <w:tcW w:w="94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0"/>
                <w:szCs w:val="20"/>
                <w:color w:val="auto"/>
              </w:rPr>
            </w:pPr>
          </w:p>
        </w:tc>
        <w:tc>
          <w:tcPr>
            <w:tcW w:w="7720" w:type="dxa"/>
            <w:vAlign w:val="bottom"/>
            <w:gridSpan w:val="20"/>
          </w:tcPr>
          <w:p>
            <w:pPr>
              <w:spacing w:after="0" w:line="207" w:lineRule="exact"/>
              <w:rPr>
                <w:rFonts w:ascii="Arial" w:cs="Arial" w:eastAsia="Arial" w:hAnsi="Arial"/>
                <w:sz w:val="18"/>
                <w:szCs w:val="18"/>
                <w:color w:val="0000EE"/>
              </w:rPr>
            </w:pPr>
            <w:hyperlink w:anchor="page177">
              <w:r>
                <w:rPr>
                  <w:rFonts w:ascii="Arial" w:cs="Arial" w:eastAsia="Arial" w:hAnsi="Arial"/>
                  <w:sz w:val="18"/>
                  <w:szCs w:val="18"/>
                  <w:color w:val="0000EE"/>
                </w:rPr>
                <w:t>Certification of Chief Financial Officer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or 15d</w:t>
              </w:r>
              <w:r>
                <w:rPr>
                  <w:rFonts w:ascii="MS PGothic" w:cs="MS PGothic" w:eastAsia="MS PGothic" w:hAnsi="MS PGothic"/>
                  <w:sz w:val="18"/>
                  <w:szCs w:val="18"/>
                  <w:color w:val="0000EE"/>
                </w:rPr>
                <w:t>‑</w:t>
              </w:r>
              <w:r>
                <w:rPr>
                  <w:rFonts w:ascii="Arial" w:cs="Arial" w:eastAsia="Arial" w:hAnsi="Arial"/>
                  <w:sz w:val="18"/>
                  <w:szCs w:val="18"/>
                  <w:color w:val="0000EE"/>
                </w:rPr>
                <w:t>14(a) of the Securities</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gridSpan w:val="20"/>
          </w:tcPr>
          <w:p>
            <w:pPr>
              <w:spacing w:after="0" w:line="182" w:lineRule="exact"/>
              <w:rPr>
                <w:rFonts w:ascii="Arial" w:cs="Arial" w:eastAsia="Arial" w:hAnsi="Arial"/>
                <w:sz w:val="18"/>
                <w:szCs w:val="18"/>
                <w:color w:val="0000EE"/>
                <w:w w:val="94"/>
              </w:rPr>
            </w:pPr>
            <w:hyperlink w:anchor="page177">
              <w:r>
                <w:rPr>
                  <w:rFonts w:ascii="Arial" w:cs="Arial" w:eastAsia="Arial" w:hAnsi="Arial"/>
                  <w:sz w:val="18"/>
                  <w:szCs w:val="18"/>
                  <w:color w:val="0000EE"/>
                  <w:w w:val="94"/>
                </w:rPr>
                <w:t>Exchange Act of 1934, as amended, as adopted pursuant to Section 302 of the Sarbanes-Oxley Act of</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4"/>
              </w:rPr>
            </w:pPr>
            <w:hyperlink w:anchor="page177">
              <w:r>
                <w:rPr>
                  <w:rFonts w:ascii="Arial" w:cs="Arial" w:eastAsia="Arial" w:hAnsi="Arial"/>
                  <w:sz w:val="18"/>
                  <w:szCs w:val="18"/>
                  <w:color w:val="0000EE"/>
                  <w:w w:val="84"/>
                </w:rPr>
                <w:t>2002.</w:t>
              </w:r>
            </w:hyperlink>
          </w:p>
        </w:tc>
        <w:tc>
          <w:tcPr>
            <w:tcW w:w="94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8"/>
              </w:rPr>
            </w:pPr>
            <w:hyperlink w:anchor="page178">
              <w:r>
                <w:rPr>
                  <w:rFonts w:ascii="Arial" w:cs="Arial" w:eastAsia="Arial" w:hAnsi="Arial"/>
                  <w:sz w:val="18"/>
                  <w:szCs w:val="18"/>
                  <w:color w:val="0000EE"/>
                  <w:w w:val="98"/>
                </w:rPr>
                <w:t>Certification of Chief Executive Officer pursuant to 18 U.S.C. Section 1350, as adopted pursuant to</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0"/>
              </w:rPr>
            </w:pPr>
            <w:hyperlink w:anchor="page178">
              <w:r>
                <w:rPr>
                  <w:rFonts w:ascii="Arial" w:cs="Arial" w:eastAsia="Arial" w:hAnsi="Arial"/>
                  <w:sz w:val="18"/>
                  <w:szCs w:val="18"/>
                  <w:color w:val="0000EE"/>
                  <w:w w:val="90"/>
                </w:rPr>
                <w:t>Section 906 of the Sarbanes-Oxley Act of 2002.</w:t>
              </w:r>
            </w:hyperlink>
          </w:p>
        </w:tc>
        <w:tc>
          <w:tcPr>
            <w:tcW w:w="3700" w:type="dxa"/>
            <w:vAlign w:val="bottom"/>
            <w:tcBorders>
              <w:top w:val="single" w:sz="8" w:color="0000EE"/>
            </w:tcBorders>
            <w:gridSpan w:val="6"/>
          </w:tcPr>
          <w:p>
            <w:pPr>
              <w:spacing w:after="0"/>
              <w:rPr>
                <w:sz w:val="15"/>
                <w:szCs w:val="15"/>
                <w:color w:val="auto"/>
              </w:rPr>
            </w:pPr>
          </w:p>
        </w:tc>
        <w:tc>
          <w:tcPr>
            <w:tcW w:w="5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0"/>
                <w:szCs w:val="20"/>
                <w:color w:val="auto"/>
              </w:rPr>
            </w:pPr>
          </w:p>
        </w:tc>
        <w:tc>
          <w:tcPr>
            <w:tcW w:w="7720" w:type="dxa"/>
            <w:vAlign w:val="bottom"/>
            <w:gridSpan w:val="20"/>
          </w:tcPr>
          <w:p>
            <w:pPr>
              <w:spacing w:after="0"/>
              <w:rPr>
                <w:rFonts w:ascii="Arial" w:cs="Arial" w:eastAsia="Arial" w:hAnsi="Arial"/>
                <w:sz w:val="18"/>
                <w:szCs w:val="18"/>
                <w:color w:val="0000EE"/>
                <w:w w:val="91"/>
              </w:rPr>
            </w:pPr>
            <w:hyperlink w:anchor="page179">
              <w:r>
                <w:rPr>
                  <w:rFonts w:ascii="Arial" w:cs="Arial" w:eastAsia="Arial" w:hAnsi="Arial"/>
                  <w:sz w:val="18"/>
                  <w:szCs w:val="18"/>
                  <w:color w:val="0000EE"/>
                  <w:w w:val="91"/>
                </w:rPr>
                <w:t>Certification of Chief Financial Officer pursuant to 18 U.S.C. Section 1350, as adopted pursuant to Section</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179">
              <w:r>
                <w:rPr>
                  <w:rFonts w:ascii="Arial" w:cs="Arial" w:eastAsia="Arial" w:hAnsi="Arial"/>
                  <w:sz w:val="18"/>
                  <w:szCs w:val="18"/>
                  <w:color w:val="0000EE"/>
                </w:rPr>
                <w:t>906 of the Sarbanes-Oxley Act of 2002.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8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48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72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57"/>
        </w:trPr>
        <w:tc>
          <w:tcPr>
            <w:tcW w:w="13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72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57"/>
        </w:trPr>
        <w:tc>
          <w:tcPr>
            <w:tcW w:w="13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72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57"/>
        </w:trPr>
        <w:tc>
          <w:tcPr>
            <w:tcW w:w="13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72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57"/>
        </w:trPr>
        <w:tc>
          <w:tcPr>
            <w:tcW w:w="13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72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hanging="737"/>
        <w:spacing w:after="0"/>
        <w:tabs>
          <w:tab w:leader="none" w:pos="740" w:val="left"/>
        </w:tabs>
        <w:numPr>
          <w:ilvl w:val="0"/>
          <w:numId w:val="104"/>
        </w:numPr>
        <w:rPr>
          <w:rFonts w:ascii="Arial" w:cs="Arial" w:eastAsia="Arial" w:hAnsi="Arial"/>
          <w:sz w:val="18"/>
          <w:szCs w:val="18"/>
          <w:color w:val="231F20"/>
        </w:rPr>
      </w:pPr>
      <w:r>
        <w:rPr>
          <w:rFonts w:ascii="Arial" w:cs="Arial" w:eastAsia="Arial" w:hAnsi="Arial"/>
          <w:sz w:val="18"/>
          <w:szCs w:val="18"/>
          <w:color w:val="231F20"/>
        </w:rPr>
        <w:t>Filed herewith.</w:t>
      </w:r>
    </w:p>
    <w:p>
      <w:pPr>
        <w:spacing w:after="0" w:line="117" w:lineRule="exact"/>
        <w:rPr>
          <w:sz w:val="20"/>
          <w:szCs w:val="20"/>
          <w:color w:val="auto"/>
        </w:rPr>
      </w:pPr>
    </w:p>
    <w:p>
      <w:pPr>
        <w:ind w:left="840" w:hanging="837"/>
        <w:spacing w:after="0"/>
        <w:tabs>
          <w:tab w:leader="none" w:pos="840" w:val="left"/>
        </w:tabs>
        <w:numPr>
          <w:ilvl w:val="0"/>
          <w:numId w:val="105"/>
        </w:numPr>
        <w:rPr>
          <w:rFonts w:ascii="Arial" w:cs="Arial" w:eastAsia="Arial" w:hAnsi="Arial"/>
          <w:sz w:val="18"/>
          <w:szCs w:val="18"/>
          <w:color w:val="231F20"/>
        </w:rPr>
      </w:pPr>
      <w:r>
        <w:rPr>
          <w:rFonts w:ascii="Arial" w:cs="Arial" w:eastAsia="Arial" w:hAnsi="Arial"/>
          <w:sz w:val="18"/>
          <w:szCs w:val="18"/>
          <w:color w:val="231F20"/>
        </w:rPr>
        <w:t>Furnished herewith.</w:t>
      </w:r>
    </w:p>
    <w:p>
      <w:pPr>
        <w:spacing w:after="0" w:line="117" w:lineRule="exact"/>
        <w:rPr>
          <w:sz w:val="20"/>
          <w:szCs w:val="20"/>
          <w:color w:val="auto"/>
        </w:rPr>
      </w:pPr>
    </w:p>
    <w:p>
      <w:pPr>
        <w:ind w:left="740" w:hanging="737"/>
        <w:spacing w:after="0"/>
        <w:tabs>
          <w:tab w:leader="none" w:pos="740" w:val="left"/>
        </w:tabs>
        <w:numPr>
          <w:ilvl w:val="0"/>
          <w:numId w:val="106"/>
        </w:numPr>
        <w:rPr>
          <w:rFonts w:ascii="Arial" w:cs="Arial" w:eastAsia="Arial" w:hAnsi="Arial"/>
          <w:sz w:val="18"/>
          <w:szCs w:val="18"/>
          <w:color w:val="auto"/>
        </w:rPr>
      </w:pPr>
      <w:r>
        <w:rPr>
          <w:rFonts w:ascii="Arial" w:cs="Arial" w:eastAsia="Arial" w:hAnsi="Arial"/>
          <w:sz w:val="18"/>
          <w:szCs w:val="18"/>
          <w:color w:val="231F20"/>
        </w:rPr>
        <w:t>Indicates a management contract or compensatory plan or arrangement.</w:t>
      </w:r>
    </w:p>
    <w:p>
      <w:pPr>
        <w:spacing w:after="0" w:line="117" w:lineRule="exact"/>
        <w:rPr>
          <w:sz w:val="20"/>
          <w:szCs w:val="20"/>
          <w:color w:val="auto"/>
        </w:rPr>
      </w:pPr>
    </w:p>
    <w:p>
      <w:pPr>
        <w:ind w:left="660" w:right="580" w:hanging="657"/>
        <w:spacing w:after="0" w:line="277" w:lineRule="auto"/>
        <w:tabs>
          <w:tab w:leader="none" w:pos="653" w:val="left"/>
        </w:tabs>
        <w:numPr>
          <w:ilvl w:val="0"/>
          <w:numId w:val="107"/>
        </w:numPr>
        <w:rPr>
          <w:rFonts w:ascii="Arial" w:cs="Arial" w:eastAsia="Arial" w:hAnsi="Arial"/>
          <w:sz w:val="18"/>
          <w:szCs w:val="18"/>
          <w:color w:val="231F20"/>
        </w:rPr>
      </w:pPr>
      <w:r>
        <w:rPr>
          <w:rFonts w:ascii="Arial" w:cs="Arial" w:eastAsia="Arial" w:hAnsi="Arial"/>
          <w:sz w:val="18"/>
          <w:szCs w:val="18"/>
          <w:color w:val="auto"/>
        </w:rPr>
        <w:t>Certain portions of this exhibit have been omitted and separately filed with the SEC pursuant to a request for confidential treatment which has been granted by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1" w:name="page162"/>
    <w:bookmarkEnd w:id="16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SIGNATURES</w:t>
      </w:r>
    </w:p>
    <w:p>
      <w:pPr>
        <w:spacing w:after="0" w:line="229"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231F20"/>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TRADEWEB MARKETS INC.</w:t>
            </w:r>
          </w:p>
        </w:tc>
      </w:tr>
      <w:tr>
        <w:trPr>
          <w:trHeight w:val="648"/>
        </w:trPr>
        <w:tc>
          <w:tcPr>
            <w:tcW w:w="2720" w:type="dxa"/>
            <w:vAlign w:val="bottom"/>
          </w:tcPr>
          <w:p>
            <w:pPr>
              <w:spacing w:after="0"/>
              <w:rPr>
                <w:sz w:val="20"/>
                <w:szCs w:val="20"/>
                <w:color w:val="auto"/>
              </w:rPr>
            </w:pPr>
            <w:r>
              <w:rPr>
                <w:rFonts w:ascii="Arial" w:cs="Arial" w:eastAsia="Arial" w:hAnsi="Arial"/>
                <w:sz w:val="18"/>
                <w:szCs w:val="18"/>
                <w:color w:val="auto"/>
              </w:rPr>
              <w:t>March 4, 2020</w:t>
            </w:r>
          </w:p>
        </w:tc>
        <w:tc>
          <w:tcPr>
            <w:tcW w:w="18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r>
      <w:tr>
        <w:trPr>
          <w:trHeight w:val="195"/>
        </w:trPr>
        <w:tc>
          <w:tcPr>
            <w:tcW w:w="27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By:  Lee Olesky</w:t>
            </w:r>
          </w:p>
        </w:tc>
      </w:tr>
      <w:tr>
        <w:trPr>
          <w:trHeight w:val="230"/>
        </w:trPr>
        <w:tc>
          <w:tcPr>
            <w:tcW w:w="2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520" w:type="dxa"/>
            <w:vAlign w:val="bottom"/>
          </w:tcPr>
          <w:p>
            <w:pPr>
              <w:ind w:left="380"/>
              <w:spacing w:after="0"/>
              <w:rPr>
                <w:sz w:val="20"/>
                <w:szCs w:val="20"/>
                <w:color w:val="auto"/>
              </w:rPr>
            </w:pPr>
            <w:r>
              <w:rPr>
                <w:rFonts w:ascii="Arial" w:cs="Arial" w:eastAsia="Arial" w:hAnsi="Arial"/>
                <w:sz w:val="18"/>
                <w:szCs w:val="18"/>
                <w:color w:val="auto"/>
              </w:rPr>
              <w:t>Chief Executive Officer</w:t>
            </w:r>
          </w:p>
        </w:tc>
      </w:tr>
      <w:tr>
        <w:trPr>
          <w:trHeight w:val="864"/>
        </w:trPr>
        <w:tc>
          <w:tcPr>
            <w:tcW w:w="2720" w:type="dxa"/>
            <w:vAlign w:val="bottom"/>
          </w:tcPr>
          <w:p>
            <w:pPr>
              <w:spacing w:after="0"/>
              <w:rPr>
                <w:sz w:val="24"/>
                <w:szCs w:val="24"/>
                <w:color w:val="auto"/>
              </w:rPr>
            </w:pPr>
          </w:p>
        </w:tc>
        <w:tc>
          <w:tcPr>
            <w:tcW w:w="6340" w:type="dxa"/>
            <w:vAlign w:val="bottom"/>
            <w:gridSpan w:val="2"/>
          </w:tcPr>
          <w:p>
            <w:pPr>
              <w:jc w:val="right"/>
              <w:ind w:right="4310"/>
              <w:spacing w:after="0"/>
              <w:rPr>
                <w:sz w:val="20"/>
                <w:szCs w:val="20"/>
                <w:color w:val="auto"/>
              </w:rPr>
            </w:pPr>
            <w:r>
              <w:rPr>
                <w:rFonts w:ascii="Arial" w:cs="Arial" w:eastAsia="Arial" w:hAnsi="Arial"/>
                <w:sz w:val="18"/>
                <w:szCs w:val="18"/>
                <w:color w:val="auto"/>
              </w:rPr>
              <w:t>162</w:t>
            </w:r>
          </w:p>
        </w:tc>
      </w:tr>
      <w:tr>
        <w:trPr>
          <w:trHeight w:val="561"/>
        </w:trPr>
        <w:tc>
          <w:tcPr>
            <w:tcW w:w="27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4.2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the date of the Annual Report on Form 10-K, of which this Exhibit 4.2 is a part, Tradeweb Markets Inc. has one class of securities registered under Section 12 of the Securities Exchange Act of 1934, as amended (the “Exchange Act”): its Class A common stock, par value $0.00001 per share. As used in this Exhibit 4.2, unless the context otherwise requires, references to “w</w:t>
      </w:r>
      <w:r>
        <w:rPr>
          <w:rFonts w:ascii="Arial" w:cs="Arial" w:eastAsia="Arial" w:hAnsi="Arial"/>
          <w:sz w:val="18"/>
          <w:szCs w:val="18"/>
          <w:i w:val="1"/>
          <w:iCs w:val="1"/>
          <w:color w:val="auto"/>
        </w:rPr>
        <w:t>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Tradeweb</w:t>
      </w:r>
      <w:r>
        <w:rPr>
          <w:rFonts w:ascii="Arial" w:cs="Arial" w:eastAsia="Arial" w:hAnsi="Arial"/>
          <w:sz w:val="18"/>
          <w:szCs w:val="18"/>
          <w:color w:val="auto"/>
        </w:rPr>
        <w:t>” and similar references refer to Tradeweb Markets Inc., and not to any of its subsidiaries. See “Certain Defined Terms” below for a summary of certain defined terms used in this Exhibit 4.2.</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description of our capital stock is a summary and does not purport to be complete. It is subject to and qualified in its entirety by our amended and restated certificate of incorporation and amended and restated bylaws, each of which is incorporated by reference as an exhibit to the Annual Report on Form 10-K, of which this Exhibit 4.2 is a part. We encourage you to read the amended and restated certificate of incorporation, amended and restated bylaws and the applicable provisions of the Delaware General Corporation Law (the “DCGL”), as well as the Stockholders Agreement (as defined below) and registration rights agreement entered into in connection with our IPO, both of which are incorporated by reference as exhibits to the Annual Report on Form 10-K, of which this Exhibit 4.2 is a part, for additional information.</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authorized capital stock consists of 1,000,000,000 shares of Class A common stock, par value $0.00001 per share, 450,000,000 shares of Class B common stock, par value $0.00001 per share, 350,000,000 shares of Class C common stock, par value $0.00001 per share, 300,000,000 shares of Class D common stock, par value $0.00001 per share, and 250,000,000 shares of preferred stock, par value $0.00001 per share. Unless our board of directors determines otherwise, we have issued and we will continue to issue all shares of our capital stock in uncertificated form.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A common stock unless they are declared or paid in the same amount in respect of Class B common stock, and vice versa. With respect to stock dividends, holders of Class A common stock must receive Class A common stock.</w:t>
      </w:r>
    </w:p>
    <w:p>
      <w:pPr>
        <w:spacing w:after="0" w:line="1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pari passu, an amount per share equal to the par value thereof and thereafter the holders of shares of our Class A common stock and Class B common stock will be entitled to share ratably our remaining assets available for distribution.</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outstanding shares of our Class A common stock are fully paid and non-assessable. The Class A common stock will not be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Holders of shares of our Class B common stock are entitled to ten votes for each share held of record on all matters on which stockholders are entitled to vote generally, including the election or removal of directors elected by our stockholders generally. The holders of our Class B common stock do not have cumulative voting rights in the election of directors.</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Holders of shares of our Class B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B common stock unless they are declared or paid in the same amount in respect of Class A common stock, and vice versa. With respect to stock dividends, holders of Class B common stock must receive Class B common stock.</w:t>
      </w:r>
    </w:p>
    <w:p>
      <w:pPr>
        <w:spacing w:after="0" w:line="13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B common stock and Class A common stock will be entitled to share ratably our remaining assets available for distribution.</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outstanding shares of our Class B common stock are fully paid and non-assessable. The Class B common stock will not be subject to further calls or assessments by us. Holders of shares of our Class B common stock do not have preemptive, subscription, redemption or conversion rights. There are no redemption or sinking fund provisions applicable to the Class B common stock. The rights, powers, preferences and privileges of our Class B common stock will be subject to those of the holders of any shares of our preferred stock or any other series or class of stock we may authorize and issue in the future.</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the Annual Report on Form 10-K, of which this Exhibit 4.2 is a part, the Refinitiv Direct Owner owns 100% of our outstanding Class B common stock.</w:t>
      </w:r>
    </w:p>
    <w:p>
      <w:pPr>
        <w:spacing w:after="0" w:line="1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Shares of Class B common stock may be exchanged at any time, at the option of the holder, for newly issued shares of Class A common stock, on a one-for-one basis (in which case their shares of Class B common stock will be cancelled on a one-for-one basis upon any such issuance).</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share of Class B common stock will automatically convert into one share of Class A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Holders of shares of our Class C common stock are entitled to one vote for each share held of record on all matters on which stockholders are entitled to vote generally, including the election or removal of directors elected by our stockholders generally, with the number of shares of Class C common stock held by each holder being equivalent to the number of LLC Interests held by such holder. The holders of our Class C common stock do not have cumulative voting rights in the election of directors.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shares of our Class C common stock are not entitled to receive dividends. Other than their par value, holders of our Class C common stock are not entitled to receive a distribution upon our liquidation, dissolution or winding up.</w:t>
      </w:r>
    </w:p>
    <w:p>
      <w:pPr>
        <w:spacing w:after="0" w:line="1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outstanding shares of our Class C common stock are fully paid and non-assessable. The Class C common stock will not be subject to further calls or assessments by us. Holders of shares of our Class C common stock do not have preemptive, subscription, redemption or conversion rights. There are no mandatory redemption or sinking fund provisions applicable to the Class C common stock. The rights powers, preferences and privileges of our Class C common stock will be subject to those of the holders of any shares of our preferred stock or any other series or class of stock we may authorize and issue in the future.</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 shares of Class C common stock will only be issued in the future to the extent (i) necessary to avoid the combined voting power held by any Bank Stockholder to exceed 4.9%, (ii) Continuing LLC Owners that hold shares of Class D common stock from time to time exchange all or a portion of their shares of our Class D common stock for newly issued shares of Class C common stock on a one-for-one basis (in which case their shares of Class D common stock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3887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4" w:name="page165"/>
    <w:bookmarkEnd w:id="164"/>
    <w:p>
      <w:pPr>
        <w:jc w:val="both"/>
        <w:spacing w:after="0" w:line="254" w:lineRule="auto"/>
        <w:rPr>
          <w:sz w:val="20"/>
          <w:szCs w:val="20"/>
          <w:color w:val="auto"/>
        </w:rPr>
      </w:pPr>
      <w:r>
        <w:rPr>
          <w:rFonts w:ascii="Arial" w:cs="Arial" w:eastAsia="Arial" w:hAnsi="Arial"/>
          <w:sz w:val="18"/>
          <w:szCs w:val="18"/>
          <w:color w:val="auto"/>
        </w:rPr>
        <w:t>cancelled on a one-for-one basis upon such issuance), or (iii) necessary to maintain a one-to-one ratio between the number of shares of Class C common stock issued to Continuing LLC Owners and the number of related LLC interests held by Continuing LLC Owners. Shares of Class C common stock will be cancelled on a one-for-one basis if we, at the election of a Continuing LLC Owner, redeem or exchange the related LLC Interests held by such Continuing LLC Owner and issue Class A common stock to the Continuing LLC Owner in connection therewith pursuant to the terms of the fifth amended and restated limited liability company agreement of TWM LLC (the “TWM LLC Agreement”). Our Class C common stock is non-transferable, other than in connection with a transfer of the related LLC Interests to a permitted transferee under the TWM LLC Agreement, in which case a like number of shares of Class C common stock must be transferred to the permitted transferee.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19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Holders of shares of our Class D common stock are entitled to ten votes for each share held of record on all matters on which stockholders are entitled to vote generally, including the election or removal of directors elected by our stockholders generally, with the number of shares of Class D common stock held by each holder being equivalent to the number of LLC Interests held by such holder. The holders of our Class D common stock do not have cumulative voting rights in the election of directors.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shares of our Class D common stock are not entitled to receive dividends. Other than their par value, holders of our Class D common stock are not entitled to receive a distribution upon our liquidation, dissolution or winding up.</w:t>
      </w:r>
    </w:p>
    <w:p>
      <w:pPr>
        <w:spacing w:after="0" w:line="13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All outstanding shares of our Class D common stock are fully paid and non-assessable. The Class D common stock will not be subject to further calls or assessments by us. Holders of shares of our Class D common stock do not have preemptive, subscription, redemption or conversion rights. There are no mandatory redemption or sinking fund provisions applicable to the Class D common stock. The rights, powers, preferences and privileges of our Class D common stock will be subject to those of the holders of any shares of our preferred stock or any other series or class of stock we may authorize and issue in the future.</w:t>
      </w:r>
    </w:p>
    <w:p>
      <w:pPr>
        <w:spacing w:after="0" w:line="14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Shares of Class D common stock will only be issued in the future to the extent necessary to maintain a one-to-one ratio between the number of shares of Class D common stock issued to Continuing LLC Owners and the number of related LLC Interests held by Continuing LLC Owners. Shares of Class D common stock will be cancelled on a one-for-one basis if we, at the election of a Continuing LLC Owner, redeem or exchange the related LLC Interests held by such Continuing LLC Owner and issue Class A common stock or, at the election of the Continuing LLC Owner, Class B common stock, to such Continuing LLC Owner in connection therewith, pursuant to the terms of the TWM LLC Agreement. Furthermore,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Our Class D common stock is non-transferable, other than in connection with a transfer of the related LLC Interests to a permitted transferee under the TWM LLC Agreement, in which case a like number of shares of Class D common stock must be transferred to the permitted transferee.</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Each share of Class D common stock will automatically convert into one share of Class C common stock (i) immediately prior to any sale or other transfer of such share by a Continuing LLC Owner or any of its affiliates or permitted transferees to a non-permitted transferee, or (ii) once the Refinitiv Owners and their affiliates together no longer beneficially own a number of shares of our common stock and LLC Interests that together entitle them to at least 10% of TWM LLC’s economic interests.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date of the Annual Report on Form 10-K, of which this Exhibit 4.2 is a part, Continuing LLC Owners own 100% of our outstanding Class C common stock and Class D common stock, with the number of shares of Class C common stock and/or Class D common stock held by any such Continuing LLC Owner being equivalent to the number of LLC Interests held by such Continuing LLC Owner,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3887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the date of the Annual Report on Form 10-K, of which this Exhibit 4.2 is a part, no shares of preferred stock are issued or outstanding.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5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designation of the series;</w:t>
      </w:r>
    </w:p>
    <w:p>
      <w:pPr>
        <w:spacing w:after="0" w:line="185" w:lineRule="exact"/>
        <w:rPr>
          <w:sz w:val="20"/>
          <w:szCs w:val="20"/>
          <w:color w:val="auto"/>
        </w:rPr>
      </w:pPr>
    </w:p>
    <w:p>
      <w:pPr>
        <w:jc w:val="both"/>
        <w:ind w:left="980" w:firstLine="73"/>
        <w:spacing w:after="0" w:line="264" w:lineRule="auto"/>
        <w:rPr>
          <w:sz w:val="20"/>
          <w:szCs w:val="20"/>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whether dividends, if any, will be cumulative or non-cumulative and the dividend rate of the series;</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dates at which dividends, if any, will be payable;</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redemption or repurchase rights and price or prices, if any, for shares of the series;</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98" w:lineRule="exact"/>
        <w:rPr>
          <w:sz w:val="20"/>
          <w:szCs w:val="20"/>
          <w:color w:val="auto"/>
        </w:rPr>
      </w:pPr>
    </w:p>
    <w:p>
      <w:pPr>
        <w:jc w:val="both"/>
        <w:ind w:left="980" w:firstLine="86"/>
        <w:spacing w:after="0" w:line="277" w:lineRule="auto"/>
        <w:rPr>
          <w:sz w:val="20"/>
          <w:szCs w:val="20"/>
          <w:color w:val="auto"/>
        </w:rPr>
      </w:pPr>
      <w:r>
        <w:rPr>
          <w:rFonts w:ascii="Arial" w:cs="Arial" w:eastAsia="Arial" w:hAnsi="Arial"/>
          <w:sz w:val="18"/>
          <w:szCs w:val="18"/>
          <w:color w:val="auto"/>
        </w:rPr>
        <w:t>the amounts payable on shares of the series in the event of any voluntary or involuntary liquidation, dissolution or winding-up of our affairs;</w:t>
      </w:r>
    </w:p>
    <w:p>
      <w:pPr>
        <w:spacing w:after="0" w:line="130" w:lineRule="exact"/>
        <w:rPr>
          <w:sz w:val="20"/>
          <w:szCs w:val="20"/>
          <w:color w:val="auto"/>
        </w:rPr>
      </w:pPr>
    </w:p>
    <w:p>
      <w:pPr>
        <w:jc w:val="both"/>
        <w:ind w:left="980" w:firstLine="73"/>
        <w:spacing w:after="0" w:line="259" w:lineRule="auto"/>
        <w:rPr>
          <w:sz w:val="20"/>
          <w:szCs w:val="20"/>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restrictions on the issuance of shares of the same series or of any other class or series; and</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voting rights, if any, of the holders of the series.</w:t>
      </w:r>
    </w:p>
    <w:p>
      <w:pPr>
        <w:spacing w:after="0" w:line="18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Class A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638873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66" w:name="page167"/>
    <w:bookmarkEnd w:id="166"/>
    <w:p>
      <w:pPr>
        <w:jc w:val="both"/>
        <w:ind w:firstLine="324"/>
        <w:spacing w:after="0" w:line="291" w:lineRule="auto"/>
        <w:rPr>
          <w:sz w:val="20"/>
          <w:szCs w:val="20"/>
          <w:color w:val="auto"/>
        </w:rPr>
      </w:pPr>
      <w:r>
        <w:rPr>
          <w:rFonts w:ascii="Arial" w:cs="Arial" w:eastAsia="Arial" w:hAnsi="Arial"/>
          <w:sz w:val="16"/>
          <w:szCs w:val="16"/>
          <w:color w:val="auto"/>
        </w:rPr>
        <w:t>As of the date of the Annual Report on Form 10-K, of which this Exhibit 4.2 is a part, we have paid, and intend to continue to pay, dividends on our Class A common stock and Class B common stock. Any decision to declare and pay dividends in the future will be made at the sole discretion of our board of directors and will depend on, among other things, our and our subsidiaries’ results of operations, capital requirements, financial condition, business prospects, contractual restrictions and other factors that our board of directors may deem relevant. Because we are a holding company and have no direct operations, we expect to pay dividends, if any, from funds we receive from our subsidiaries. In addition, our ability to pay dividends may be limited by the terms of the credit agreement that governs our revolving credit facility or any future credit agreement or any future debt or preferred equity securities of Tradeweb or its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 Meetings</w:t>
      </w:r>
    </w:p>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137" w:lineRule="exact"/>
        <w:rPr>
          <w:sz w:val="20"/>
          <w:szCs w:val="20"/>
          <w:color w:val="auto"/>
        </w:rPr>
      </w:pPr>
    </w:p>
    <w:p>
      <w:pPr>
        <w:ind w:right="1620"/>
        <w:spacing w:after="0" w:line="464" w:lineRule="auto"/>
        <w:rPr>
          <w:sz w:val="20"/>
          <w:szCs w:val="20"/>
          <w:color w:val="auto"/>
        </w:rPr>
      </w:pPr>
      <w:r>
        <w:rPr>
          <w:rFonts w:ascii="Arial" w:cs="Arial" w:eastAsia="Arial" w:hAnsi="Arial"/>
          <w:sz w:val="18"/>
          <w:szCs w:val="18"/>
          <w:b w:val="1"/>
          <w:bCs w:val="1"/>
          <w:color w:val="auto"/>
        </w:rPr>
        <w:t xml:space="preserve">Anti-Takeover Effects of Our Amended and Restated Certificate of Incorporation and Amended and Restated </w:t>
      </w:r>
      <w:r>
        <w:rPr>
          <w:rFonts w:ascii="Arial" w:cs="Arial" w:eastAsia="Arial" w:hAnsi="Arial"/>
          <w:sz w:val="18"/>
          <w:szCs w:val="18"/>
          <w:b w:val="1"/>
          <w:bCs w:val="1"/>
          <w:i w:val="1"/>
          <w:iCs w:val="1"/>
          <w:color w:val="auto"/>
        </w:rPr>
        <w:t>Bylaws and Certain Provisions of Delaware Law</w:t>
      </w:r>
    </w:p>
    <w:p>
      <w:pPr>
        <w:jc w:val="both"/>
        <w:ind w:firstLine="324"/>
        <w:spacing w:after="0" w:line="291" w:lineRule="auto"/>
        <w:rPr>
          <w:sz w:val="20"/>
          <w:szCs w:val="20"/>
          <w:color w:val="auto"/>
        </w:rPr>
      </w:pPr>
      <w:r>
        <w:rPr>
          <w:rFonts w:ascii="Arial" w:cs="Arial" w:eastAsia="Arial" w:hAnsi="Arial"/>
          <w:sz w:val="16"/>
          <w:szCs w:val="16"/>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Delaware law does not require stockholder approval for any issuance of shares that are authorized and available for issuance. However, the listing requirements of Nasdaq, which would apply so long as our Class A common stock remains listed on Nasdaq, require stockholder approval of certain issuances equal to or 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16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amended and restated certificate of incorporation provides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provide that, subject to any rights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7" w:name="page168"/>
    <w:bookmarkEnd w:id="167"/>
    <w:p>
      <w:pPr>
        <w:jc w:val="both"/>
        <w:spacing w:after="0" w:line="277" w:lineRule="auto"/>
        <w:rPr>
          <w:sz w:val="20"/>
          <w:szCs w:val="20"/>
          <w:color w:val="auto"/>
        </w:rPr>
      </w:pPr>
      <w:r>
        <w:rPr>
          <w:rFonts w:ascii="Arial" w:cs="Arial" w:eastAsia="Arial" w:hAnsi="Arial"/>
          <w:sz w:val="18"/>
          <w:szCs w:val="18"/>
          <w:color w:val="auto"/>
        </w:rPr>
        <w:t>holders of preferred stock to elect additional directors under specified circumstances, the number of directors will be fixed from time to time exclusively pursuant to a resolution adopted by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41" w:lineRule="exact"/>
        <w:rPr>
          <w:sz w:val="20"/>
          <w:szCs w:val="20"/>
          <w:color w:val="auto"/>
        </w:rPr>
      </w:pPr>
    </w:p>
    <w:p>
      <w:pPr>
        <w:jc w:val="both"/>
        <w:ind w:left="980" w:firstLine="109"/>
        <w:spacing w:after="0" w:line="277" w:lineRule="auto"/>
        <w:rPr>
          <w:sz w:val="20"/>
          <w:szCs w:val="20"/>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30" w:lineRule="exact"/>
        <w:rPr>
          <w:sz w:val="20"/>
          <w:szCs w:val="20"/>
          <w:color w:val="auto"/>
        </w:rPr>
      </w:pPr>
    </w:p>
    <w:p>
      <w:pPr>
        <w:jc w:val="both"/>
        <w:ind w:left="980" w:firstLine="158"/>
        <w:spacing w:after="0" w:line="264" w:lineRule="auto"/>
        <w:rPr>
          <w:sz w:val="20"/>
          <w:szCs w:val="20"/>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54" w:lineRule="exact"/>
        <w:rPr>
          <w:sz w:val="20"/>
          <w:szCs w:val="20"/>
          <w:color w:val="auto"/>
        </w:rPr>
      </w:pPr>
    </w:p>
    <w:p>
      <w:pPr>
        <w:jc w:val="both"/>
        <w:ind w:left="980" w:firstLine="96"/>
        <w:spacing w:after="0" w:line="332" w:lineRule="auto"/>
        <w:rPr>
          <w:sz w:val="20"/>
          <w:szCs w:val="20"/>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directors may be removed with or without cause upon the affirmative vote of a majority in voting power of all outstanding shares of stock entitled to vote generally in the election of directors, voting together as a single class; provided, however, at any time when the Refinitiv Owners and their affiliates beneficially own in the aggregate, less than 50% of the voting power of all outstanding shares of stock entitled to vote generally in the election of directors, directors may only be removed for cause, and only upon the affirmative vote of holders of at least 66⅔% of the voting power of all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Tradeweb entered into in connection with the IPO (the “Stockholders Agreement”),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the Refinitiv Owners and their affiliates beneficially own, in the aggregate, less than 50% of the voting power of all outstanding shares of our stock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63887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6" w:right="91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8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special meetings of our stockholders may be called at any time only by or at the direction of the board of directors or the chairman of the board of directors; provided, however, at any time when the Refinitiv Owners and their affiliates beneficially own, in the aggregate, at least 50% in voting power of all outstanding shares of stock entitled to vote generally in the election of directors, special meetings of our stockholders shall also be called by the board of directors or the chairman of the board of directors at the request of the Refinitiv Owners and their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Refinitiv Owners and their affiliates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outstanding shares of stock entitled to vote thereon were present and voted, unless our amended and restated certificate of incorporation provides otherwise. Our amended and restated certificate of incorporation precludes stockholder action by written consent at any time when the Refinitiv Owners and their affiliates own, in the aggregate, less than 50% in voting power of all outstanding shares of stock entitled to vote generally in the election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For as long as the Refinitiv Owners and their affiliates beneficially own, in the aggregate, at least 50% in voting power of all outstanding shares of stock entitled to vote generally in the election of directors, any amendment, alteration, change, addition, rescission or repeal of our bylaws by our stockholders requires the affirmative vote of a majority in voting power of all outstanding shares of stock present in person or represented by proxy at the meeting and entitled to vote on such amendment, alteration, change, addition, rescission or repeal. At any time when the Refinitiv Owners and their affiliates beneficially own, in the aggregate, less than 50% in voting power of all outstanding shares of stock entitled to vote generally in the election of directors, any amendment, alteration, change, addition, rescission or repeal of our bylaws by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320675</wp:posOffset>
            </wp:positionV>
            <wp:extent cx="63887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9" w:name="page170"/>
    <w:bookmarkEnd w:id="169"/>
    <w:p>
      <w:pPr>
        <w:jc w:val="both"/>
        <w:spacing w:after="0" w:line="316" w:lineRule="auto"/>
        <w:rPr>
          <w:sz w:val="20"/>
          <w:szCs w:val="20"/>
          <w:color w:val="auto"/>
        </w:rPr>
      </w:pPr>
      <w:r>
        <w:rPr>
          <w:rFonts w:ascii="Arial" w:cs="Arial" w:eastAsia="Arial" w:hAnsi="Arial"/>
          <w:sz w:val="18"/>
          <w:szCs w:val="18"/>
          <w:color w:val="auto"/>
        </w:rPr>
        <w:t>stockholders requires the affirmative vote of the holders of at least 66⅔% in voting power of all outstanding shares of stock entitled to vote thereon, voting together as a single class.</w:t>
      </w:r>
    </w:p>
    <w:p>
      <w:pPr>
        <w:spacing w:after="0" w:line="9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DGCL provides generally that the affirmative vote of a majority of all outstanding shares entitled to vote thereon, voting together as a single class, is required to amend a corporation’s certificate of incorporation, unless the certificate of incorporation requires a greater percentage.</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amended and restated certificate of incorporation provides that at any time when the Refinitiv Owners and their affiliates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66⅔% in voting power of all outstanding shares of stock entitled to vote thereon, voting together as a single class:</w:t>
      </w:r>
    </w:p>
    <w:p>
      <w:pPr>
        <w:spacing w:after="0" w:line="115" w:lineRule="exact"/>
        <w:rPr>
          <w:sz w:val="20"/>
          <w:szCs w:val="20"/>
          <w:color w:val="auto"/>
        </w:rPr>
      </w:pPr>
    </w:p>
    <w:p>
      <w:pPr>
        <w:ind w:left="700" w:right="1220"/>
        <w:spacing w:after="0" w:line="509" w:lineRule="auto"/>
        <w:rPr>
          <w:sz w:val="20"/>
          <w:szCs w:val="20"/>
          <w:color w:val="auto"/>
        </w:rPr>
      </w:pPr>
      <w:r>
        <w:rPr>
          <w:rFonts w:ascii="Arial" w:cs="Arial" w:eastAsia="Arial" w:hAnsi="Arial"/>
          <w:sz w:val="17"/>
          <w:szCs w:val="17"/>
          <w:color w:val="auto"/>
        </w:rPr>
        <w:t>the provision requiring a 66⅔% supermajority vote for stockholders to amend our amended and restated bylaws; the provisions providing for a classified board of directors (the election and term of our directors);</w:t>
      </w:r>
    </w:p>
    <w:p>
      <w:pPr>
        <w:ind w:left="700"/>
        <w:spacing w:after="0"/>
        <w:rPr>
          <w:sz w:val="20"/>
          <w:szCs w:val="20"/>
          <w:color w:val="auto"/>
        </w:rPr>
      </w:pPr>
      <w:r>
        <w:rPr>
          <w:rFonts w:ascii="Arial" w:cs="Arial" w:eastAsia="Arial" w:hAnsi="Arial"/>
          <w:sz w:val="18"/>
          <w:szCs w:val="18"/>
          <w:color w:val="auto"/>
        </w:rPr>
        <w:t>the provisions regarding resignation and removal of directors;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regarding competition and corporate opportunities;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regarding entering into business combinations with interested stockholders;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regarding stockholder action by written consent;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regarding calling special meetings of stockholders;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regarding filling vacancies on our board of directors and newly-created directorships;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provisions eliminating monetary damages for breaches of fiduciary duty by a director; and</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amendment provision requiring that the above provisions be amended only with a 66⅔% supermajority vote.</w:t>
      </w:r>
    </w:p>
    <w:p>
      <w:pPr>
        <w:spacing w:after="0" w:line="2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8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307975</wp:posOffset>
            </wp:positionV>
            <wp:extent cx="638873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92" w:right="91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amended and restated certificate of incorporation provides that unless we consent to the selection of an alternative forum, any (i) derivative action or proceeding brought on behalf of our Company, (ii) action asserting a claim of breach of a fiduciary duty owed by any director, officer or other employee of our Company to our Company or our Company’s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of 1933, as amended, or any other claim for which the federal courts have exclusive jurisdiction. Any person or entity purchasing or otherwise acquiring any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0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Refinitiv Owners or any of their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Refinitiv Owners or any non-employee director acquires knowledge of a potential transaction or other business opportunity which may be a corporate opportunity for itself, himself or herself or its, his or her affiliates and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transfer agent and registrar for shares of our Class A common stock, Class B common stock, Class C common stock and Class D common stock is American Stock Transfer &amp; Trust Company, LLC.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Class A common stock is listed on Nasdaq under the symbol “TW.”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Certain Definitions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used in this Exhibit 4.2, unless the context otherwise requires, references to:</w:t>
      </w:r>
    </w:p>
    <w:p>
      <w:pPr>
        <w:spacing w:after="0" w:line="198" w:lineRule="exact"/>
        <w:rPr>
          <w:sz w:val="20"/>
          <w:szCs w:val="20"/>
          <w:color w:val="auto"/>
        </w:rPr>
      </w:pPr>
    </w:p>
    <w:p>
      <w:pPr>
        <w:jc w:val="both"/>
        <w:ind w:left="640" w:hanging="5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Stockholders</w:t>
      </w:r>
      <w:r>
        <w:rPr>
          <w:rFonts w:ascii="Arial" w:cs="Arial" w:eastAsia="Arial" w:hAnsi="Arial"/>
          <w:sz w:val="18"/>
          <w:szCs w:val="18"/>
          <w:color w:val="auto"/>
        </w:rPr>
        <w:t>”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w:t>
      </w:r>
    </w:p>
    <w:p>
      <w:pPr>
        <w:spacing w:after="0" w:line="146" w:lineRule="exact"/>
        <w:rPr>
          <w:sz w:val="20"/>
          <w:szCs w:val="20"/>
          <w:color w:val="auto"/>
        </w:rPr>
      </w:pPr>
    </w:p>
    <w:p>
      <w:pPr>
        <w:jc w:val="both"/>
        <w:ind w:left="640" w:hanging="67"/>
        <w:spacing w:after="0" w:line="271" w:lineRule="auto"/>
        <w:rPr>
          <w:sz w:val="20"/>
          <w:szCs w:val="20"/>
          <w:color w:val="auto"/>
        </w:rPr>
      </w:pPr>
      <w:r>
        <w:rPr>
          <w:rFonts w:ascii="Arial" w:cs="Arial" w:eastAsia="Arial" w:hAnsi="Arial"/>
          <w:sz w:val="17"/>
          <w:szCs w:val="17"/>
          <w:i w:val="1"/>
          <w:iCs w:val="1"/>
          <w:color w:val="auto"/>
        </w:rPr>
        <w:t xml:space="preserve">“Continuing LLC Owners” </w:t>
      </w:r>
      <w:r>
        <w:rPr>
          <w:rFonts w:ascii="Arial" w:cs="Arial" w:eastAsia="Arial" w:hAnsi="Arial"/>
          <w:sz w:val="17"/>
          <w:szCs w:val="17"/>
          <w:color w:val="auto"/>
        </w:rPr>
        <w:t>refer collectively to (i) those Original LLC Owners, including the Refinitiv LLC Owner, certain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 Stockholders and members of management, that continued to own LLC Interests after the completion of our initial public offering (the “IPO”) and the series of reorganization transactions that were completed in connection with the IPO (the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and (ii) solely with respect to the tax receivable agreement entered into in connection with the IPO, also includes those Original LLC Owners, including certain Bank Stockholders, that disposed of all of their LLC Interests for cash in connection with the IPO.</w:t>
      </w:r>
    </w:p>
    <w:p>
      <w:pPr>
        <w:spacing w:after="0" w:line="138" w:lineRule="exact"/>
        <w:rPr>
          <w:sz w:val="20"/>
          <w:szCs w:val="20"/>
          <w:color w:val="auto"/>
        </w:rPr>
      </w:pPr>
    </w:p>
    <w:p>
      <w:pPr>
        <w:ind w:left="640" w:firstLine="54"/>
        <w:spacing w:after="0" w:line="277" w:lineRule="auto"/>
        <w:rPr>
          <w:sz w:val="20"/>
          <w:szCs w:val="20"/>
          <w:color w:val="auto"/>
        </w:rPr>
      </w:pPr>
      <w:r>
        <w:rPr>
          <w:rFonts w:ascii="Arial" w:cs="Arial" w:eastAsia="Arial" w:hAnsi="Arial"/>
          <w:sz w:val="18"/>
          <w:szCs w:val="18"/>
          <w:i w:val="1"/>
          <w:iCs w:val="1"/>
          <w:color w:val="auto"/>
        </w:rPr>
        <w:t xml:space="preserve">“LLC Interests” </w:t>
      </w:r>
      <w:r>
        <w:rPr>
          <w:rFonts w:ascii="Arial" w:cs="Arial" w:eastAsia="Arial" w:hAnsi="Arial"/>
          <w:sz w:val="18"/>
          <w:szCs w:val="18"/>
          <w:color w:val="auto"/>
        </w:rPr>
        <w:t>refer to the single class of common membership interests of TWM LLC issued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Transactions.</w:t>
      </w:r>
    </w:p>
    <w:p>
      <w:pPr>
        <w:spacing w:after="0" w:line="143"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i w:val="1"/>
          <w:iCs w:val="1"/>
          <w:color w:val="auto"/>
        </w:rPr>
        <w:t xml:space="preserve">“Original LLC Owners” </w:t>
      </w:r>
      <w:r>
        <w:rPr>
          <w:rFonts w:ascii="Arial" w:cs="Arial" w:eastAsia="Arial" w:hAnsi="Arial"/>
          <w:sz w:val="18"/>
          <w:szCs w:val="18"/>
          <w:color w:val="auto"/>
        </w:rPr>
        <w:t>refer to the owners of TWM LLC prior to the Reorganization Transactions (including the Refinitiv</w:t>
      </w:r>
      <w:r>
        <w:rPr>
          <w:rFonts w:ascii="Arial" w:cs="Arial" w:eastAsia="Arial" w:hAnsi="Arial"/>
          <w:sz w:val="18"/>
          <w:szCs w:val="18"/>
          <w:i w:val="1"/>
          <w:iCs w:val="1"/>
          <w:color w:val="auto"/>
        </w:rPr>
        <w:t xml:space="preserve"> </w:t>
      </w:r>
      <w:r>
        <w:rPr>
          <w:rFonts w:ascii="Arial" w:cs="Arial" w:eastAsia="Arial" w:hAnsi="Arial"/>
          <w:sz w:val="18"/>
          <w:szCs w:val="18"/>
          <w:color w:val="auto"/>
        </w:rPr>
        <w:t>Owners, the Bank Stockholders and members of management).</w:t>
      </w:r>
    </w:p>
    <w:p>
      <w:pPr>
        <w:spacing w:after="0" w:line="130" w:lineRule="exact"/>
        <w:rPr>
          <w:sz w:val="20"/>
          <w:szCs w:val="20"/>
          <w:color w:val="auto"/>
        </w:rPr>
      </w:pPr>
    </w:p>
    <w:p>
      <w:pPr>
        <w:jc w:val="both"/>
        <w:ind w:left="640" w:hanging="80"/>
        <w:spacing w:after="0" w:line="297" w:lineRule="auto"/>
        <w:rPr>
          <w:sz w:val="20"/>
          <w:szCs w:val="20"/>
          <w:color w:val="auto"/>
        </w:rPr>
      </w:pPr>
      <w:r>
        <w:rPr>
          <w:rFonts w:ascii="Arial" w:cs="Arial" w:eastAsia="Arial" w:hAnsi="Arial"/>
          <w:sz w:val="16"/>
          <w:szCs w:val="16"/>
          <w:i w:val="1"/>
          <w:iCs w:val="1"/>
          <w:color w:val="auto"/>
        </w:rPr>
        <w:t xml:space="preserve">“Refinitiv” </w:t>
      </w:r>
      <w:r>
        <w:rPr>
          <w:rFonts w:ascii="Arial" w:cs="Arial" w:eastAsia="Arial" w:hAnsi="Arial"/>
          <w:sz w:val="16"/>
          <w:szCs w:val="16"/>
          <w:color w:val="auto"/>
        </w:rPr>
        <w:t>refer to Refinitiv Holdings Limited, and unless otherwise stated or the context otherwise requires, all of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owns substantially all of the former financial and risk business of Thomson Reuters Corporation, including, prior to and following the completion of the Reorganization Transactions, an indirect majority ownership interest in Tradeweb, and is controlled by certain investment funds affiliated with The Blackstone Group Inc. (f/k/a The Blackstone Group L.P.), affiliates of Canada Pension Plan Investment Boards and GIC Special Investments Pte. Ltd. and certain other co-investors.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“Refinitiv Direct Owner” </w:t>
      </w:r>
      <w:r>
        <w:rPr>
          <w:rFonts w:ascii="Arial" w:cs="Arial" w:eastAsia="Arial" w:hAnsi="Arial"/>
          <w:sz w:val="18"/>
          <w:szCs w:val="18"/>
          <w:color w:val="auto"/>
        </w:rPr>
        <w:t>refer to an indirect subsidiary of Refinitiv that owns shares of our Class B common stock.</w:t>
      </w:r>
    </w:p>
    <w:p>
      <w:pPr>
        <w:spacing w:after="0" w:line="198" w:lineRule="exact"/>
        <w:rPr>
          <w:sz w:val="20"/>
          <w:szCs w:val="20"/>
          <w:color w:val="auto"/>
        </w:rPr>
      </w:pPr>
    </w:p>
    <w:p>
      <w:pPr>
        <w:jc w:val="both"/>
        <w:ind w:left="640" w:hanging="26"/>
        <w:spacing w:after="0" w:line="264" w:lineRule="auto"/>
        <w:rPr>
          <w:sz w:val="20"/>
          <w:szCs w:val="20"/>
          <w:color w:val="auto"/>
        </w:rPr>
      </w:pPr>
      <w:r>
        <w:rPr>
          <w:rFonts w:ascii="Arial" w:cs="Arial" w:eastAsia="Arial" w:hAnsi="Arial"/>
          <w:sz w:val="18"/>
          <w:szCs w:val="18"/>
          <w:i w:val="1"/>
          <w:iCs w:val="1"/>
          <w:color w:val="auto"/>
        </w:rPr>
        <w:t xml:space="preserve">“Refinitiv LLC Owner” </w:t>
      </w:r>
      <w:r>
        <w:rPr>
          <w:rFonts w:ascii="Arial" w:cs="Arial" w:eastAsia="Arial" w:hAnsi="Arial"/>
          <w:sz w:val="18"/>
          <w:szCs w:val="18"/>
          <w:color w:val="auto"/>
        </w:rPr>
        <w:t>refer to an indirect subsidiary of Refinitiv that owns LLC Interests and received shares of our Class D</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in connection with the completion of the Reorganization Transactions, and that may redeem or exchange its LLC Interests for shares of our Class A common stock or Class B common stock.</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“Refinitiv Owners” </w:t>
      </w:r>
      <w:r>
        <w:rPr>
          <w:rFonts w:ascii="Arial" w:cs="Arial" w:eastAsia="Arial" w:hAnsi="Arial"/>
          <w:sz w:val="18"/>
          <w:szCs w:val="18"/>
          <w:color w:val="auto"/>
        </w:rPr>
        <w:t>refer collectively to the Refinitiv Direct Owner and the Refinitiv LLC Owner.</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“TWM LLC” </w:t>
      </w:r>
      <w:r>
        <w:rPr>
          <w:rFonts w:ascii="Arial" w:cs="Arial" w:eastAsia="Arial" w:hAnsi="Arial"/>
          <w:sz w:val="18"/>
          <w:szCs w:val="18"/>
          <w:color w:val="auto"/>
        </w:rPr>
        <w:t>refer to Tradeweb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72" w:name="page173"/>
    <w:bookmarkEnd w:id="172"/>
    <w:tbl>
      <w:tblPr>
        <w:tblLayout w:type="fixed"/>
        <w:tblInd w:w="14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tcPr>
          <w:p>
            <w:pPr>
              <w:ind w:left="2160"/>
              <w:spacing w:after="0"/>
              <w:rPr>
                <w:sz w:val="20"/>
                <w:szCs w:val="20"/>
                <w:color w:val="auto"/>
              </w:rPr>
            </w:pPr>
            <w:r>
              <w:rPr>
                <w:rFonts w:ascii="Arial" w:cs="Arial" w:eastAsia="Arial" w:hAnsi="Arial"/>
                <w:sz w:val="18"/>
                <w:szCs w:val="18"/>
                <w:b w:val="1"/>
                <w:bCs w:val="1"/>
                <w:color w:val="auto"/>
                <w:w w:val="93"/>
              </w:rPr>
              <w:t>Exhibit 21.1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480" w:type="dxa"/>
            <w:vAlign w:val="bottom"/>
            <w:gridSpan w:val="3"/>
          </w:tcPr>
          <w:p>
            <w:pPr>
              <w:ind w:left="2640"/>
              <w:spacing w:after="0"/>
              <w:rPr>
                <w:sz w:val="20"/>
                <w:szCs w:val="20"/>
                <w:color w:val="auto"/>
              </w:rPr>
            </w:pPr>
            <w:r>
              <w:rPr>
                <w:rFonts w:ascii="Arial" w:cs="Arial" w:eastAsia="Arial" w:hAnsi="Arial"/>
                <w:sz w:val="18"/>
                <w:szCs w:val="18"/>
                <w:b w:val="1"/>
                <w:bCs w:val="1"/>
                <w:color w:val="auto"/>
              </w:rPr>
              <w:t>Subsidiaries of Tradeweb Markets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1.</w:t>
            </w:r>
          </w:p>
        </w:tc>
        <w:tc>
          <w:tcPr>
            <w:tcW w:w="5360" w:type="dxa"/>
            <w:vAlign w:val="bottom"/>
            <w:gridSpan w:val="2"/>
          </w:tcPr>
          <w:p>
            <w:pPr>
              <w:ind w:left="2200"/>
              <w:spacing w:after="0"/>
              <w:rPr>
                <w:sz w:val="20"/>
                <w:szCs w:val="20"/>
                <w:color w:val="auto"/>
              </w:rPr>
            </w:pPr>
            <w:r>
              <w:rPr>
                <w:rFonts w:ascii="Arial" w:cs="Arial" w:eastAsia="Arial" w:hAnsi="Arial"/>
                <w:sz w:val="18"/>
                <w:szCs w:val="18"/>
                <w:color w:val="auto"/>
              </w:rPr>
              <w:t>Subsidiary</w:t>
            </w:r>
          </w:p>
        </w:tc>
        <w:tc>
          <w:tcPr>
            <w:tcW w:w="3120" w:type="dxa"/>
            <w:vAlign w:val="bottom"/>
          </w:tcPr>
          <w:p>
            <w:pPr>
              <w:ind w:left="20"/>
              <w:spacing w:after="0"/>
              <w:rPr>
                <w:sz w:val="20"/>
                <w:szCs w:val="20"/>
                <w:color w:val="auto"/>
              </w:rPr>
            </w:pPr>
            <w:r>
              <w:rPr>
                <w:rFonts w:ascii="Arial" w:cs="Arial" w:eastAsia="Arial" w:hAnsi="Arial"/>
                <w:sz w:val="18"/>
                <w:szCs w:val="18"/>
                <w:color w:val="auto"/>
                <w:w w:val="97"/>
              </w:rPr>
              <w:t>Jurisdiction of Incorporation / Formation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0" w:type="dxa"/>
            <w:vAlign w:val="bottom"/>
            <w:vMerge w:val="continue"/>
          </w:tcPr>
          <w:p>
            <w:pPr>
              <w:spacing w:after="0"/>
              <w:rPr>
                <w:sz w:val="12"/>
                <w:szCs w:val="12"/>
                <w:color w:val="auto"/>
              </w:rPr>
            </w:pPr>
          </w:p>
        </w:tc>
        <w:tc>
          <w:tcPr>
            <w:tcW w:w="516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Tradeweb Markets LLC</w:t>
            </w:r>
          </w:p>
        </w:tc>
        <w:tc>
          <w:tcPr>
            <w:tcW w:w="200" w:type="dxa"/>
            <w:vAlign w:val="bottom"/>
          </w:tcPr>
          <w:p>
            <w:pPr>
              <w:spacing w:after="0"/>
              <w:rPr>
                <w:sz w:val="12"/>
                <w:szCs w:val="12"/>
                <w:color w:val="auto"/>
              </w:rPr>
            </w:pPr>
          </w:p>
        </w:tc>
        <w:tc>
          <w:tcPr>
            <w:tcW w:w="31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2.</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BNX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3.</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BondDesk Group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4.</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Dealerweb Inc.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5.</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DW SEF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6.</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Munigroup.com,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7.</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Tech Hackers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8.</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TIPS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Wyoming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9.</w:t>
            </w: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Tradeweb Commercial Information Consulting (Shanghai) Co., Ltd.</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People’s Republic of 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10.Tradeweb Direct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11.Tradeweb EU B.V.</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12.Tradeweb Europe Limited</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England and Wales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13.Tradeweb Global Holding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14.Tradeweb Global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15.Tradeweb IDB Markets, Inc.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16.Tradeweb Japan K.K.</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Japan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17.Tradeweb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18.Tradeweb Markets International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19.TW SEF LLC</w:t>
            </w:r>
          </w:p>
        </w:tc>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gridSpan w:val="3"/>
          </w:tcPr>
          <w:p>
            <w:pPr>
              <w:ind w:left="20"/>
              <w:spacing w:after="0"/>
              <w:rPr>
                <w:sz w:val="20"/>
                <w:szCs w:val="20"/>
                <w:color w:val="auto"/>
              </w:rPr>
            </w:pPr>
            <w:r>
              <w:rPr>
                <w:rFonts w:ascii="Arial" w:cs="Arial" w:eastAsia="Arial" w:hAnsi="Arial"/>
                <w:sz w:val="18"/>
                <w:szCs w:val="18"/>
                <w:color w:val="auto"/>
              </w:rPr>
              <w:t>20.TWEL Holding LLC</w:t>
            </w:r>
          </w:p>
        </w:tc>
        <w:tc>
          <w:tcPr>
            <w:tcW w:w="3120" w:type="dxa"/>
            <w:vAlign w:val="bottom"/>
          </w:tcPr>
          <w:p>
            <w:pPr>
              <w:ind w:left="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1"/>
        </w:trPr>
        <w:tc>
          <w:tcPr>
            <w:tcW w:w="2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1" w:right="1440" w:bottom="1440" w:gutter="0" w:footer="0" w:header="0"/>
        </w:sectPr>
      </w:pPr>
    </w:p>
    <w:bookmarkStart w:id="173" w:name="page174"/>
    <w:bookmarkEnd w:id="173"/>
    <w:p>
      <w:pPr>
        <w:jc w:val="right"/>
        <w:ind w:right="139"/>
        <w:spacing w:after="0"/>
        <w:rPr>
          <w:sz w:val="20"/>
          <w:szCs w:val="20"/>
          <w:color w:val="auto"/>
        </w:rPr>
      </w:pPr>
      <w:r>
        <w:rPr>
          <w:rFonts w:ascii="Arial" w:cs="Arial" w:eastAsia="Arial" w:hAnsi="Arial"/>
          <w:sz w:val="16"/>
          <w:szCs w:val="16"/>
          <w:b w:val="1"/>
          <w:bCs w:val="1"/>
          <w:color w:val="auto"/>
        </w:rPr>
        <w:t>Exhibit 23.1</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39" w:lineRule="exact"/>
        <w:rPr>
          <w:sz w:val="20"/>
          <w:szCs w:val="20"/>
          <w:color w:val="auto"/>
        </w:rPr>
      </w:pPr>
    </w:p>
    <w:p>
      <w:pPr>
        <w:jc w:val="both"/>
        <w:ind w:left="160" w:right="139"/>
        <w:spacing w:after="0" w:line="270" w:lineRule="auto"/>
        <w:rPr>
          <w:sz w:val="20"/>
          <w:szCs w:val="20"/>
          <w:color w:val="auto"/>
        </w:rPr>
      </w:pPr>
      <w:r>
        <w:rPr>
          <w:rFonts w:ascii="Arial" w:cs="Arial" w:eastAsia="Arial" w:hAnsi="Arial"/>
          <w:sz w:val="16"/>
          <w:szCs w:val="16"/>
          <w:color w:val="auto"/>
        </w:rPr>
        <w:t>We consent to the incorporation by reference in Registration Statement No. 333- 232186 on Form S-8 of our report dated February 21, 2020, relating to the financial statements of Tradeweb Markets Inc. (which report expresses an unqualified opinion and includes an emphasis of a matter paragraph relating to the Successor Period financial statements not being comparable to the Predecessor Period financial statements as a result of pushdown accounting, and an emphasis of matter paragraph relating to the Company’s reorganization transactions and initial public offering on April 4, 2019) appearing in this Annual Report on Form 10-K/A for the year ended December 31, 2019.</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Deloitte &amp; Touche LLP</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New York, New York</w:t>
      </w:r>
    </w:p>
    <w:p>
      <w:pPr>
        <w:ind w:left="160"/>
        <w:spacing w:after="0"/>
        <w:rPr>
          <w:sz w:val="20"/>
          <w:szCs w:val="20"/>
          <w:color w:val="auto"/>
        </w:rPr>
      </w:pPr>
      <w:r>
        <w:rPr>
          <w:rFonts w:ascii="Arial" w:cs="Arial" w:eastAsia="Arial" w:hAnsi="Arial"/>
          <w:sz w:val="16"/>
          <w:szCs w:val="16"/>
          <w:color w:val="auto"/>
        </w:rPr>
        <w:t>March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857885</wp:posOffset>
            </wp:positionV>
            <wp:extent cx="554863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333-232186) of Tradeweb Markets Inc. of our report dated December 17, 2018, except for the impact of the amendment to the LLC agreement discussed in Note 2 to the consolidated financial statements, as to which the date is May 20, 2019, relating to the financial statements of Tradeweb Markets LLC, which appear in this Form 10-K/A.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8" w:right="919" w:bottom="1440" w:gutter="0" w:footer="0" w:header="0"/>
        </w:sectPr>
      </w:pPr>
    </w:p>
    <w:bookmarkStart w:id="175" w:name="page176"/>
    <w:bookmarkEnd w:id="175"/>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Lee Olesky, certify that:</w:t>
      </w:r>
    </w:p>
    <w:p>
      <w:pPr>
        <w:spacing w:after="0" w:line="171" w:lineRule="exact"/>
        <w:rPr>
          <w:sz w:val="20"/>
          <w:szCs w:val="20"/>
          <w:color w:val="auto"/>
        </w:rPr>
      </w:pPr>
    </w:p>
    <w:p>
      <w:pPr>
        <w:ind w:left="480" w:right="619" w:hanging="329"/>
        <w:spacing w:after="0" w:line="277" w:lineRule="auto"/>
        <w:tabs>
          <w:tab w:leader="none" w:pos="49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fiscal year ended December 31, 2019 of Tradeweb Markets Inc.;</w:t>
      </w:r>
    </w:p>
    <w:p>
      <w:pPr>
        <w:spacing w:after="0" w:line="116" w:lineRule="exact"/>
        <w:rPr>
          <w:rFonts w:ascii="Arial" w:cs="Arial" w:eastAsia="Arial" w:hAnsi="Arial"/>
          <w:sz w:val="18"/>
          <w:szCs w:val="18"/>
          <w:color w:val="auto"/>
        </w:rPr>
      </w:pPr>
    </w:p>
    <w:p>
      <w:pPr>
        <w:ind w:left="480" w:right="519" w:hanging="329"/>
        <w:spacing w:after="0" w:line="264" w:lineRule="auto"/>
        <w:tabs>
          <w:tab w:leader="none" w:pos="49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480" w:right="399" w:hanging="329"/>
        <w:spacing w:after="0" w:line="264" w:lineRule="auto"/>
        <w:tabs>
          <w:tab w:leader="none" w:pos="49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480" w:right="419" w:hanging="329"/>
        <w:spacing w:after="0" w:line="334" w:lineRule="auto"/>
        <w:tabs>
          <w:tab w:leader="none" w:pos="49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6"/>
          <w:szCs w:val="16"/>
          <w:color w:val="auto"/>
        </w:rPr>
      </w:pPr>
    </w:p>
    <w:p>
      <w:pPr>
        <w:ind w:left="820" w:right="239" w:hanging="333"/>
        <w:spacing w:after="0" w:line="259" w:lineRule="auto"/>
        <w:tabs>
          <w:tab w:leader="none" w:pos="82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820" w:hanging="333"/>
        <w:spacing w:after="0"/>
        <w:tabs>
          <w:tab w:leader="none" w:pos="8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90" w:lineRule="exact"/>
        <w:rPr>
          <w:rFonts w:ascii="Arial" w:cs="Arial" w:eastAsia="Arial" w:hAnsi="Arial"/>
          <w:sz w:val="18"/>
          <w:szCs w:val="18"/>
          <w:color w:val="auto"/>
        </w:rPr>
      </w:pPr>
    </w:p>
    <w:p>
      <w:pPr>
        <w:jc w:val="both"/>
        <w:ind w:left="820" w:right="379" w:hanging="333"/>
        <w:spacing w:after="0" w:line="264" w:lineRule="auto"/>
        <w:tabs>
          <w:tab w:leader="none" w:pos="82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8"/>
          <w:szCs w:val="18"/>
          <w:color w:val="auto"/>
        </w:rPr>
      </w:pPr>
    </w:p>
    <w:p>
      <w:pPr>
        <w:ind w:left="820" w:right="319" w:hanging="333"/>
        <w:spacing w:after="0" w:line="254" w:lineRule="auto"/>
        <w:tabs>
          <w:tab w:leader="none" w:pos="83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w:t>
      </w:r>
    </w:p>
    <w:p>
      <w:pPr>
        <w:spacing w:after="0" w:line="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reporting; and</w:t>
      </w:r>
    </w:p>
    <w:p>
      <w:pPr>
        <w:spacing w:after="0" w:line="156" w:lineRule="exact"/>
        <w:rPr>
          <w:rFonts w:ascii="Arial" w:cs="Arial" w:eastAsia="Arial" w:hAnsi="Arial"/>
          <w:sz w:val="18"/>
          <w:szCs w:val="18"/>
          <w:color w:val="auto"/>
        </w:rPr>
      </w:pPr>
    </w:p>
    <w:p>
      <w:pPr>
        <w:jc w:val="both"/>
        <w:ind w:left="480" w:right="179" w:hanging="329"/>
        <w:spacing w:after="0" w:line="264" w:lineRule="auto"/>
        <w:tabs>
          <w:tab w:leader="none" w:pos="49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820" w:right="159" w:hanging="333"/>
        <w:spacing w:after="0" w:line="264" w:lineRule="auto"/>
        <w:tabs>
          <w:tab w:leader="none" w:pos="82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Arial" w:cs="Arial" w:eastAsia="Arial" w:hAnsi="Arial"/>
          <w:sz w:val="18"/>
          <w:szCs w:val="18"/>
          <w:color w:val="auto"/>
        </w:rPr>
      </w:pPr>
    </w:p>
    <w:p>
      <w:pPr>
        <w:ind w:left="820" w:right="279" w:hanging="333"/>
        <w:spacing w:after="0" w:line="277" w:lineRule="auto"/>
        <w:tabs>
          <w:tab w:leader="none" w:pos="83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March 4, 2020</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c>
          <w:tcPr>
            <w:tcW w:w="20" w:type="dxa"/>
            <w:vAlign w:val="bottom"/>
          </w:tcPr>
          <w:p>
            <w:pPr>
              <w:spacing w:after="0"/>
              <w:rPr>
                <w:sz w:val="20"/>
                <w:szCs w:val="20"/>
                <w:color w:val="auto"/>
              </w:rPr>
            </w:pPr>
          </w:p>
        </w:tc>
      </w:tr>
      <w:tr>
        <w:trPr>
          <w:trHeight w:val="195"/>
        </w:trPr>
        <w:tc>
          <w:tcPr>
            <w:tcW w:w="490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Lee Olesky</w:t>
            </w:r>
          </w:p>
        </w:tc>
        <w:tc>
          <w:tcPr>
            <w:tcW w:w="20" w:type="dxa"/>
            <w:vAlign w:val="bottom"/>
          </w:tcPr>
          <w:p>
            <w:pPr>
              <w:spacing w:after="0"/>
              <w:rPr>
                <w:sz w:val="16"/>
                <w:szCs w:val="16"/>
                <w:color w:val="auto"/>
              </w:rPr>
            </w:pPr>
          </w:p>
        </w:tc>
      </w:tr>
      <w:tr>
        <w:trPr>
          <w:trHeight w:val="230"/>
        </w:trPr>
        <w:tc>
          <w:tcPr>
            <w:tcW w:w="490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0"/>
                <w:szCs w:val="20"/>
                <w:color w:val="auto"/>
              </w:rPr>
            </w:pPr>
          </w:p>
        </w:tc>
      </w:tr>
      <w:tr>
        <w:trPr>
          <w:trHeight w:val="1277"/>
        </w:trPr>
        <w:tc>
          <w:tcPr>
            <w:tcW w:w="49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76" w:name="page177"/>
    <w:bookmarkEnd w:id="176"/>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131"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Robert Warshaw, certify that:</w:t>
      </w:r>
    </w:p>
    <w:p>
      <w:pPr>
        <w:spacing w:after="0" w:line="131" w:lineRule="exact"/>
        <w:rPr>
          <w:sz w:val="20"/>
          <w:szCs w:val="20"/>
          <w:color w:val="auto"/>
        </w:rPr>
      </w:pPr>
    </w:p>
    <w:p>
      <w:pPr>
        <w:ind w:left="480" w:right="619" w:hanging="329"/>
        <w:spacing w:after="0" w:line="235" w:lineRule="auto"/>
        <w:tabs>
          <w:tab w:leader="none" w:pos="49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fiscal year ended December 31, 2019 of Tradeweb Markets Inc.;</w:t>
      </w:r>
    </w:p>
    <w:p>
      <w:pPr>
        <w:spacing w:after="0" w:line="107" w:lineRule="exact"/>
        <w:rPr>
          <w:rFonts w:ascii="Arial" w:cs="Arial" w:eastAsia="Arial" w:hAnsi="Arial"/>
          <w:sz w:val="18"/>
          <w:szCs w:val="18"/>
          <w:color w:val="auto"/>
        </w:rPr>
      </w:pPr>
    </w:p>
    <w:p>
      <w:pPr>
        <w:ind w:left="480" w:right="519" w:hanging="329"/>
        <w:spacing w:after="0" w:line="224" w:lineRule="auto"/>
        <w:tabs>
          <w:tab w:leader="none" w:pos="49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480" w:right="399" w:hanging="329"/>
        <w:spacing w:after="0" w:line="224" w:lineRule="auto"/>
        <w:tabs>
          <w:tab w:leader="none" w:pos="49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8"/>
          <w:szCs w:val="18"/>
          <w:color w:val="auto"/>
        </w:rPr>
      </w:pPr>
    </w:p>
    <w:p>
      <w:pPr>
        <w:ind w:left="480" w:right="419" w:hanging="329"/>
        <w:spacing w:after="0" w:line="281" w:lineRule="auto"/>
        <w:tabs>
          <w:tab w:leader="none" w:pos="49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6"/>
          <w:szCs w:val="16"/>
          <w:color w:val="auto"/>
        </w:rPr>
      </w:pPr>
    </w:p>
    <w:p>
      <w:pPr>
        <w:ind w:left="820" w:right="239" w:hanging="333"/>
        <w:spacing w:after="0" w:line="219" w:lineRule="auto"/>
        <w:tabs>
          <w:tab w:leader="none" w:pos="82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8"/>
          <w:szCs w:val="18"/>
          <w:color w:val="auto"/>
        </w:rPr>
      </w:pPr>
    </w:p>
    <w:p>
      <w:pPr>
        <w:ind w:left="820" w:hanging="333"/>
        <w:spacing w:after="0"/>
        <w:tabs>
          <w:tab w:leader="none" w:pos="8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49" w:lineRule="exact"/>
        <w:rPr>
          <w:rFonts w:ascii="Arial" w:cs="Arial" w:eastAsia="Arial" w:hAnsi="Arial"/>
          <w:sz w:val="18"/>
          <w:szCs w:val="18"/>
          <w:color w:val="auto"/>
        </w:rPr>
      </w:pPr>
    </w:p>
    <w:p>
      <w:pPr>
        <w:jc w:val="both"/>
        <w:ind w:left="820" w:right="379" w:hanging="333"/>
        <w:spacing w:after="0" w:line="224" w:lineRule="auto"/>
        <w:tabs>
          <w:tab w:leader="none" w:pos="82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8"/>
          <w:szCs w:val="18"/>
          <w:color w:val="auto"/>
        </w:rPr>
      </w:pPr>
    </w:p>
    <w:p>
      <w:pPr>
        <w:ind w:left="820" w:right="319" w:hanging="333"/>
        <w:spacing w:after="0" w:line="219" w:lineRule="auto"/>
        <w:tabs>
          <w:tab w:leader="none" w:pos="83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jc w:val="both"/>
        <w:ind w:left="480" w:right="179" w:hanging="329"/>
        <w:spacing w:after="0" w:line="224" w:lineRule="auto"/>
        <w:tabs>
          <w:tab w:leader="none" w:pos="49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Arial" w:cs="Arial" w:eastAsia="Arial" w:hAnsi="Arial"/>
          <w:sz w:val="18"/>
          <w:szCs w:val="18"/>
          <w:color w:val="auto"/>
        </w:rPr>
      </w:pPr>
    </w:p>
    <w:p>
      <w:pPr>
        <w:ind w:left="820" w:right="159" w:hanging="333"/>
        <w:spacing w:after="0" w:line="224" w:lineRule="auto"/>
        <w:tabs>
          <w:tab w:leader="none" w:pos="82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8"/>
          <w:szCs w:val="18"/>
          <w:color w:val="auto"/>
        </w:rPr>
      </w:pPr>
    </w:p>
    <w:p>
      <w:pPr>
        <w:ind w:left="820" w:right="279" w:hanging="333"/>
        <w:spacing w:after="0" w:line="235" w:lineRule="auto"/>
        <w:tabs>
          <w:tab w:leader="none" w:pos="83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5" w:lineRule="exact"/>
        <w:rPr>
          <w:sz w:val="20"/>
          <w:szCs w:val="20"/>
          <w:color w:val="auto"/>
        </w:rPr>
      </w:pPr>
    </w:p>
    <w:p>
      <w:pPr>
        <w:ind w:left="160"/>
        <w:spacing w:after="0"/>
        <w:tabs>
          <w:tab w:leader="none" w:pos="5020" w:val="left"/>
        </w:tabs>
        <w:rPr>
          <w:sz w:val="20"/>
          <w:szCs w:val="20"/>
          <w:color w:val="auto"/>
        </w:rPr>
      </w:pPr>
      <w:r>
        <w:rPr>
          <w:rFonts w:ascii="Arial" w:cs="Arial" w:eastAsia="Arial" w:hAnsi="Arial"/>
          <w:sz w:val="18"/>
          <w:szCs w:val="18"/>
          <w:color w:val="auto"/>
        </w:rPr>
        <w:t>March 4, 2020</w:t>
      </w:r>
      <w:r>
        <w:rPr>
          <w:sz w:val="20"/>
          <w:szCs w:val="20"/>
          <w:color w:val="auto"/>
        </w:rPr>
        <w:tab/>
      </w: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-635</wp:posOffset>
            </wp:positionV>
            <wp:extent cx="24352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Robert Warshaw</w:t>
      </w:r>
    </w:p>
    <w:p>
      <w:pPr>
        <w:ind w:left="50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605155</wp:posOffset>
            </wp:positionV>
            <wp:extent cx="554863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7" w:name="page178"/>
    <w:bookmarkEnd w:id="177"/>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5" w:lineRule="exact"/>
        <w:rPr>
          <w:sz w:val="20"/>
          <w:szCs w:val="20"/>
          <w:color w:val="auto"/>
        </w:rPr>
      </w:pPr>
    </w:p>
    <w:p>
      <w:pPr>
        <w:ind w:left="160" w:right="179"/>
        <w:spacing w:after="0" w:line="232" w:lineRule="auto"/>
        <w:rPr>
          <w:sz w:val="20"/>
          <w:szCs w:val="20"/>
          <w:color w:val="auto"/>
        </w:rPr>
      </w:pPr>
      <w:r>
        <w:rPr>
          <w:rFonts w:ascii="Arial" w:cs="Arial" w:eastAsia="Arial" w:hAnsi="Arial"/>
          <w:sz w:val="17"/>
          <w:szCs w:val="17"/>
          <w:color w:val="auto"/>
        </w:rPr>
        <w:t>In connection with the Annual Report on Form 10-K/A of Tradeweb Markets Inc. (the “Company”) for the fiscal year ended December 31, 2019,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27" w:lineRule="exact"/>
        <w:rPr>
          <w:sz w:val="20"/>
          <w:szCs w:val="20"/>
          <w:color w:val="auto"/>
        </w:rPr>
      </w:pPr>
    </w:p>
    <w:p>
      <w:pPr>
        <w:ind w:left="960" w:right="399" w:hanging="440"/>
        <w:spacing w:after="0" w:line="235" w:lineRule="auto"/>
        <w:tabs>
          <w:tab w:leader="none" w:pos="99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6" w:lineRule="exact"/>
        <w:rPr>
          <w:rFonts w:ascii="Arial" w:cs="Arial" w:eastAsia="Arial" w:hAnsi="Arial"/>
          <w:sz w:val="18"/>
          <w:szCs w:val="18"/>
          <w:color w:val="auto"/>
        </w:rPr>
      </w:pPr>
    </w:p>
    <w:p>
      <w:pPr>
        <w:ind w:left="960" w:right="319" w:hanging="440"/>
        <w:spacing w:after="0" w:line="235" w:lineRule="auto"/>
        <w:tabs>
          <w:tab w:leader="none" w:pos="99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9" w:lineRule="exact"/>
        <w:rPr>
          <w:sz w:val="20"/>
          <w:szCs w:val="20"/>
          <w:color w:val="auto"/>
        </w:rPr>
      </w:pPr>
    </w:p>
    <w:p>
      <w:pPr>
        <w:ind w:left="160"/>
        <w:spacing w:after="0"/>
        <w:tabs>
          <w:tab w:leader="none" w:pos="5020" w:val="left"/>
        </w:tabs>
        <w:rPr>
          <w:sz w:val="20"/>
          <w:szCs w:val="20"/>
          <w:color w:val="auto"/>
        </w:rPr>
      </w:pPr>
      <w:r>
        <w:rPr>
          <w:rFonts w:ascii="Arial" w:cs="Arial" w:eastAsia="Arial" w:hAnsi="Arial"/>
          <w:sz w:val="18"/>
          <w:szCs w:val="18"/>
          <w:color w:val="auto"/>
        </w:rPr>
        <w:t>March 4, 2020</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-635</wp:posOffset>
            </wp:positionV>
            <wp:extent cx="24352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Lee Olesky</w:t>
      </w:r>
    </w:p>
    <w:p>
      <w:pPr>
        <w:ind w:left="50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467995</wp:posOffset>
            </wp:positionV>
            <wp:extent cx="554863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8" w:name="page179"/>
    <w:bookmarkEnd w:id="178"/>
    <w:p>
      <w:pPr>
        <w:jc w:val="right"/>
        <w:ind w:right="179"/>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5" w:lineRule="exact"/>
        <w:rPr>
          <w:sz w:val="20"/>
          <w:szCs w:val="20"/>
          <w:color w:val="auto"/>
        </w:rPr>
      </w:pPr>
    </w:p>
    <w:p>
      <w:pPr>
        <w:ind w:left="160" w:right="379"/>
        <w:spacing w:after="0" w:line="232" w:lineRule="auto"/>
        <w:rPr>
          <w:sz w:val="20"/>
          <w:szCs w:val="20"/>
          <w:color w:val="auto"/>
        </w:rPr>
      </w:pPr>
      <w:r>
        <w:rPr>
          <w:rFonts w:ascii="Arial" w:cs="Arial" w:eastAsia="Arial" w:hAnsi="Arial"/>
          <w:sz w:val="17"/>
          <w:szCs w:val="17"/>
          <w:color w:val="auto"/>
        </w:rPr>
        <w:t>In connection with the Annual Report on Form 10-K/A of Tradeweb Markets Inc. (the “Company”) for the fiscal year ended December 31, 2019, as filed with the Securities and Exchange Commission on the date hereof (the “Report”), Robert Warshaw, Chief Financial Officer of the Company, hereby certifies, pursuant to 18 U.S.C. Section 1350, as adopted pursuant to Section 906 of the Sarbanes-Oxley Act of 2002, that, to his knowledge:</w:t>
      </w:r>
    </w:p>
    <w:p>
      <w:pPr>
        <w:spacing w:after="0" w:line="27" w:lineRule="exact"/>
        <w:rPr>
          <w:sz w:val="20"/>
          <w:szCs w:val="20"/>
          <w:color w:val="auto"/>
        </w:rPr>
      </w:pPr>
    </w:p>
    <w:p>
      <w:pPr>
        <w:ind w:left="960" w:right="399" w:hanging="440"/>
        <w:spacing w:after="0" w:line="235" w:lineRule="auto"/>
        <w:tabs>
          <w:tab w:leader="none" w:pos="99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6" w:lineRule="exact"/>
        <w:rPr>
          <w:rFonts w:ascii="Arial" w:cs="Arial" w:eastAsia="Arial" w:hAnsi="Arial"/>
          <w:sz w:val="18"/>
          <w:szCs w:val="18"/>
          <w:color w:val="auto"/>
        </w:rPr>
      </w:pPr>
    </w:p>
    <w:p>
      <w:pPr>
        <w:ind w:left="960" w:right="319" w:hanging="440"/>
        <w:spacing w:after="0" w:line="235" w:lineRule="auto"/>
        <w:tabs>
          <w:tab w:leader="none" w:pos="99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ind w:left="160"/>
        <w:spacing w:after="0"/>
        <w:tabs>
          <w:tab w:leader="none" w:pos="5020" w:val="left"/>
        </w:tabs>
        <w:rPr>
          <w:sz w:val="20"/>
          <w:szCs w:val="20"/>
          <w:color w:val="auto"/>
        </w:rPr>
      </w:pPr>
      <w:r>
        <w:rPr>
          <w:rFonts w:ascii="Arial" w:cs="Arial" w:eastAsia="Arial" w:hAnsi="Arial"/>
          <w:sz w:val="18"/>
          <w:szCs w:val="18"/>
          <w:color w:val="auto"/>
        </w:rPr>
        <w:t>March 4, 2020</w:t>
      </w:r>
      <w:r>
        <w:rPr>
          <w:sz w:val="20"/>
          <w:szCs w:val="20"/>
          <w:color w:val="auto"/>
        </w:rPr>
        <w:tab/>
      </w: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-635</wp:posOffset>
            </wp:positionV>
            <wp:extent cx="24352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Robert Warshaw</w:t>
      </w:r>
    </w:p>
    <w:p>
      <w:pPr>
        <w:ind w:left="50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742315</wp:posOffset>
            </wp:positionV>
            <wp:extent cx="554863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endash "/>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lvl w:ilvl="1">
      <w:lvlJc w:val="left"/>
      <w:lvlText w:val="·"/>
      <w:numFmt w:val="bullet"/>
      <w:start w:val="1"/>
    </w:lvl>
  </w:abstractNum>
  <w:abstractNum w:abstractNumId="15">
    <w:nsid w:val="579BE4F1"/>
    <w:multiLevelType w:val="hybridMultilevel"/>
    <w:lvl w:ilvl="0">
      <w:lvlJc w:val="left"/>
      <w:lvlText w:val="·"/>
      <w:numFmt w:val="bullet"/>
      <w:start w:val="1"/>
    </w:lvl>
    <w:lvl w:ilvl="1">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emdash "/>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endash "/>
      <w:numFmt w:val="bullet"/>
      <w:start w:val="1"/>
    </w:lvl>
  </w:abstractNum>
  <w:abstractNum w:abstractNumId="25">
    <w:nsid w:val="100F8FCA"/>
    <w:multiLevelType w:val="hybridMultilevel"/>
    <w:lvl w:ilvl="0">
      <w:lvlJc w:val="left"/>
      <w:lvlText w:val="(%1)"/>
      <w:numFmt w:val="lowerRoman"/>
      <w:start w:val="7"/>
    </w:lvl>
  </w:abstractNum>
  <w:abstractNum w:abstractNumId="26">
    <w:nsid w:val="6590700B"/>
    <w:multiLevelType w:val="hybridMultilevel"/>
    <w:lvl w:ilvl="0">
      <w:lvlJc w:val="left"/>
      <w:lvlText w:val="(%1)"/>
      <w:numFmt w:val="lowerRoman"/>
      <w:start w:val="4"/>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1)"/>
      <w:numFmt w:val="lowerRoman"/>
      <w:start w:val="4"/>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1)"/>
      <w:numFmt w:val="decimal"/>
      <w:start w:val="1"/>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1)"/>
      <w:numFmt w:val="decimal"/>
      <w:start w:val="1"/>
    </w:lvl>
    <w:lvl w:ilvl="1">
      <w:lvlJc w:val="left"/>
      <w:lvlText w:val="(%2)"/>
      <w:numFmt w:val="lowerLetter"/>
      <w:start w:val="1"/>
    </w:lvl>
  </w:abstractNum>
  <w:abstractNum w:abstractNumId="43">
    <w:nsid w:val="42963E5A"/>
    <w:multiLevelType w:val="hybridMultilevel"/>
    <w:lvl w:ilvl="0">
      <w:lvlJc w:val="left"/>
      <w:lvlText w:val="(%1)"/>
      <w:numFmt w:val="decimal"/>
      <w:start w:val="5"/>
    </w:lvl>
  </w:abstractNum>
  <w:abstractNum w:abstractNumId="44">
    <w:nsid w:val="A0382C5"/>
    <w:multiLevelType w:val="hybridMultilevel"/>
    <w:lvl w:ilvl="0">
      <w:lvlJc w:val="left"/>
      <w:lvlText w:val="(%1)"/>
      <w:numFmt w:val="decimal"/>
      <w:start w:val="1"/>
    </w:lvl>
    <w:lvl w:ilvl="1">
      <w:lvlJc w:val="left"/>
      <w:lvlText w:val="%2)"/>
      <w:numFmt w:val="lowerLetter"/>
      <w:start w:val="1"/>
    </w:lvl>
  </w:abstractNum>
  <w:abstractNum w:abstractNumId="45">
    <w:nsid w:val="8F2B15E"/>
    <w:multiLevelType w:val="hybridMultilevel"/>
    <w:lvl w:ilvl="0">
      <w:lvlJc w:val="left"/>
      <w:lvlText w:val="(%1)"/>
      <w:numFmt w:val="decimal"/>
      <w:start w:val="2"/>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1)"/>
      <w:numFmt w:val="decimal"/>
      <w:start w:val="1"/>
    </w:lvl>
  </w:abstractNum>
  <w:abstractNum w:abstractNumId="50">
    <w:nsid w:val="60B6DF70"/>
    <w:multiLevelType w:val="hybridMultilevel"/>
    <w:lvl w:ilvl="0">
      <w:lvlJc w:val="left"/>
      <w:lvlText w:val="(%1)"/>
      <w:numFmt w:val="decimal"/>
      <w:start w:val="1"/>
    </w:lvl>
  </w:abstractNum>
  <w:abstractNum w:abstractNumId="51">
    <w:nsid w:val="6A5EE64"/>
    <w:multiLevelType w:val="hybridMultilevel"/>
    <w:lvl w:ilvl="0">
      <w:lvlJc w:val="left"/>
      <w:lvlText w:val="(%1)"/>
      <w:numFmt w:val="decimal"/>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1)"/>
      <w:numFmt w:val="decimal"/>
      <w:start w:val="1"/>
    </w:lvl>
  </w:abstractNum>
  <w:abstractNum w:abstractNumId="54">
    <w:nsid w:val="1A27709E"/>
    <w:multiLevelType w:val="hybridMultilevel"/>
    <w:lvl w:ilvl="0">
      <w:lvlJc w:val="left"/>
      <w:lvlText w:val="(%1)"/>
      <w:numFmt w:val="decimal"/>
      <w:start w:val="1"/>
    </w:lvl>
  </w:abstractNum>
  <w:abstractNum w:abstractNumId="55">
    <w:nsid w:val="71EA1109"/>
    <w:multiLevelType w:val="hybridMultilevel"/>
    <w:lvl w:ilvl="0">
      <w:lvlJc w:val="left"/>
      <w:lvlText w:val="(%1)"/>
      <w:numFmt w:val="decimal"/>
      <w:start w:val="1"/>
    </w:lvl>
  </w:abstractNum>
  <w:abstractNum w:abstractNumId="56">
    <w:nsid w:val="100F59DC"/>
    <w:multiLevelType w:val="hybridMultilevel"/>
    <w:lvl w:ilvl="0">
      <w:lvlJc w:val="left"/>
      <w:lvlText w:val="(%1)"/>
      <w:numFmt w:val="decimal"/>
      <w:start w:val="1"/>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1)"/>
      <w:numFmt w:val="decimal"/>
      <w:start w:val="1"/>
    </w:lvl>
  </w:abstractNum>
  <w:abstractNum w:abstractNumId="59">
    <w:nsid w:val="6F6DD9AC"/>
    <w:multiLevelType w:val="hybridMultilevel"/>
    <w:lvl w:ilvl="0">
      <w:lvlJc w:val="left"/>
      <w:lvlText w:val="\emdash "/>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1)"/>
      <w:numFmt w:val="decimal"/>
      <w:start w:val="1"/>
    </w:lvl>
  </w:abstractNum>
  <w:abstractNum w:abstractNumId="62">
    <w:nsid w:val="76272110"/>
    <w:multiLevelType w:val="hybridMultilevel"/>
    <w:lvl w:ilvl="0">
      <w:lvlJc w:val="left"/>
      <w:lvlText w:val="(%1)"/>
      <w:numFmt w:val="decimal"/>
      <w:start w:val="3"/>
    </w:lvl>
  </w:abstractNum>
  <w:abstractNum w:abstractNumId="63">
    <w:nsid w:val="4C04A8AF"/>
    <w:multiLevelType w:val="hybridMultilevel"/>
    <w:lvl w:ilvl="0">
      <w:lvlJc w:val="left"/>
      <w:lvlText w:val="(%1)"/>
      <w:numFmt w:val="decimal"/>
      <w:start w:val="1"/>
    </w:lvl>
    <w:lvl w:ilvl="1">
      <w:lvlJc w:val="left"/>
      <w:lvlText w:val="(%2)"/>
      <w:numFmt w:val="lowerLetter"/>
      <w:start w:val="1"/>
    </w:lvl>
  </w:abstractNum>
  <w:abstractNum w:abstractNumId="64">
    <w:nsid w:val="1716703B"/>
    <w:multiLevelType w:val="hybridMultilevel"/>
    <w:lvl w:ilvl="0">
      <w:lvlJc w:val="left"/>
      <w:lvlText w:val="(%1)"/>
      <w:numFmt w:val="decimal"/>
      <w:start w:val="2"/>
    </w:lvl>
  </w:abstractNum>
  <w:abstractNum w:abstractNumId="65">
    <w:nsid w:val="14E17E33"/>
    <w:multiLevelType w:val="hybridMultilevel"/>
    <w:lvl w:ilvl="0">
      <w:lvlJc w:val="left"/>
      <w:lvlText w:val="(%1)"/>
      <w:numFmt w:val="decimal"/>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1)"/>
      <w:numFmt w:val="decimal"/>
      <w:start w:val="1"/>
    </w:lvl>
  </w:abstractNum>
  <w:abstractNum w:abstractNumId="68">
    <w:nsid w:val="68EBC550"/>
    <w:multiLevelType w:val="hybridMultilevel"/>
    <w:lvl w:ilvl="0">
      <w:lvlJc w:val="left"/>
      <w:lvlText w:val="(%1)"/>
      <w:numFmt w:val="decimal"/>
      <w:start w:val="1"/>
    </w:lvl>
    <w:lvl w:ilvl="1">
      <w:lvlJc w:val="left"/>
      <w:lvlText w:val="%2)"/>
      <w:numFmt w:val="lowerLetter"/>
      <w:start w:val="1"/>
    </w:lvl>
  </w:abstractNum>
  <w:abstractNum w:abstractNumId="69">
    <w:nsid w:val="2DF6D648"/>
    <w:multiLevelType w:val="hybridMultilevel"/>
    <w:lvl w:ilvl="0">
      <w:lvlJc w:val="left"/>
      <w:lvlText w:val="%1."/>
      <w:numFmt w:val="decimal"/>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1."/>
      <w:numFmt w:val="decimal"/>
      <w:start w:val="2"/>
    </w:lvl>
  </w:abstractNum>
  <w:abstractNum w:abstractNumId="76">
    <w:nsid w:val="60EF0119"/>
    <w:multiLevelType w:val="hybridMultilevel"/>
    <w:lvl w:ilvl="0">
      <w:lvlJc w:val="left"/>
      <w:lvlText w:val="%1."/>
      <w:numFmt w:val="decimal"/>
      <w:start w:val="360"/>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79">
    <w:nsid w:val="49DA307D"/>
    <w:multiLevelType w:val="hybridMultilevel"/>
    <w:lvl w:ilvl="0">
      <w:lvlJc w:val="left"/>
      <w:lvlText w:val="%1."/>
      <w:numFmt w:val="decimal"/>
      <w:start w:val="3"/>
    </w:lvl>
    <w:lvl w:ilvl="1">
      <w:lvlJc w:val="left"/>
      <w:lvlText w:val="·"/>
      <w:numFmt w:val="bullet"/>
      <w:start w:val="1"/>
    </w:lvl>
    <w:lvl w:ilvl="2">
      <w:lvlJc w:val="left"/>
      <w:lvlText w:val="%3"/>
      <w:numFmt w:val="lowerRoman"/>
      <w:start w:val="1"/>
    </w:lvl>
  </w:abstractNum>
  <w:abstractNum w:abstractNumId="80">
    <w:nsid w:val="7055A5F5"/>
    <w:multiLevelType w:val="hybridMultilevel"/>
    <w:lvl w:ilvl="0">
      <w:lvlJc w:val="left"/>
      <w:lvlText w:val="%1."/>
      <w:numFmt w:val="decimal"/>
      <w:start w:val="4"/>
    </w:lvl>
  </w:abstractNum>
  <w:abstractNum w:abstractNumId="81">
    <w:nsid w:val="5FB8370B"/>
    <w:multiLevelType w:val="hybridMultilevel"/>
    <w:lvl w:ilvl="0">
      <w:lvlJc w:val="left"/>
      <w:lvlText w:val="%1."/>
      <w:numFmt w:val="decimal"/>
      <w:start w:val="5"/>
    </w:lvl>
  </w:abstractNum>
  <w:abstractNum w:abstractNumId="82">
    <w:nsid w:val="50801EE1"/>
    <w:multiLevelType w:val="hybridMultilevel"/>
    <w:lvl w:ilvl="0">
      <w:lvlJc w:val="left"/>
      <w:lvlText w:val="%1."/>
      <w:numFmt w:val="decimal"/>
      <w:start w:val="6"/>
    </w:lvl>
  </w:abstractNum>
  <w:abstractNum w:abstractNumId="83">
    <w:nsid w:val="488AC1A"/>
    <w:multiLevelType w:val="hybridMultilevel"/>
    <w:lvl w:ilvl="0">
      <w:lvlJc w:val="left"/>
      <w:lvlText w:val="%1."/>
      <w:numFmt w:val="decimal"/>
      <w:start w:val="7"/>
    </w:lvl>
  </w:abstractNum>
  <w:abstractNum w:abstractNumId="84">
    <w:nsid w:val="5FB8011C"/>
    <w:multiLevelType w:val="hybridMultilevel"/>
    <w:lvl w:ilvl="0">
      <w:lvlJc w:val="left"/>
      <w:lvlText w:val="%1."/>
      <w:numFmt w:val="decimal"/>
      <w:start w:val="8"/>
    </w:lvl>
  </w:abstractNum>
  <w:abstractNum w:abstractNumId="85">
    <w:nsid w:val="6AA78F7F"/>
    <w:multiLevelType w:val="hybridMultilevel"/>
    <w:lvl w:ilvl="0">
      <w:lvlJc w:val="left"/>
      <w:lvlText w:val="%1."/>
      <w:numFmt w:val="decimal"/>
      <w:start w:val="9"/>
    </w:lvl>
  </w:abstractNum>
  <w:abstractNum w:abstractNumId="86">
    <w:nsid w:val="7672BD23"/>
    <w:multiLevelType w:val="hybridMultilevel"/>
    <w:lvl w:ilvl="0">
      <w:lvlJc w:val="left"/>
      <w:lvlText w:val="%1."/>
      <w:numFmt w:val="decimal"/>
      <w:start w:val="10"/>
    </w:lvl>
  </w:abstractNum>
  <w:abstractNum w:abstractNumId="87">
    <w:nsid w:val="6FC75AF8"/>
    <w:multiLevelType w:val="hybridMultilevel"/>
    <w:lvl w:ilvl="0">
      <w:lvlJc w:val="left"/>
      <w:lvlText w:val="%1."/>
      <w:numFmt w:val="decimal"/>
      <w:start w:val="1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1."/>
      <w:numFmt w:val="decimal"/>
      <w:start w:val="11"/>
    </w:lvl>
    <w:lvl w:ilvl="1">
      <w:lvlJc w:val="left"/>
      <w:lvlText w:val="·"/>
      <w:numFmt w:val="bullet"/>
      <w:start w:val="1"/>
    </w:lvl>
  </w:abstractNum>
  <w:abstractNum w:abstractNumId="90">
    <w:nsid w:val="5F3534A4"/>
    <w:multiLevelType w:val="hybridMultilevel"/>
    <w:lvl w:ilvl="0">
      <w:lvlJc w:val="left"/>
      <w:lvlText w:val="%1."/>
      <w:numFmt w:val="decimal"/>
      <w:start w:val="13"/>
    </w:lvl>
  </w:abstractNum>
  <w:abstractNum w:abstractNumId="91">
    <w:nsid w:val="73A1821B"/>
    <w:multiLevelType w:val="hybridMultilevel"/>
    <w:lvl w:ilvl="0">
      <w:lvlJc w:val="left"/>
      <w:lvlText w:val="%1."/>
      <w:numFmt w:val="decimal"/>
      <w:start w:val="14"/>
    </w:lvl>
  </w:abstractNum>
  <w:abstractNum w:abstractNumId="92">
    <w:nsid w:val="7DE67713"/>
    <w:multiLevelType w:val="hybridMultilevel"/>
    <w:lvl w:ilvl="0">
      <w:lvlJc w:val="left"/>
      <w:lvlText w:val="(%1)"/>
      <w:numFmt w:val="decimal"/>
      <w:start w:val="1"/>
    </w:lvl>
  </w:abstractNum>
  <w:abstractNum w:abstractNumId="93">
    <w:nsid w:val="555C55B5"/>
    <w:multiLevelType w:val="hybridMultilevel"/>
    <w:lvl w:ilvl="0">
      <w:lvlJc w:val="left"/>
      <w:lvlText w:val="%1."/>
      <w:numFmt w:val="decimal"/>
      <w:start w:val="15"/>
    </w:lvl>
  </w:abstractNum>
  <w:abstractNum w:abstractNumId="94">
    <w:nsid w:val="3FA62ACA"/>
    <w:multiLevelType w:val="hybridMultilevel"/>
    <w:lvl w:ilvl="0">
      <w:lvlJc w:val="left"/>
      <w:lvlText w:val="%1."/>
      <w:numFmt w:val="decimal"/>
      <w:start w:val="16"/>
    </w:lvl>
  </w:abstractNum>
  <w:abstractNum w:abstractNumId="95">
    <w:nsid w:val="14FCE74E"/>
    <w:multiLevelType w:val="hybridMultilevel"/>
    <w:lvl w:ilvl="0">
      <w:lvlJc w:val="left"/>
      <w:lvlText w:val="%1."/>
      <w:numFmt w:val="decimal"/>
      <w:start w:val="17"/>
    </w:lvl>
  </w:abstractNum>
  <w:abstractNum w:abstractNumId="96">
    <w:nsid w:val="6A3DD3E8"/>
    <w:multiLevelType w:val="hybridMultilevel"/>
    <w:lvl w:ilvl="0">
      <w:lvlJc w:val="left"/>
      <w:lvlText w:val="(%1)"/>
      <w:numFmt w:val="lowerRoman"/>
      <w:start w:val="2"/>
    </w:lvl>
  </w:abstractNum>
  <w:abstractNum w:abstractNumId="97">
    <w:nsid w:val="71C91298"/>
    <w:multiLevelType w:val="hybridMultilevel"/>
    <w:lvl w:ilvl="0">
      <w:lvlJc w:val="left"/>
      <w:lvlText w:val="%1."/>
      <w:numFmt w:val="decimal"/>
      <w:start w:val="18"/>
    </w:lvl>
  </w:abstractNum>
  <w:abstractNum w:abstractNumId="98">
    <w:nsid w:val="9DAF632"/>
    <w:multiLevelType w:val="hybridMultilevel"/>
    <w:lvl w:ilvl="0">
      <w:lvlJc w:val="left"/>
      <w:lvlText w:val="(%1)"/>
      <w:numFmt w:val="decimal"/>
      <w:start w:val="1"/>
    </w:lvl>
  </w:abstractNum>
  <w:abstractNum w:abstractNumId="99">
    <w:nsid w:val="53299938"/>
    <w:multiLevelType w:val="hybridMultilevel"/>
    <w:lvl w:ilvl="0">
      <w:lvlJc w:val="left"/>
      <w:lvlText w:val="%1."/>
      <w:numFmt w:val="decimal"/>
      <w:start w:val="19"/>
    </w:lvl>
  </w:abstractNum>
  <w:abstractNum w:abstractNumId="100">
    <w:nsid w:val="1FBFE8E0"/>
    <w:multiLevelType w:val="hybridMultilevel"/>
    <w:lvl w:ilvl="0">
      <w:lvlJc w:val="left"/>
      <w:lvlText w:val="%1."/>
      <w:numFmt w:val="decimal"/>
      <w:start w:val="20"/>
    </w:lvl>
  </w:abstractNum>
  <w:abstractNum w:abstractNumId="101">
    <w:nsid w:val="5092CA79"/>
    <w:multiLevelType w:val="hybridMultilevel"/>
    <w:lvl w:ilvl="0">
      <w:lvlJc w:val="left"/>
      <w:lvlText w:val="(%1)"/>
      <w:numFmt w:val="decimal"/>
      <w:start w:val="1"/>
    </w:lvl>
  </w:abstractNum>
  <w:abstractNum w:abstractNumId="102">
    <w:nsid w:val="1D545C4D"/>
    <w:multiLevelType w:val="hybridMultilevel"/>
    <w:lvl w:ilvl="0">
      <w:lvlJc w:val="left"/>
      <w:lvlText w:val="%1."/>
      <w:numFmt w:val="decimal"/>
      <w:start w:val="22"/>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
      <w:numFmt w:val="bullet"/>
      <w:start w:val="1"/>
    </w:lvl>
  </w:abstractNum>
  <w:abstractNum w:abstractNumId="106">
    <w:nsid w:val="1D9F6E5F"/>
    <w:multiLevelType w:val="hybridMultilevel"/>
    <w:lvl w:ilvl="0">
      <w:lvlJc w:val="left"/>
      <w:lvlText w:val="+"/>
      <w:numFmt w:val="bullet"/>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06" Type="http://schemas.openxmlformats.org/officeDocument/2006/relationships/hyperlink" Target="http://www.sec.gov/Archives/edgar/data/1758730/000114420419018920/tv518458_ex3-1.htm" TargetMode="External"/><Relationship Id="rId207" Type="http://schemas.openxmlformats.org/officeDocument/2006/relationships/hyperlink" Target="http://www.sec.gov/Archives/edgar/data/1758730/000114420419018920/tv518458_ex3-2.htm" TargetMode="External"/><Relationship Id="rId208" Type="http://schemas.openxmlformats.org/officeDocument/2006/relationships/hyperlink" Target="http://www.sec.gov/Archives/edgar/data/1758730/000114420419015220/tv516514_ex4-1.htm" TargetMode="External"/><Relationship Id="rId209" Type="http://schemas.openxmlformats.org/officeDocument/2006/relationships/hyperlink" Target="http://www.sec.gov/Archives/edgar/data/1758730/000110465919030556/a19-9947_1ex10d1.htm" TargetMode="External"/><Relationship Id="rId210" Type="http://schemas.openxmlformats.org/officeDocument/2006/relationships/hyperlink" Target="http://www.sec.gov/Archives/edgar/data/1758730/000110465919030556/a19-9947_1ex10d2.htm" TargetMode="External"/><Relationship Id="rId211" Type="http://schemas.openxmlformats.org/officeDocument/2006/relationships/hyperlink" Target="http://www.sec.gov/Archives/edgar/data/1758730/000110465919030556/a19-9947_1ex10d3.htm" TargetMode="External"/><Relationship Id="rId212" Type="http://schemas.openxmlformats.org/officeDocument/2006/relationships/hyperlink" Target="http://www.sec.gov/Archives/edgar/data/1758730/000110465919030556/a19-9947_1ex10d4.htm" TargetMode="External"/><Relationship Id="rId213" Type="http://schemas.openxmlformats.org/officeDocument/2006/relationships/hyperlink" Target="http://www.sec.gov/Archives/edgar/data/1758730/000110465919030556/a19-9947_1ex10d5.htm" TargetMode="External"/><Relationship Id="rId214" Type="http://schemas.openxmlformats.org/officeDocument/2006/relationships/hyperlink" Target="http://www.sec.gov/Archives/edgar/data/1758730/000110465919030556/a19-9947_1ex10d6.htm" TargetMode="External"/><Relationship Id="rId215" Type="http://schemas.openxmlformats.org/officeDocument/2006/relationships/hyperlink" Target="http://www.sec.gov/Archives/edgar/data/1758730/000155837019010595/tw-20190930ex1011b90d3.htm" TargetMode="External"/><Relationship Id="rId216" Type="http://schemas.openxmlformats.org/officeDocument/2006/relationships/hyperlink" Target="http://www.sec.gov/Archives/edgar/data/1758730/000110465919030556/a19-9947_1ex10d7.htm" TargetMode="External"/><Relationship Id="rId217" Type="http://schemas.openxmlformats.org/officeDocument/2006/relationships/hyperlink" Target="http://www.sec.gov/Archives/edgar/data/1758730/000114420419015220/tv516514_ex10-8.htm" TargetMode="External"/><Relationship Id="rId218" Type="http://schemas.openxmlformats.org/officeDocument/2006/relationships/hyperlink" Target="http://www.sec.gov/Archives/edgar/data/1758730/000114420419015220/tv516514_ex10-9.htm" TargetMode="External"/><Relationship Id="rId219" Type="http://schemas.openxmlformats.org/officeDocument/2006/relationships/hyperlink" Target="http://www.sec.gov/Archives/edgar/data/1758730/000110465919030556/a19-9947_1ex10d8.htm" TargetMode="External"/><Relationship Id="rId220" Type="http://schemas.openxmlformats.org/officeDocument/2006/relationships/hyperlink" Target="http://www.sec.gov/Archives/edgar/data/1758730/000114420419015220/tv516514_ex10-11.htm" TargetMode="External"/><Relationship Id="rId221" Type="http://schemas.openxmlformats.org/officeDocument/2006/relationships/hyperlink" Target="http://www.sec.gov/Archives/edgar/data/1758730/000110465919030556/a19-9947_1ex10d9.htm" TargetMode="External"/><Relationship Id="rId222" Type="http://schemas.openxmlformats.org/officeDocument/2006/relationships/hyperlink" Target="http://www.sec.gov/Archives/edgar/data/1758730/000114420419015220/tv516514_ex10-13.htm" TargetMode="External"/><Relationship Id="rId223" Type="http://schemas.openxmlformats.org/officeDocument/2006/relationships/hyperlink" Target="http://www.sec.gov/Archives/edgar/data/1758730/000110465919030556/a19-9947_1ex10d10.htm" TargetMode="External"/><Relationship Id="rId224" Type="http://schemas.openxmlformats.org/officeDocument/2006/relationships/hyperlink" Target="http://www.sec.gov/Archives/edgar/data/1758730/000110465919030556/a19-9947_1ex10d11.htm" TargetMode="External"/><Relationship Id="rId225" Type="http://schemas.openxmlformats.org/officeDocument/2006/relationships/hyperlink" Target="http://www.sec.gov/Archives/edgar/data/1758730/000114420419015706/tv515721_ex10-16.htm" TargetMode="External"/><Relationship Id="rId226" Type="http://schemas.openxmlformats.org/officeDocument/2006/relationships/hyperlink" Target="http://www.sec.gov/Archives/edgar/data/1758730/000114420419012677/tv513417_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2020-03-04T16:13:05Z</dcterms:created>
  <dcterms:modified xsi:type="dcterms:W3CDTF">2020-03-04T16:13:05Z</dcterms:modified>
</cp:coreProperties>
</file>