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5,825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88,303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7"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39,604 unvested RSUs in respect of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as described in footnote 1 to this Form 4, in each case subject to the reporting person's continued employment through the applicable vesting date. In addition, this amount includes 3,430 RSUs which are fully vested as of the date hereof and will be settled in shares of Class A Common Stock on March 18, 2021.</w:t>
      </w:r>
    </w:p>
    <w:p>
      <w:pPr>
        <w:spacing w:after="0" w:line="17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2021-03-17T20:23:45Z</dcterms:created>
  <dcterms:modified xsi:type="dcterms:W3CDTF">2021-03-17T20:23:45Z</dcterms:modified>
</cp:coreProperties>
</file>