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98"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As confidentially submitted to the Securities and Exchange Commission on December 20, 2018</w:t>
      </w:r>
    </w:p>
    <w:p>
      <w:pPr>
        <w:spacing w:after="0" w:line="4" w:lineRule="exact"/>
        <w:rPr>
          <w:sz w:val="24"/>
          <w:szCs w:val="24"/>
          <w:color w:val="auto"/>
        </w:rPr>
      </w:pPr>
    </w:p>
    <w:p>
      <w:pPr>
        <w:ind w:left="8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22225</wp:posOffset>
            </wp:positionV>
            <wp:extent cx="61804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81915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UNITED STATES</w:t>
      </w:r>
    </w:p>
    <w:p>
      <w:pPr>
        <w:jc w:val="center"/>
        <w:ind w:right="-439"/>
        <w:spacing w:after="0" w:line="235"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64770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TO</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CONFIDENTIAL SUBMISSION ON</w:t>
      </w:r>
    </w:p>
    <w:p>
      <w:pPr>
        <w:jc w:val="center"/>
        <w:ind w:right="-499"/>
        <w:spacing w:after="0"/>
        <w:rPr>
          <w:sz w:val="20"/>
          <w:szCs w:val="20"/>
          <w:color w:val="auto"/>
        </w:rPr>
      </w:pPr>
      <w:r>
        <w:rPr>
          <w:rFonts w:ascii="Arial" w:cs="Arial" w:eastAsia="Arial" w:hAnsi="Arial"/>
          <w:sz w:val="22"/>
          <w:szCs w:val="22"/>
          <w:b w:val="1"/>
          <w:bCs w:val="1"/>
          <w:color w:val="auto"/>
        </w:rPr>
        <w:t>FORM S-1</w:t>
      </w:r>
    </w:p>
    <w:p>
      <w:pPr>
        <w:jc w:val="center"/>
        <w:ind w:right="-459"/>
        <w:spacing w:after="0" w:line="229" w:lineRule="auto"/>
        <w:rPr>
          <w:sz w:val="20"/>
          <w:szCs w:val="20"/>
          <w:color w:val="auto"/>
        </w:rPr>
      </w:pPr>
      <w:r>
        <w:rPr>
          <w:rFonts w:ascii="Arial" w:cs="Arial" w:eastAsia="Arial" w:hAnsi="Arial"/>
          <w:sz w:val="18"/>
          <w:szCs w:val="18"/>
          <w:b w:val="1"/>
          <w:bCs w:val="1"/>
          <w:color w:val="auto"/>
        </w:rPr>
        <w:t>REGISTRATION STATEMENT</w:t>
      </w:r>
    </w:p>
    <w:p>
      <w:pPr>
        <w:jc w:val="center"/>
        <w:ind w:right="-459"/>
        <w:spacing w:after="0" w:line="219" w:lineRule="auto"/>
        <w:rPr>
          <w:sz w:val="20"/>
          <w:szCs w:val="20"/>
          <w:color w:val="auto"/>
        </w:rPr>
      </w:pPr>
      <w:r>
        <w:rPr>
          <w:rFonts w:ascii="Arial" w:cs="Arial" w:eastAsia="Arial" w:hAnsi="Arial"/>
          <w:sz w:val="18"/>
          <w:szCs w:val="18"/>
          <w:b w:val="1"/>
          <w:bCs w:val="1"/>
          <w:color w:val="auto"/>
        </w:rPr>
        <w:t>UNDER</w:t>
      </w:r>
    </w:p>
    <w:p>
      <w:pPr>
        <w:jc w:val="center"/>
        <w:ind w:right="-4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47625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8"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Tradeweb Markets Inc.</w:t>
      </w:r>
    </w:p>
    <w:p>
      <w:pPr>
        <w:spacing w:after="0" w:line="17" w:lineRule="exact"/>
        <w:rPr>
          <w:sz w:val="24"/>
          <w:szCs w:val="24"/>
          <w:color w:val="auto"/>
        </w:rPr>
      </w:pPr>
    </w:p>
    <w:p>
      <w:pPr>
        <w:ind w:left="386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64770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3"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2640" w:type="dxa"/>
            <w:vAlign w:val="bottom"/>
          </w:tcPr>
          <w:p>
            <w:pPr>
              <w:jc w:val="center"/>
              <w:ind w:right="725"/>
              <w:spacing w:after="0"/>
              <w:rPr>
                <w:sz w:val="20"/>
                <w:szCs w:val="20"/>
                <w:color w:val="auto"/>
              </w:rPr>
            </w:pPr>
            <w:r>
              <w:rPr>
                <w:rFonts w:ascii="Arial" w:cs="Arial" w:eastAsia="Arial" w:hAnsi="Arial"/>
                <w:sz w:val="16"/>
                <w:szCs w:val="16"/>
                <w:b w:val="1"/>
                <w:bCs w:val="1"/>
                <w:color w:val="auto"/>
                <w:w w:val="91"/>
              </w:rPr>
              <w:t>Delaware</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800" w:type="dxa"/>
            <w:vAlign w:val="bottom"/>
          </w:tcPr>
          <w:p>
            <w:pPr>
              <w:jc w:val="right"/>
              <w:ind w:right="584"/>
              <w:spacing w:after="0"/>
              <w:rPr>
                <w:sz w:val="20"/>
                <w:szCs w:val="20"/>
                <w:color w:val="auto"/>
              </w:rPr>
            </w:pPr>
            <w:r>
              <w:rPr>
                <w:rFonts w:ascii="Arial" w:cs="Arial" w:eastAsia="Arial" w:hAnsi="Arial"/>
                <w:sz w:val="16"/>
                <w:szCs w:val="16"/>
                <w:b w:val="1"/>
                <w:bCs w:val="1"/>
                <w:color w:val="auto"/>
              </w:rPr>
              <w:t>83-2456358</w:t>
            </w:r>
          </w:p>
        </w:tc>
      </w:tr>
      <w:tr>
        <w:trPr>
          <w:trHeight w:val="175"/>
        </w:trPr>
        <w:tc>
          <w:tcPr>
            <w:tcW w:w="2640" w:type="dxa"/>
            <w:vAlign w:val="bottom"/>
          </w:tcPr>
          <w:p>
            <w:pPr>
              <w:jc w:val="center"/>
              <w:ind w:right="725"/>
              <w:spacing w:after="0"/>
              <w:rPr>
                <w:sz w:val="20"/>
                <w:szCs w:val="20"/>
                <w:color w:val="auto"/>
              </w:rPr>
            </w:pPr>
            <w:r>
              <w:rPr>
                <w:rFonts w:ascii="Arial" w:cs="Arial" w:eastAsia="Arial" w:hAnsi="Arial"/>
                <w:sz w:val="14"/>
                <w:szCs w:val="14"/>
                <w:color w:val="auto"/>
                <w:w w:val="95"/>
              </w:rPr>
              <w:t>(State or other jurisdiction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800" w:type="dxa"/>
            <w:vAlign w:val="bottom"/>
          </w:tcPr>
          <w:p>
            <w:pPr>
              <w:jc w:val="center"/>
              <w:ind w:left="624"/>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2640" w:type="dxa"/>
            <w:vAlign w:val="bottom"/>
          </w:tcPr>
          <w:p>
            <w:pPr>
              <w:jc w:val="center"/>
              <w:ind w:right="685"/>
              <w:spacing w:after="0"/>
              <w:rPr>
                <w:sz w:val="20"/>
                <w:szCs w:val="20"/>
                <w:color w:val="auto"/>
              </w:rPr>
            </w:pPr>
            <w:r>
              <w:rPr>
                <w:rFonts w:ascii="Arial" w:cs="Arial" w:eastAsia="Arial" w:hAnsi="Arial"/>
                <w:sz w:val="14"/>
                <w:szCs w:val="14"/>
                <w:color w:val="auto"/>
                <w:w w:val="95"/>
              </w:rPr>
              <w:t>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800" w:type="dxa"/>
            <w:vAlign w:val="bottom"/>
          </w:tcPr>
          <w:p>
            <w:pPr>
              <w:spacing w:after="0"/>
              <w:rPr>
                <w:sz w:val="15"/>
                <w:szCs w:val="15"/>
                <w:color w:val="auto"/>
              </w:rPr>
            </w:pPr>
          </w:p>
        </w:tc>
      </w:tr>
    </w:tbl>
    <w:p>
      <w:pPr>
        <w:spacing w:after="0" w:line="75"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1177 Avenue of the Americas</w:t>
      </w:r>
    </w:p>
    <w:p>
      <w:pPr>
        <w:ind w:left="4400"/>
        <w:spacing w:after="0" w:line="211" w:lineRule="auto"/>
        <w:rPr>
          <w:sz w:val="20"/>
          <w:szCs w:val="20"/>
          <w:color w:val="auto"/>
        </w:rPr>
      </w:pPr>
      <w:r>
        <w:rPr>
          <w:rFonts w:ascii="Arial" w:cs="Arial" w:eastAsia="Arial" w:hAnsi="Arial"/>
          <w:sz w:val="16"/>
          <w:szCs w:val="16"/>
          <w:b w:val="1"/>
          <w:bCs w:val="1"/>
          <w:color w:val="auto"/>
        </w:rPr>
        <w:t>New York, New York 10036</w:t>
      </w:r>
    </w:p>
    <w:p>
      <w:pPr>
        <w:ind w:left="4860"/>
        <w:spacing w:after="0" w:line="197" w:lineRule="auto"/>
        <w:rPr>
          <w:sz w:val="20"/>
          <w:szCs w:val="20"/>
          <w:color w:val="auto"/>
        </w:rPr>
      </w:pPr>
      <w:r>
        <w:rPr>
          <w:rFonts w:ascii="Arial" w:cs="Arial" w:eastAsia="Arial" w:hAnsi="Arial"/>
          <w:sz w:val="16"/>
          <w:szCs w:val="16"/>
          <w:b w:val="1"/>
          <w:bCs w:val="1"/>
          <w:color w:val="auto"/>
        </w:rPr>
        <w:t>(646) 430-6000</w:t>
      </w:r>
    </w:p>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39370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8"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Lee Olesky</w:t>
      </w:r>
    </w:p>
    <w:p>
      <w:pPr>
        <w:jc w:val="center"/>
        <w:ind w:right="-459"/>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ind w:right="-459"/>
        <w:spacing w:after="0" w:line="211" w:lineRule="auto"/>
        <w:rPr>
          <w:sz w:val="20"/>
          <w:szCs w:val="20"/>
          <w:color w:val="auto"/>
        </w:rPr>
      </w:pPr>
      <w:r>
        <w:rPr>
          <w:rFonts w:ascii="Arial" w:cs="Arial" w:eastAsia="Arial" w:hAnsi="Arial"/>
          <w:sz w:val="16"/>
          <w:szCs w:val="16"/>
          <w:b w:val="1"/>
          <w:bCs w:val="1"/>
          <w:color w:val="auto"/>
        </w:rPr>
        <w:t>1177 Avenue of the Americas</w:t>
      </w:r>
    </w:p>
    <w:p>
      <w:pPr>
        <w:jc w:val="center"/>
        <w:ind w:right="-459"/>
        <w:spacing w:after="0" w:line="211" w:lineRule="auto"/>
        <w:rPr>
          <w:sz w:val="20"/>
          <w:szCs w:val="20"/>
          <w:color w:val="auto"/>
        </w:rPr>
      </w:pPr>
      <w:r>
        <w:rPr>
          <w:rFonts w:ascii="Arial" w:cs="Arial" w:eastAsia="Arial" w:hAnsi="Arial"/>
          <w:sz w:val="16"/>
          <w:szCs w:val="16"/>
          <w:b w:val="1"/>
          <w:bCs w:val="1"/>
          <w:color w:val="auto"/>
        </w:rPr>
        <w:t>New York, New York 10036</w:t>
      </w:r>
    </w:p>
    <w:p>
      <w:pPr>
        <w:jc w:val="center"/>
        <w:ind w:right="-499"/>
        <w:spacing w:after="0" w:line="215" w:lineRule="auto"/>
        <w:rPr>
          <w:sz w:val="20"/>
          <w:szCs w:val="20"/>
          <w:color w:val="auto"/>
        </w:rPr>
      </w:pPr>
      <w:r>
        <w:rPr>
          <w:rFonts w:ascii="Arial" w:cs="Arial" w:eastAsia="Arial" w:hAnsi="Arial"/>
          <w:sz w:val="16"/>
          <w:szCs w:val="16"/>
          <w:b w:val="1"/>
          <w:bCs w:val="1"/>
          <w:color w:val="auto"/>
        </w:rPr>
        <w:t>(646) 430-6000</w:t>
      </w:r>
    </w:p>
    <w:p>
      <w:pPr>
        <w:spacing w:after="0" w:line="1" w:lineRule="exact"/>
        <w:rPr>
          <w:sz w:val="24"/>
          <w:szCs w:val="24"/>
          <w:color w:val="auto"/>
        </w:rPr>
      </w:pPr>
    </w:p>
    <w:p>
      <w:pPr>
        <w:ind w:left="248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47625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9"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4080" w:type="dxa"/>
            <w:vAlign w:val="bottom"/>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82"/>
        </w:trPr>
        <w:tc>
          <w:tcPr>
            <w:tcW w:w="352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w w:val="90"/>
              </w:rPr>
              <w:t>Steven G. Scheinfeld, Esq.</w:t>
            </w:r>
          </w:p>
        </w:tc>
        <w:tc>
          <w:tcPr>
            <w:tcW w:w="4080" w:type="dxa"/>
            <w:vAlign w:val="bottom"/>
          </w:tcPr>
          <w:p>
            <w:pPr>
              <w:jc w:val="center"/>
              <w:ind w:left="1999"/>
              <w:spacing w:after="0" w:line="181" w:lineRule="exact"/>
              <w:rPr>
                <w:sz w:val="20"/>
                <w:szCs w:val="20"/>
                <w:color w:val="auto"/>
              </w:rPr>
            </w:pPr>
            <w:r>
              <w:rPr>
                <w:rFonts w:ascii="Arial" w:cs="Arial" w:eastAsia="Arial" w:hAnsi="Arial"/>
                <w:sz w:val="16"/>
                <w:szCs w:val="16"/>
                <w:b w:val="1"/>
                <w:bCs w:val="1"/>
                <w:color w:val="auto"/>
                <w:w w:val="92"/>
              </w:rPr>
              <w:t>Michael Kaplan,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4"/>
              </w:rPr>
              <w:t>Andrew B. Barkan, Esq.</w:t>
            </w:r>
          </w:p>
        </w:tc>
        <w:tc>
          <w:tcPr>
            <w:tcW w:w="4080" w:type="dxa"/>
            <w:vAlign w:val="bottom"/>
          </w:tcPr>
          <w:p>
            <w:pPr>
              <w:jc w:val="center"/>
              <w:ind w:left="1979"/>
              <w:spacing w:after="0" w:line="162" w:lineRule="exact"/>
              <w:rPr>
                <w:sz w:val="20"/>
                <w:szCs w:val="20"/>
                <w:color w:val="auto"/>
              </w:rPr>
            </w:pPr>
            <w:r>
              <w:rPr>
                <w:rFonts w:ascii="Arial" w:cs="Arial" w:eastAsia="Arial" w:hAnsi="Arial"/>
                <w:sz w:val="16"/>
                <w:szCs w:val="16"/>
                <w:b w:val="1"/>
                <w:bCs w:val="1"/>
                <w:color w:val="auto"/>
                <w:w w:val="91"/>
              </w:rPr>
              <w:t>Shane Tintle,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5"/>
              </w:rPr>
              <w:t>Fried, Frank, Harris, Shriver &amp; Jacobson LLP</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One New York Plaza</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89"/>
              </w:rPr>
              <w:t>450 Lexington Avenue</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New York, New York 10004</w:t>
            </w:r>
          </w:p>
        </w:tc>
        <w:tc>
          <w:tcPr>
            <w:tcW w:w="4080" w:type="dxa"/>
            <w:vAlign w:val="bottom"/>
          </w:tcPr>
          <w:p>
            <w:pPr>
              <w:jc w:val="center"/>
              <w:ind w:left="1979"/>
              <w:spacing w:after="0" w:line="162" w:lineRule="exact"/>
              <w:rPr>
                <w:sz w:val="20"/>
                <w:szCs w:val="20"/>
                <w:color w:val="auto"/>
              </w:rPr>
            </w:pPr>
            <w:r>
              <w:rPr>
                <w:rFonts w:ascii="Arial" w:cs="Arial" w:eastAsia="Arial" w:hAnsi="Arial"/>
                <w:sz w:val="16"/>
                <w:szCs w:val="16"/>
                <w:b w:val="1"/>
                <w:bCs w:val="1"/>
                <w:color w:val="auto"/>
                <w:w w:val="93"/>
              </w:rPr>
              <w:t>New York, New York 10017</w:t>
            </w:r>
          </w:p>
        </w:tc>
      </w:tr>
      <w:tr>
        <w:trPr>
          <w:trHeight w:val="210"/>
        </w:trPr>
        <w:tc>
          <w:tcPr>
            <w:tcW w:w="35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(212) 859-8000</w:t>
            </w:r>
          </w:p>
        </w:tc>
        <w:tc>
          <w:tcPr>
            <w:tcW w:w="408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63500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6" w:lineRule="exact"/>
        <w:rPr>
          <w:sz w:val="24"/>
          <w:szCs w:val="24"/>
          <w:color w:val="auto"/>
        </w:rPr>
      </w:pPr>
    </w:p>
    <w:p>
      <w:pPr>
        <w:ind w:left="8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1" w:lineRule="exact"/>
        <w:rPr>
          <w:sz w:val="24"/>
          <w:szCs w:val="24"/>
          <w:color w:val="auto"/>
        </w:rPr>
      </w:pPr>
    </w:p>
    <w:p>
      <w:pPr>
        <w:ind w:left="500" w:right="280" w:firstLine="360"/>
        <w:spacing w:after="0" w:line="15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500" w:right="160" w:firstLine="36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0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13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60" w:type="dxa"/>
            <w:vAlign w:val="bottom"/>
          </w:tcPr>
          <w:p>
            <w:pPr>
              <w:ind w:left="1600"/>
              <w:spacing w:after="0"/>
              <w:rPr>
                <w:sz w:val="20"/>
                <w:szCs w:val="20"/>
                <w:color w:val="auto"/>
              </w:rPr>
            </w:pPr>
            <w:r>
              <w:rPr>
                <w:rFonts w:ascii="Arial" w:cs="Arial" w:eastAsia="Arial" w:hAnsi="Arial"/>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1320" w:type="dxa"/>
            <w:vAlign w:val="bottom"/>
          </w:tcPr>
          <w:p>
            <w:pPr>
              <w:spacing w:after="0"/>
              <w:rPr>
                <w:sz w:val="20"/>
                <w:szCs w:val="20"/>
                <w:color w:val="auto"/>
              </w:rPr>
            </w:pPr>
            <w:r>
              <w:rPr>
                <w:rFonts w:ascii="Arial" w:cs="Arial" w:eastAsia="Arial" w:hAnsi="Arial"/>
                <w:sz w:val="13"/>
                <w:szCs w:val="13"/>
                <w:color w:val="auto"/>
              </w:rPr>
              <w:t>Non-accelerated filer</w:t>
            </w:r>
          </w:p>
        </w:tc>
        <w:tc>
          <w:tcPr>
            <w:tcW w:w="18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60" w:type="dxa"/>
            <w:vAlign w:val="bottom"/>
          </w:tcPr>
          <w:p>
            <w:pPr>
              <w:ind w:left="160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60" w:type="dxa"/>
            <w:vAlign w:val="bottom"/>
          </w:tcPr>
          <w:p>
            <w:pPr>
              <w:ind w:left="160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1" w:lineRule="exact"/>
        <w:rPr>
          <w:sz w:val="24"/>
          <w:szCs w:val="24"/>
          <w:color w:val="auto"/>
        </w:rPr>
      </w:pPr>
    </w:p>
    <w:p>
      <w:pPr>
        <w:ind w:left="500" w:right="36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32385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11"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5080" w:type="dxa"/>
            <w:vAlign w:val="bottom"/>
            <w:tcBorders>
              <w:top w:val="single" w:sz="8" w:color="auto"/>
              <w:bottom w:val="single" w:sz="8" w:color="auto"/>
            </w:tcBorders>
          </w:tcPr>
          <w:p>
            <w:pPr>
              <w:spacing w:after="0"/>
              <w:rPr>
                <w:sz w:val="3"/>
                <w:szCs w:val="3"/>
                <w:color w:val="auto"/>
              </w:rPr>
            </w:pPr>
          </w:p>
        </w:tc>
        <w:tc>
          <w:tcPr>
            <w:tcW w:w="350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06"/>
        </w:trPr>
        <w:tc>
          <w:tcPr>
            <w:tcW w:w="5080" w:type="dxa"/>
            <w:vAlign w:val="bottom"/>
          </w:tcPr>
          <w:p>
            <w:pPr>
              <w:spacing w:after="0"/>
              <w:rPr>
                <w:sz w:val="9"/>
                <w:szCs w:val="9"/>
                <w:color w:val="auto"/>
              </w:rPr>
            </w:pPr>
          </w:p>
        </w:tc>
        <w:tc>
          <w:tcPr>
            <w:tcW w:w="3500" w:type="dxa"/>
            <w:vAlign w:val="bottom"/>
          </w:tcPr>
          <w:p>
            <w:pPr>
              <w:jc w:val="center"/>
              <w:ind w:left="1939"/>
              <w:spacing w:after="0" w:line="106" w:lineRule="exact"/>
              <w:rPr>
                <w:sz w:val="20"/>
                <w:szCs w:val="20"/>
                <w:color w:val="auto"/>
              </w:rPr>
            </w:pPr>
            <w:r>
              <w:rPr>
                <w:rFonts w:ascii="Arial" w:cs="Arial" w:eastAsia="Arial" w:hAnsi="Arial"/>
                <w:sz w:val="12"/>
                <w:szCs w:val="12"/>
                <w:b w:val="1"/>
                <w:bCs w:val="1"/>
                <w:color w:val="auto"/>
              </w:rPr>
              <w:t>Proposed Maximum</w:t>
            </w:r>
          </w:p>
        </w:tc>
        <w:tc>
          <w:tcPr>
            <w:tcW w:w="1140" w:type="dxa"/>
            <w:vAlign w:val="bottom"/>
          </w:tcPr>
          <w:p>
            <w:pPr>
              <w:spacing w:after="0"/>
              <w:rPr>
                <w:sz w:val="9"/>
                <w:szCs w:val="9"/>
                <w:color w:val="auto"/>
              </w:rPr>
            </w:pPr>
          </w:p>
        </w:tc>
      </w:tr>
      <w:tr>
        <w:trPr>
          <w:trHeight w:val="156"/>
        </w:trPr>
        <w:tc>
          <w:tcPr>
            <w:tcW w:w="5080" w:type="dxa"/>
            <w:vAlign w:val="bottom"/>
          </w:tcPr>
          <w:p>
            <w:pPr>
              <w:spacing w:after="0"/>
              <w:rPr>
                <w:sz w:val="13"/>
                <w:szCs w:val="13"/>
                <w:color w:val="auto"/>
              </w:rPr>
            </w:pPr>
          </w:p>
        </w:tc>
        <w:tc>
          <w:tcPr>
            <w:tcW w:w="3500" w:type="dxa"/>
            <w:vAlign w:val="bottom"/>
          </w:tcPr>
          <w:p>
            <w:pPr>
              <w:jc w:val="center"/>
              <w:ind w:left="1939"/>
              <w:spacing w:after="0" w:line="156" w:lineRule="exact"/>
              <w:rPr>
                <w:sz w:val="20"/>
                <w:szCs w:val="20"/>
                <w:color w:val="auto"/>
              </w:rPr>
            </w:pPr>
            <w:r>
              <w:rPr>
                <w:rFonts w:ascii="Arial" w:cs="Arial" w:eastAsia="Arial" w:hAnsi="Arial"/>
                <w:sz w:val="14"/>
                <w:szCs w:val="14"/>
                <w:b w:val="1"/>
                <w:bCs w:val="1"/>
                <w:color w:val="auto"/>
                <w:w w:val="92"/>
              </w:rPr>
              <w:t>Aggregate Offering</w:t>
            </w:r>
          </w:p>
        </w:tc>
        <w:tc>
          <w:tcPr>
            <w:tcW w:w="114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auto"/>
                <w:w w:val="94"/>
              </w:rPr>
              <w:t>Amount of</w:t>
            </w:r>
          </w:p>
        </w:tc>
      </w:tr>
      <w:tr>
        <w:trPr>
          <w:trHeight w:val="204"/>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500" w:type="dxa"/>
            <w:vAlign w:val="bottom"/>
            <w:tcBorders>
              <w:bottom w:val="single" w:sz="8" w:color="auto"/>
            </w:tcBorders>
          </w:tcPr>
          <w:p>
            <w:pPr>
              <w:jc w:val="center"/>
              <w:ind w:left="1979"/>
              <w:spacing w:after="0" w:line="204"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0"/>
                <w:szCs w:val="10"/>
                <w:b w:val="1"/>
                <w:bCs w:val="1"/>
                <w:color w:val="auto"/>
                <w:w w:val="93"/>
              </w:rPr>
              <w:t>(1)(2)</w:t>
            </w:r>
          </w:p>
        </w:tc>
        <w:tc>
          <w:tcPr>
            <w:tcW w:w="114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auto"/>
                <w:w w:val="91"/>
              </w:rPr>
              <w:t>Registration Fee</w:t>
            </w:r>
          </w:p>
        </w:tc>
      </w:tr>
      <w:tr>
        <w:trPr>
          <w:trHeight w:val="155"/>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Class A common stock, par value $0.01 per share</w:t>
            </w:r>
          </w:p>
        </w:tc>
        <w:tc>
          <w:tcPr>
            <w:tcW w:w="35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3"/>
                <w:szCs w:val="13"/>
                <w:color w:val="auto"/>
              </w:rPr>
              <w:t>$</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under the Securities Act of 1933, as amended.</w:t>
      </w:r>
    </w:p>
    <w:p>
      <w:pPr>
        <w:spacing w:after="0" w:line="21" w:lineRule="exact"/>
        <w:rPr>
          <w:rFonts w:ascii="Arial" w:cs="Arial" w:eastAsia="Arial" w:hAnsi="Arial"/>
          <w:sz w:val="14"/>
          <w:szCs w:val="14"/>
          <w:color w:val="auto"/>
        </w:rPr>
      </w:pPr>
    </w:p>
    <w:p>
      <w:pPr>
        <w:ind w:left="860" w:right="40" w:hanging="366"/>
        <w:spacing w:after="0" w:line="243"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Class A common stock that may be purchased by the underwriters upon the exercise of their option to purchase additional shares of Class A common stock.</w:t>
      </w:r>
    </w:p>
    <w:p>
      <w:pPr>
        <w:spacing w:after="0" w:line="1" w:lineRule="exact"/>
        <w:rPr>
          <w:sz w:val="24"/>
          <w:szCs w:val="24"/>
          <w:color w:val="auto"/>
        </w:rPr>
      </w:pPr>
    </w:p>
    <w:p>
      <w:pPr>
        <w:ind w:left="500" w:right="60" w:firstLine="3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59690</wp:posOffset>
            </wp:positionV>
            <wp:extent cx="6180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102235</wp:posOffset>
            </wp:positionV>
            <wp:extent cx="61804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045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363855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bookmarkStart w:id="1" w:name="page2"/>
    <w:bookmarkEnd w:id="1"/>
    <w:p>
      <w:pPr>
        <w:spacing w:after="0" w:line="223" w:lineRule="auto"/>
        <w:framePr w:w="680" w:h="128" w:wrap="auto" w:vAnchor="page" w:hAnchor="page" w:x="8560" w:y="10002"/>
        <w:rPr>
          <w:rFonts w:ascii="Arial" w:cs="Arial" w:eastAsia="Arial" w:hAnsi="Arial"/>
          <w:sz w:val="12"/>
          <w:szCs w:val="12"/>
          <w:b w:val="1"/>
          <w:bCs w:val="1"/>
          <w:color w:val="auto"/>
        </w:rPr>
      </w:pPr>
      <w:r>
        <w:rPr>
          <w:rFonts w:ascii="Arial" w:cs="Arial" w:eastAsia="Arial" w:hAnsi="Arial"/>
          <w:sz w:val="12"/>
          <w:szCs w:val="12"/>
          <w:b w:val="1"/>
          <w:bCs w:val="1"/>
          <w:color w:val="auto"/>
        </w:rPr>
        <w:t>Per Share</w:t>
      </w:r>
    </w:p>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306" w:lineRule="exact"/>
        <w:rPr>
          <w:rFonts w:ascii="Arial" w:cs="Arial" w:eastAsia="Arial" w:hAnsi="Arial"/>
          <w:sz w:val="12"/>
          <w:szCs w:val="12"/>
          <w:b w:val="1"/>
          <w:bCs w:val="1"/>
          <w:color w:val="auto"/>
        </w:rPr>
      </w:pPr>
    </w:p>
    <w:p>
      <w:pPr>
        <w:jc w:val="both"/>
        <w:ind w:left="1140"/>
        <w:spacing w:after="0" w:line="263"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and it is not soliciting an offer to buy, these securities in any state where the offer or sale is not permitted.</w:t>
      </w:r>
    </w:p>
    <w:p>
      <w:pPr>
        <w:spacing w:after="0" w:line="154" w:lineRule="exact"/>
        <w:rPr>
          <w:rFonts w:ascii="Arial" w:cs="Arial" w:eastAsia="Arial" w:hAnsi="Arial"/>
          <w:sz w:val="12"/>
          <w:szCs w:val="12"/>
          <w:b w:val="1"/>
          <w:bCs w:val="1"/>
          <w:color w:val="auto"/>
        </w:rPr>
      </w:pPr>
    </w:p>
    <w:tbl>
      <w:tblPr>
        <w:tblLayout w:type="fixed"/>
        <w:tblInd w:w="38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FC0014"/>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C0014"/>
              </w:rPr>
              <w:t>, 2018</w:t>
            </w:r>
          </w:p>
        </w:tc>
      </w:tr>
    </w:tbl>
    <w:p>
      <w:pPr>
        <w:ind w:left="114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2679700</wp:posOffset>
            </wp:positionH>
            <wp:positionV relativeFrom="paragraph">
              <wp:posOffset>31750</wp:posOffset>
            </wp:positionV>
            <wp:extent cx="186880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52" w:lineRule="exact"/>
        <w:rPr>
          <w:rFonts w:ascii="Arial" w:cs="Arial" w:eastAsia="Arial" w:hAnsi="Arial"/>
          <w:sz w:val="12"/>
          <w:szCs w:val="12"/>
          <w:b w:val="1"/>
          <w:bCs w:val="1"/>
          <w:color w:val="auto"/>
        </w:rPr>
      </w:pPr>
    </w:p>
    <w:p>
      <w:pPr>
        <w:ind w:left="5600"/>
        <w:spacing w:after="0"/>
        <w:rPr>
          <w:sz w:val="20"/>
          <w:szCs w:val="20"/>
          <w:color w:val="auto"/>
        </w:rPr>
      </w:pPr>
      <w:r>
        <w:rPr>
          <w:rFonts w:ascii="Arial" w:cs="Arial" w:eastAsia="Arial" w:hAnsi="Arial"/>
          <w:sz w:val="25"/>
          <w:szCs w:val="25"/>
          <w:b w:val="1"/>
          <w:bCs w:val="1"/>
          <w:color w:val="auto"/>
        </w:rPr>
        <w:t>Shares</w:t>
      </w:r>
    </w:p>
    <w:p>
      <w:pPr>
        <w:spacing w:after="0" w:line="91" w:lineRule="exact"/>
        <w:rPr>
          <w:rFonts w:ascii="Arial" w:cs="Arial" w:eastAsia="Arial" w:hAnsi="Arial"/>
          <w:sz w:val="12"/>
          <w:szCs w:val="12"/>
          <w:b w:val="1"/>
          <w:bCs w:val="1"/>
          <w:color w:val="auto"/>
        </w:rPr>
      </w:pPr>
    </w:p>
    <w:p>
      <w:pPr>
        <w:ind w:left="4420"/>
        <w:spacing w:after="0"/>
        <w:rPr>
          <w:sz w:val="20"/>
          <w:szCs w:val="20"/>
          <w:color w:val="auto"/>
        </w:rPr>
      </w:pPr>
      <w:r>
        <w:rPr>
          <w:rFonts w:ascii="Arial" w:cs="Arial" w:eastAsia="Arial" w:hAnsi="Arial"/>
          <w:sz w:val="25"/>
          <w:szCs w:val="25"/>
          <w:b w:val="1"/>
          <w:bCs w:val="1"/>
          <w:color w:val="auto"/>
        </w:rPr>
        <w:t>Tradeweb Markets Inc.</w:t>
      </w:r>
    </w:p>
    <w:p>
      <w:pPr>
        <w:spacing w:after="0" w:line="91" w:lineRule="exact"/>
        <w:rPr>
          <w:rFonts w:ascii="Arial" w:cs="Arial" w:eastAsia="Arial" w:hAnsi="Arial"/>
          <w:sz w:val="12"/>
          <w:szCs w:val="12"/>
          <w:b w:val="1"/>
          <w:bCs w:val="1"/>
          <w:color w:val="auto"/>
        </w:rPr>
      </w:pPr>
    </w:p>
    <w:p>
      <w:pPr>
        <w:ind w:left="4420"/>
        <w:spacing w:after="0"/>
        <w:rPr>
          <w:sz w:val="20"/>
          <w:szCs w:val="20"/>
          <w:color w:val="auto"/>
        </w:rPr>
      </w:pPr>
      <w:r>
        <w:rPr>
          <w:rFonts w:ascii="Arial" w:cs="Arial" w:eastAsia="Arial" w:hAnsi="Arial"/>
          <w:sz w:val="25"/>
          <w:szCs w:val="25"/>
          <w:b w:val="1"/>
          <w:bCs w:val="1"/>
          <w:color w:val="auto"/>
        </w:rPr>
        <w:t>Class A Common Stock</w:t>
      </w:r>
    </w:p>
    <w:p>
      <w:pPr>
        <w:spacing w:after="0" w:line="104" w:lineRule="exact"/>
        <w:rPr>
          <w:rFonts w:ascii="Arial" w:cs="Arial" w:eastAsia="Arial" w:hAnsi="Arial"/>
          <w:sz w:val="12"/>
          <w:szCs w:val="12"/>
          <w:b w:val="1"/>
          <w:bCs w:val="1"/>
          <w:color w:val="auto"/>
        </w:rPr>
      </w:pPr>
    </w:p>
    <w:p>
      <w:pPr>
        <w:ind w:left="1500"/>
        <w:spacing w:after="0"/>
        <w:tabs>
          <w:tab w:leader="none" w:pos="6660" w:val="left"/>
        </w:tabs>
        <w:rPr>
          <w:sz w:val="20"/>
          <w:szCs w:val="20"/>
          <w:color w:val="auto"/>
        </w:rPr>
      </w:pPr>
      <w:r>
        <w:rPr>
          <w:rFonts w:ascii="Arial" w:cs="Arial" w:eastAsia="Arial" w:hAnsi="Arial"/>
          <w:sz w:val="16"/>
          <w:szCs w:val="16"/>
          <w:color w:val="auto"/>
        </w:rPr>
        <w:t>This is the initial public offering of Tradeweb Markets Inc. We are selling</w:t>
      </w:r>
      <w:r>
        <w:rPr>
          <w:sz w:val="20"/>
          <w:szCs w:val="20"/>
          <w:color w:val="auto"/>
        </w:rPr>
        <w:tab/>
      </w:r>
      <w:r>
        <w:rPr>
          <w:rFonts w:ascii="Arial" w:cs="Arial" w:eastAsia="Arial" w:hAnsi="Arial"/>
          <w:sz w:val="14"/>
          <w:szCs w:val="14"/>
          <w:color w:val="auto"/>
        </w:rPr>
        <w:t>shares of our Class A common stock.</w:t>
      </w:r>
    </w:p>
    <w:p>
      <w:pPr>
        <w:spacing w:after="0" w:line="9" w:lineRule="exact"/>
        <w:rPr>
          <w:rFonts w:ascii="Arial" w:cs="Arial" w:eastAsia="Arial" w:hAnsi="Arial"/>
          <w:sz w:val="12"/>
          <w:szCs w:val="12"/>
          <w:b w:val="1"/>
          <w:bCs w:val="1"/>
          <w:color w:val="auto"/>
        </w:rPr>
      </w:pPr>
    </w:p>
    <w:p>
      <w:pPr>
        <w:ind w:left="1500"/>
        <w:spacing w:after="0"/>
        <w:rPr>
          <w:sz w:val="20"/>
          <w:szCs w:val="20"/>
          <w:color w:val="auto"/>
        </w:rPr>
      </w:pPr>
      <w:r>
        <w:rPr>
          <w:rFonts w:ascii="Arial" w:cs="Arial" w:eastAsia="Arial" w:hAnsi="Arial"/>
          <w:sz w:val="15"/>
          <w:szCs w:val="15"/>
          <w:color w:val="auto"/>
        </w:rPr>
        <w:t>Prior to this offering, there has been no public market for our Class A common stock. The initial public offering price is expected to</w:t>
      </w:r>
    </w:p>
    <w:p>
      <w:pPr>
        <w:ind w:left="1140" w:right="680"/>
        <w:spacing w:after="0" w:line="231" w:lineRule="auto"/>
        <w:rPr>
          <w:sz w:val="20"/>
          <w:szCs w:val="20"/>
          <w:color w:val="auto"/>
        </w:rPr>
      </w:pPr>
      <w:r>
        <w:rPr>
          <w:rFonts w:ascii="Arial" w:cs="Arial" w:eastAsia="Arial" w:hAnsi="Arial"/>
          <w:sz w:val="16"/>
          <w:szCs w:val="16"/>
          <w:color w:val="auto"/>
        </w:rPr>
        <w:t>be between $ and $ per share of our Class A common stock. We intend to apply to list our Class A common stock on the under the symbol “TW.”</w:t>
      </w:r>
    </w:p>
    <w:p>
      <w:pPr>
        <w:ind w:left="1140" w:right="900" w:firstLine="360"/>
        <w:spacing w:after="0" w:line="237"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additional shares of Class A common stock.</w:t>
      </w:r>
    </w:p>
    <w:p>
      <w:pPr>
        <w:spacing w:after="0" w:line="1" w:lineRule="exact"/>
        <w:rPr>
          <w:rFonts w:ascii="Arial" w:cs="Arial" w:eastAsia="Arial" w:hAnsi="Arial"/>
          <w:sz w:val="12"/>
          <w:szCs w:val="12"/>
          <w:b w:val="1"/>
          <w:bCs w:val="1"/>
          <w:color w:val="auto"/>
        </w:rPr>
      </w:pPr>
    </w:p>
    <w:p>
      <w:pPr>
        <w:ind w:left="1140" w:right="80" w:firstLine="360"/>
        <w:spacing w:after="0" w:line="223" w:lineRule="auto"/>
        <w:rPr>
          <w:sz w:val="20"/>
          <w:szCs w:val="20"/>
          <w:color w:val="auto"/>
        </w:rPr>
      </w:pPr>
      <w:r>
        <w:rPr>
          <w:rFonts w:ascii="Arial" w:cs="Arial" w:eastAsia="Arial" w:hAnsi="Arial"/>
          <w:sz w:val="16"/>
          <w:szCs w:val="16"/>
          <w:color w:val="auto"/>
        </w:rPr>
        <w:t>We will use the net proceeds that we receive from this offering to purchase issued and outstanding common membership units, which we refer to as “LLC Interests,” in Tradeweb Markets LLC, which we refer to as “TWM LLC,” from certain existing owners of TWM LLC. There is no public market for the LLC Interests. The purchase price for the LLC Interests will be equal to the public offering price of our Class A common stock, less the underwriting discounts and commissions referred to below.</w:t>
      </w:r>
    </w:p>
    <w:p>
      <w:pPr>
        <w:spacing w:after="0" w:line="1" w:lineRule="exact"/>
        <w:rPr>
          <w:rFonts w:ascii="Arial" w:cs="Arial" w:eastAsia="Arial" w:hAnsi="Arial"/>
          <w:sz w:val="12"/>
          <w:szCs w:val="12"/>
          <w:b w:val="1"/>
          <w:bCs w:val="1"/>
          <w:color w:val="auto"/>
        </w:rPr>
      </w:pPr>
    </w:p>
    <w:p>
      <w:pPr>
        <w:ind w:left="1140" w:right="20" w:firstLine="360"/>
        <w:spacing w:after="0" w:line="247" w:lineRule="auto"/>
        <w:rPr>
          <w:sz w:val="20"/>
          <w:szCs w:val="20"/>
          <w:color w:val="auto"/>
        </w:rPr>
      </w:pPr>
      <w:r>
        <w:rPr>
          <w:rFonts w:ascii="Arial" w:cs="Arial" w:eastAsia="Arial" w:hAnsi="Arial"/>
          <w:sz w:val="14"/>
          <w:szCs w:val="14"/>
          <w:color w:val="auto"/>
        </w:rPr>
        <w:t>We will have four classes of authorized common stock after this offering: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will not have any of the economic rights (including the rights to dividends and distributions upon liquidation) provided to holders of Class A common stock and Class B common stock. Upon completion of this offering, all of our Class B common stock will be held by the Refinitiv Direct Owners (as defined below), all of our Class D common stock will be held by the Continuing LLC Owners (as defined below) on a one-to-one basis with the number of LLC Interests they own, and there will be no outstanding shares of our Class C common stock.</w:t>
      </w:r>
    </w:p>
    <w:p>
      <w:pPr>
        <w:ind w:left="1500"/>
        <w:spacing w:after="0"/>
        <w:tabs>
          <w:tab w:leader="none" w:pos="9800" w:val="left"/>
        </w:tabs>
        <w:rPr>
          <w:sz w:val="20"/>
          <w:szCs w:val="20"/>
          <w:color w:val="auto"/>
        </w:rPr>
      </w:pPr>
      <w:r>
        <w:rPr>
          <w:rFonts w:ascii="Arial" w:cs="Arial" w:eastAsia="Arial" w:hAnsi="Arial"/>
          <w:sz w:val="16"/>
          <w:szCs w:val="16"/>
          <w:color w:val="auto"/>
        </w:rPr>
        <w:t>Immediately following this offering, the holders of our Class A common stock issued in this offering collectively will hold</w:t>
      </w:r>
      <w:r>
        <w:rPr>
          <w:sz w:val="20"/>
          <w:szCs w:val="20"/>
          <w:color w:val="auto"/>
        </w:rPr>
        <w:tab/>
      </w:r>
      <w:r>
        <w:rPr>
          <w:rFonts w:ascii="Arial" w:cs="Arial" w:eastAsia="Arial" w:hAnsi="Arial"/>
          <w:sz w:val="14"/>
          <w:szCs w:val="14"/>
          <w:color w:val="auto"/>
        </w:rPr>
        <w:t>% of</w:t>
      </w:r>
    </w:p>
    <w:p>
      <w:pPr>
        <w:ind w:left="1140"/>
        <w:spacing w:after="0" w:line="226" w:lineRule="auto"/>
        <w:tabs>
          <w:tab w:leader="none" w:pos="3560" w:val="left"/>
        </w:tabs>
        <w:rPr>
          <w:sz w:val="20"/>
          <w:szCs w:val="20"/>
          <w:color w:val="auto"/>
        </w:rPr>
      </w:pPr>
      <w:r>
        <w:rPr>
          <w:rFonts w:ascii="Arial" w:cs="Arial" w:eastAsia="Arial" w:hAnsi="Arial"/>
          <w:sz w:val="16"/>
          <w:szCs w:val="16"/>
          <w:color w:val="auto"/>
        </w:rPr>
        <w:t>the economic interests in us and</w:t>
      </w:r>
      <w:r>
        <w:rPr>
          <w:sz w:val="20"/>
          <w:szCs w:val="20"/>
          <w:color w:val="auto"/>
        </w:rPr>
        <w:tab/>
      </w:r>
      <w:r>
        <w:rPr>
          <w:rFonts w:ascii="Arial" w:cs="Arial" w:eastAsia="Arial" w:hAnsi="Arial"/>
          <w:sz w:val="15"/>
          <w:szCs w:val="15"/>
          <w:color w:val="auto"/>
        </w:rPr>
        <w:t>% of the combined voting power in us, the Refinitiv LLC Owners (as defined below) and the Refinitiv</w:t>
      </w:r>
    </w:p>
    <w:p>
      <w:pPr>
        <w:ind w:left="1140"/>
        <w:spacing w:after="0" w:line="225" w:lineRule="auto"/>
        <w:tabs>
          <w:tab w:leader="none" w:pos="9040" w:val="left"/>
        </w:tabs>
        <w:rPr>
          <w:sz w:val="20"/>
          <w:szCs w:val="20"/>
          <w:color w:val="auto"/>
        </w:rPr>
      </w:pPr>
      <w:r>
        <w:rPr>
          <w:rFonts w:ascii="Arial" w:cs="Arial" w:eastAsia="Arial" w:hAnsi="Arial"/>
          <w:sz w:val="16"/>
          <w:szCs w:val="16"/>
          <w:color w:val="auto"/>
        </w:rPr>
        <w:t>Direct Owners, through their ownership of Class B common stock and Class D common stock, collectively will hold</w:t>
      </w:r>
      <w:r>
        <w:rPr>
          <w:sz w:val="20"/>
          <w:szCs w:val="20"/>
          <w:color w:val="auto"/>
        </w:rPr>
        <w:tab/>
      </w:r>
      <w:r>
        <w:rPr>
          <w:rFonts w:ascii="Arial" w:cs="Arial" w:eastAsia="Arial" w:hAnsi="Arial"/>
          <w:sz w:val="15"/>
          <w:szCs w:val="15"/>
          <w:color w:val="auto"/>
        </w:rPr>
        <w:t>% of the</w:t>
      </w:r>
    </w:p>
    <w:p>
      <w:pPr>
        <w:ind w:left="1140"/>
        <w:spacing w:after="0"/>
        <w:tabs>
          <w:tab w:leader="none" w:pos="3320" w:val="left"/>
        </w:tabs>
        <w:rPr>
          <w:sz w:val="20"/>
          <w:szCs w:val="20"/>
          <w:color w:val="auto"/>
        </w:rPr>
      </w:pPr>
      <w:r>
        <w:rPr>
          <w:rFonts w:ascii="Arial" w:cs="Arial" w:eastAsia="Arial" w:hAnsi="Arial"/>
          <w:sz w:val="16"/>
          <w:szCs w:val="16"/>
          <w:color w:val="auto"/>
        </w:rPr>
        <w:t>economic interests in us and</w:t>
      </w:r>
      <w:r>
        <w:rPr>
          <w:sz w:val="20"/>
          <w:szCs w:val="20"/>
          <w:color w:val="auto"/>
        </w:rPr>
        <w:tab/>
      </w:r>
      <w:r>
        <w:rPr>
          <w:rFonts w:ascii="Arial" w:cs="Arial" w:eastAsia="Arial" w:hAnsi="Arial"/>
          <w:sz w:val="14"/>
          <w:szCs w:val="14"/>
          <w:color w:val="auto"/>
        </w:rPr>
        <w:t>% of the combined voting power in us, and the Other LLC Owners (as defined below), through their</w:t>
      </w:r>
    </w:p>
    <w:p>
      <w:pPr>
        <w:ind w:left="1140"/>
        <w:spacing w:after="0"/>
        <w:tabs>
          <w:tab w:leader="none" w:pos="8280" w:val="left"/>
        </w:tabs>
        <w:rPr>
          <w:sz w:val="20"/>
          <w:szCs w:val="20"/>
          <w:color w:val="auto"/>
        </w:rPr>
      </w:pPr>
      <w:r>
        <w:rPr>
          <w:rFonts w:ascii="Arial" w:cs="Arial" w:eastAsia="Arial" w:hAnsi="Arial"/>
          <w:sz w:val="16"/>
          <w:szCs w:val="16"/>
          <w:color w:val="auto"/>
        </w:rPr>
        <w:t>ownership of Class D common stock, collectively will hold no economic interest in us and the remaining</w:t>
      </w:r>
      <w:r>
        <w:rPr>
          <w:sz w:val="20"/>
          <w:szCs w:val="20"/>
          <w:color w:val="auto"/>
        </w:rPr>
        <w:tab/>
      </w:r>
      <w:r>
        <w:rPr>
          <w:rFonts w:ascii="Arial" w:cs="Arial" w:eastAsia="Arial" w:hAnsi="Arial"/>
          <w:sz w:val="14"/>
          <w:szCs w:val="14"/>
          <w:color w:val="auto"/>
        </w:rPr>
        <w:t>% of the combined voting</w:t>
      </w:r>
    </w:p>
    <w:p>
      <w:pPr>
        <w:ind w:left="1140" w:right="180"/>
        <w:spacing w:after="0" w:line="241" w:lineRule="auto"/>
        <w:rPr>
          <w:sz w:val="20"/>
          <w:szCs w:val="20"/>
          <w:color w:val="auto"/>
        </w:rPr>
      </w:pPr>
      <w:r>
        <w:rPr>
          <w:rFonts w:ascii="Arial" w:cs="Arial" w:eastAsia="Arial" w:hAnsi="Arial"/>
          <w:sz w:val="14"/>
          <w:szCs w:val="14"/>
          <w:color w:val="auto"/>
        </w:rPr>
        <w:t>power in us. We will be a holding company, and upon completion of this offering and the application of proceeds therefrom, our principal asset will be the LLC Interests we acquire from certain of the Other LLC Owners and the LLC Interests we receive from the Refinitiv</w:t>
      </w:r>
    </w:p>
    <w:p>
      <w:pPr>
        <w:ind w:left="1140"/>
        <w:spacing w:after="0" w:line="226" w:lineRule="auto"/>
        <w:tabs>
          <w:tab w:leader="none" w:pos="8220" w:val="left"/>
        </w:tabs>
        <w:rPr>
          <w:sz w:val="20"/>
          <w:szCs w:val="20"/>
          <w:color w:val="auto"/>
        </w:rPr>
      </w:pPr>
      <w:r>
        <w:rPr>
          <w:rFonts w:ascii="Arial" w:cs="Arial" w:eastAsia="Arial" w:hAnsi="Arial"/>
          <w:sz w:val="16"/>
          <w:szCs w:val="16"/>
          <w:color w:val="auto"/>
        </w:rPr>
        <w:t>Direct Owners in exchange for shares of Class B common stock issued by us, representing an aggregate</w:t>
      </w:r>
      <w:r>
        <w:rPr>
          <w:sz w:val="20"/>
          <w:szCs w:val="20"/>
          <w:color w:val="auto"/>
        </w:rPr>
        <w:tab/>
      </w:r>
      <w:r>
        <w:rPr>
          <w:rFonts w:ascii="Arial" w:cs="Arial" w:eastAsia="Arial" w:hAnsi="Arial"/>
          <w:sz w:val="15"/>
          <w:szCs w:val="15"/>
          <w:color w:val="auto"/>
        </w:rPr>
        <w:t>% economic interest in TWM</w:t>
      </w:r>
    </w:p>
    <w:p>
      <w:pPr>
        <w:ind w:left="1140"/>
        <w:spacing w:after="0" w:line="225" w:lineRule="auto"/>
        <w:tabs>
          <w:tab w:leader="none" w:pos="2820" w:val="left"/>
        </w:tabs>
        <w:rPr>
          <w:sz w:val="20"/>
          <w:szCs w:val="20"/>
          <w:color w:val="auto"/>
        </w:rPr>
      </w:pPr>
      <w:r>
        <w:rPr>
          <w:rFonts w:ascii="Arial" w:cs="Arial" w:eastAsia="Arial" w:hAnsi="Arial"/>
          <w:sz w:val="16"/>
          <w:szCs w:val="16"/>
          <w:color w:val="auto"/>
        </w:rPr>
        <w:t>LLC. The remaining</w:t>
      </w:r>
      <w:r>
        <w:rPr>
          <w:sz w:val="20"/>
          <w:szCs w:val="20"/>
          <w:color w:val="auto"/>
        </w:rPr>
        <w:tab/>
      </w:r>
      <w:r>
        <w:rPr>
          <w:rFonts w:ascii="Arial" w:cs="Arial" w:eastAsia="Arial" w:hAnsi="Arial"/>
          <w:sz w:val="15"/>
          <w:szCs w:val="15"/>
          <w:color w:val="auto"/>
        </w:rPr>
        <w:t>% economic interest in TWM LLC will be owned by the Continuing LLC Owners through their ownership of</w:t>
      </w:r>
    </w:p>
    <w:p>
      <w:pPr>
        <w:ind w:left="1140" w:right="260"/>
        <w:spacing w:after="0" w:line="228" w:lineRule="auto"/>
        <w:rPr>
          <w:sz w:val="20"/>
          <w:szCs w:val="20"/>
          <w:color w:val="auto"/>
        </w:rPr>
      </w:pPr>
      <w:r>
        <w:rPr>
          <w:rFonts w:ascii="Arial" w:cs="Arial" w:eastAsia="Arial" w:hAnsi="Arial"/>
          <w:sz w:val="16"/>
          <w:szCs w:val="16"/>
          <w:color w:val="auto"/>
        </w:rPr>
        <w:t>LLC Interests. We will be the sole manager of TWM LLC, we will operate and control all of the business and affairs of TWM LLC, and through TWM LLC and its subsidiaries, we will conduct our business.</w:t>
      </w:r>
    </w:p>
    <w:p>
      <w:pPr>
        <w:ind w:left="1500"/>
        <w:spacing w:after="0" w:line="227" w:lineRule="auto"/>
        <w:rPr>
          <w:sz w:val="20"/>
          <w:szCs w:val="20"/>
          <w:color w:val="auto"/>
        </w:rPr>
      </w:pPr>
      <w:r>
        <w:rPr>
          <w:rFonts w:ascii="Arial" w:cs="Arial" w:eastAsia="Arial" w:hAnsi="Arial"/>
          <w:sz w:val="15"/>
          <w:szCs w:val="15"/>
          <w:color w:val="auto"/>
        </w:rPr>
        <w:t>After the completion of this offering, we expect to be a “controlled company” within the meaning of the corporate governance</w:t>
      </w:r>
    </w:p>
    <w:p>
      <w:pPr>
        <w:ind w:left="1140"/>
        <w:spacing w:after="0"/>
        <w:tabs>
          <w:tab w:leader="none" w:pos="2300" w:val="left"/>
        </w:tabs>
        <w:rPr>
          <w:sz w:val="20"/>
          <w:szCs w:val="20"/>
          <w:color w:val="auto"/>
        </w:rPr>
      </w:pPr>
      <w:r>
        <w:rPr>
          <w:rFonts w:ascii="Arial" w:cs="Arial" w:eastAsia="Arial" w:hAnsi="Arial"/>
          <w:sz w:val="16"/>
          <w:szCs w:val="16"/>
          <w:color w:val="auto"/>
        </w:rPr>
        <w:t>standards of</w:t>
      </w:r>
      <w:r>
        <w:rPr>
          <w:sz w:val="20"/>
          <w:szCs w:val="20"/>
          <w:color w:val="auto"/>
        </w:rPr>
        <w:tab/>
      </w:r>
      <w:r>
        <w:rPr>
          <w:rFonts w:ascii="Arial" w:cs="Arial" w:eastAsia="Arial" w:hAnsi="Arial"/>
          <w:sz w:val="14"/>
          <w:szCs w:val="14"/>
          <w:color w:val="auto"/>
        </w:rPr>
        <w:t>.</w:t>
      </w:r>
    </w:p>
    <w:p>
      <w:pPr>
        <w:spacing w:after="0" w:line="8" w:lineRule="exact"/>
        <w:rPr>
          <w:rFonts w:ascii="Arial" w:cs="Arial" w:eastAsia="Arial" w:hAnsi="Arial"/>
          <w:sz w:val="12"/>
          <w:szCs w:val="12"/>
          <w:b w:val="1"/>
          <w:bCs w:val="1"/>
          <w:color w:val="auto"/>
        </w:rPr>
      </w:pPr>
    </w:p>
    <w:p>
      <w:pPr>
        <w:ind w:left="1140" w:right="200" w:firstLine="360"/>
        <w:spacing w:after="0" w:line="228"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will be subject to reduced reporting requirements. This prospectus complies with the requirements that apply to an issuer that is an emerging growth company.</w:t>
      </w:r>
    </w:p>
    <w:p>
      <w:pPr>
        <w:spacing w:after="0" w:line="62" w:lineRule="exact"/>
        <w:rPr>
          <w:rFonts w:ascii="Arial" w:cs="Arial" w:eastAsia="Arial" w:hAnsi="Arial"/>
          <w:sz w:val="12"/>
          <w:szCs w:val="12"/>
          <w:b w:val="1"/>
          <w:bCs w:val="1"/>
          <w:color w:val="auto"/>
        </w:rPr>
      </w:pPr>
    </w:p>
    <w:p>
      <w:pPr>
        <w:ind w:left="1140" w:right="400" w:firstLine="360"/>
        <w:spacing w:after="0" w:line="185"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32">
        <w:r>
          <w:rPr>
            <w:rFonts w:ascii="Arial" w:cs="Arial" w:eastAsia="Arial" w:hAnsi="Arial"/>
            <w:sz w:val="16"/>
            <w:szCs w:val="16"/>
            <w:b w:val="1"/>
            <w:bCs w:val="1"/>
            <w:u w:val="single" w:color="auto"/>
            <w:color w:val="0000EE"/>
          </w:rPr>
          <w:t>26</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4" w:lineRule="exact"/>
        <w:rPr>
          <w:rFonts w:ascii="Arial" w:cs="Arial" w:eastAsia="Arial" w:hAnsi="Arial"/>
          <w:sz w:val="12"/>
          <w:szCs w:val="12"/>
          <w:b w:val="1"/>
          <w:bCs w:val="1"/>
          <w:color w:val="auto"/>
        </w:rPr>
      </w:pPr>
    </w:p>
    <w:p>
      <w:pPr>
        <w:ind w:left="9340"/>
        <w:spacing w:after="0"/>
        <w:rPr>
          <w:sz w:val="20"/>
          <w:szCs w:val="20"/>
          <w:color w:val="auto"/>
        </w:rPr>
      </w:pPr>
      <w:r>
        <w:rPr>
          <w:rFonts w:ascii="Arial" w:cs="Arial" w:eastAsia="Arial" w:hAnsi="Arial"/>
          <w:sz w:val="14"/>
          <w:szCs w:val="14"/>
          <w:b w:val="1"/>
          <w:bCs w:val="1"/>
          <w:color w:val="auto"/>
        </w:rPr>
        <w:t>Total</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956310</wp:posOffset>
            </wp:positionH>
            <wp:positionV relativeFrom="paragraph">
              <wp:posOffset>23495</wp:posOffset>
            </wp:positionV>
            <wp:extent cx="4834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5" w:lineRule="exact"/>
        <w:rPr>
          <w:rFonts w:ascii="Arial" w:cs="Arial" w:eastAsia="Arial" w:hAnsi="Arial"/>
          <w:sz w:val="12"/>
          <w:szCs w:val="12"/>
          <w:b w:val="1"/>
          <w:bCs w:val="1"/>
          <w:color w:val="auto"/>
        </w:rPr>
      </w:pPr>
    </w:p>
    <w:tbl>
      <w:tblPr>
        <w:tblLayout w:type="fixed"/>
        <w:tblInd w:w="1500" w:type="dxa"/>
        <w:tblCellMar>
          <w:top w:w="0" w:type="dxa"/>
          <w:left w:w="0" w:type="dxa"/>
          <w:bottom w:w="0" w:type="dxa"/>
          <w:right w:w="0" w:type="dxa"/>
        </w:tblCellMar>
      </w:tblPr>
      <w:tr>
        <w:trPr>
          <w:trHeight w:val="208"/>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Price to public</w:t>
            </w:r>
          </w:p>
        </w:tc>
        <w:tc>
          <w:tcPr>
            <w:tcW w:w="6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6760" w:type="dxa"/>
            <w:vAlign w:val="bottom"/>
          </w:tcPr>
          <w:p>
            <w:pPr>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5"/>
                <w:szCs w:val="25"/>
                <w:color w:val="auto"/>
                <w:vertAlign w:val="superscript"/>
              </w:rPr>
              <w:t>(1)</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Tradeweb Markets Inc.</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725170</wp:posOffset>
            </wp:positionH>
            <wp:positionV relativeFrom="paragraph">
              <wp:posOffset>102870</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4" w:lineRule="exact"/>
        <w:rPr>
          <w:rFonts w:ascii="Arial" w:cs="Arial" w:eastAsia="Arial" w:hAnsi="Arial"/>
          <w:sz w:val="12"/>
          <w:szCs w:val="12"/>
          <w:b w:val="1"/>
          <w:bCs w:val="1"/>
          <w:color w:val="auto"/>
        </w:rPr>
      </w:pPr>
    </w:p>
    <w:p>
      <w:pPr>
        <w:ind w:left="1500" w:hanging="358"/>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(Conflicts of Interest)” for additional information regarding underwriting compensation.</w:t>
      </w:r>
    </w:p>
    <w:p>
      <w:pPr>
        <w:spacing w:after="0" w:line="32" w:lineRule="exact"/>
        <w:rPr>
          <w:rFonts w:ascii="Arial" w:cs="Arial" w:eastAsia="Arial" w:hAnsi="Arial"/>
          <w:sz w:val="12"/>
          <w:szCs w:val="12"/>
          <w:b w:val="1"/>
          <w:bCs w:val="1"/>
          <w:color w:val="auto"/>
        </w:rPr>
      </w:pPr>
    </w:p>
    <w:tbl>
      <w:tblPr>
        <w:tblLayout w:type="fixed"/>
        <w:tblInd w:w="1500" w:type="dxa"/>
        <w:tblCellMar>
          <w:top w:w="0" w:type="dxa"/>
          <w:left w:w="0" w:type="dxa"/>
          <w:bottom w:w="0" w:type="dxa"/>
          <w:right w:w="0" w:type="dxa"/>
        </w:tblCellMar>
      </w:tblP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Delivery of the shares of Class A common stock will be made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2019.</w:t>
            </w:r>
          </w:p>
        </w:tc>
      </w:tr>
    </w:tbl>
    <w:p>
      <w:pPr>
        <w:ind w:left="1140" w:right="260" w:firstLine="360"/>
        <w:spacing w:after="0" w:line="237" w:lineRule="auto"/>
        <w:rPr>
          <w:sz w:val="20"/>
          <w:szCs w:val="20"/>
          <w:color w:val="auto"/>
        </w:rPr>
      </w:pPr>
      <w:r>
        <w:rPr>
          <w:rFonts w:ascii="Arial" w:cs="Arial" w:eastAsia="Arial" w:hAnsi="Arial"/>
          <w:sz w:val="16"/>
          <w:szCs w:val="16"/>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06" w:lineRule="exact"/>
        <w:rPr>
          <w:rFonts w:ascii="Arial" w:cs="Arial" w:eastAsia="Arial" w:hAnsi="Arial"/>
          <w:sz w:val="12"/>
          <w:szCs w:val="12"/>
          <w:b w:val="1"/>
          <w:bCs w:val="1"/>
          <w:color w:val="auto"/>
        </w:rPr>
      </w:pPr>
    </w:p>
    <w:p>
      <w:pPr>
        <w:ind w:left="1140"/>
        <w:spacing w:after="0"/>
        <w:tabs>
          <w:tab w:leader="none" w:pos="2820" w:val="left"/>
          <w:tab w:leader="none" w:pos="6460" w:val="left"/>
          <w:tab w:leader="none" w:pos="8480" w:val="left"/>
        </w:tabs>
        <w:rPr>
          <w:sz w:val="20"/>
          <w:szCs w:val="20"/>
          <w:color w:val="auto"/>
        </w:rPr>
      </w:pP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3"/>
          <w:szCs w:val="23"/>
          <w:b w:val="1"/>
          <w:bCs w:val="1"/>
          <w:color w:val="auto"/>
        </w:rPr>
        <w:t>Morgan Stanley</w:t>
      </w:r>
    </w:p>
    <w:p>
      <w:pPr>
        <w:spacing w:after="0" w:line="140" w:lineRule="exact"/>
        <w:rPr>
          <w:rFonts w:ascii="Arial" w:cs="Arial" w:eastAsia="Arial" w:hAnsi="Arial"/>
          <w:sz w:val="12"/>
          <w:szCs w:val="12"/>
          <w:b w:val="1"/>
          <w:bCs w:val="1"/>
          <w:color w:val="auto"/>
        </w:rPr>
      </w:pPr>
    </w:p>
    <w:p>
      <w:pPr>
        <w:ind w:left="1680"/>
        <w:spacing w:after="0"/>
        <w:tabs>
          <w:tab w:leader="none" w:pos="5260" w:val="left"/>
          <w:tab w:leader="none" w:pos="812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19"/>
          <w:szCs w:val="19"/>
          <w:b w:val="1"/>
          <w:bCs w:val="1"/>
          <w:color w:val="auto"/>
        </w:rPr>
        <w:t>Credit Suisse</w:t>
      </w:r>
    </w:p>
    <w:p>
      <w:pPr>
        <w:spacing w:after="0" w:line="27" w:lineRule="exact"/>
        <w:rPr>
          <w:rFonts w:ascii="Arial" w:cs="Arial" w:eastAsia="Arial" w:hAnsi="Arial"/>
          <w:sz w:val="12"/>
          <w:szCs w:val="12"/>
          <w:b w:val="1"/>
          <w:bCs w:val="1"/>
          <w:color w:val="auto"/>
        </w:rPr>
      </w:pPr>
    </w:p>
    <w:p>
      <w:pPr>
        <w:ind w:left="1440"/>
        <w:spacing w:after="0"/>
        <w:tabs>
          <w:tab w:leader="none" w:pos="4640" w:val="left"/>
          <w:tab w:leader="none" w:pos="7700"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9" w:lineRule="exact"/>
        <w:rPr>
          <w:rFonts w:ascii="Arial" w:cs="Arial" w:eastAsia="Arial" w:hAnsi="Arial"/>
          <w:sz w:val="12"/>
          <w:szCs w:val="12"/>
          <w:b w:val="1"/>
          <w:bCs w:val="1"/>
          <w:color w:val="auto"/>
        </w:rPr>
      </w:pPr>
    </w:p>
    <w:p>
      <w:pPr>
        <w:ind w:left="3040"/>
        <w:spacing w:after="0"/>
        <w:tabs>
          <w:tab w:leader="none" w:pos="676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ectPr>
          <w:pgSz w:w="11900" w:h="16838" w:orient="portrait"/>
          <w:cols w:equalWidth="0" w:num="1">
            <w:col w:w="10240"/>
          </w:cols>
          <w:pgMar w:left="320" w:top="131" w:right="1339" w:bottom="1440" w:gutter="0" w:footer="0" w:header="0"/>
        </w:sectPr>
      </w:pPr>
    </w:p>
    <w:p>
      <w:pPr>
        <w:spacing w:after="0" w:line="180" w:lineRule="exact"/>
        <w:rPr>
          <w:rFonts w:ascii="Arial" w:cs="Arial" w:eastAsia="Arial" w:hAnsi="Arial"/>
          <w:sz w:val="12"/>
          <w:szCs w:val="12"/>
          <w:b w:val="1"/>
          <w:bCs w:val="1"/>
          <w:color w:val="auto"/>
        </w:rPr>
      </w:pPr>
    </w:p>
    <w:p>
      <w:pPr>
        <w:ind w:left="4080"/>
        <w:spacing w:after="0"/>
        <w:tabs>
          <w:tab w:leader="none" w:pos="6840" w:val="left"/>
        </w:tabs>
        <w:rPr>
          <w:sz w:val="20"/>
          <w:szCs w:val="20"/>
          <w:color w:val="auto"/>
        </w:rPr>
      </w:pPr>
      <w:r>
        <w:rPr>
          <w:rFonts w:ascii="Arial" w:cs="Arial" w:eastAsia="Arial" w:hAnsi="Arial"/>
          <w:sz w:val="16"/>
          <w:szCs w:val="16"/>
          <w:color w:val="auto"/>
        </w:rPr>
        <w:t>The date of this prospectus is</w:t>
      </w:r>
      <w:r>
        <w:rPr>
          <w:sz w:val="20"/>
          <w:szCs w:val="20"/>
          <w:color w:val="auto"/>
        </w:rPr>
        <w:tab/>
      </w:r>
      <w:r>
        <w:rPr>
          <w:rFonts w:ascii="Arial" w:cs="Arial" w:eastAsia="Arial" w:hAnsi="Arial"/>
          <w:sz w:val="14"/>
          <w:szCs w:val="14"/>
          <w:color w:val="auto"/>
        </w:rPr>
        <w:t>, 2019.</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9"/>
        </w:trPr>
        <w:tc>
          <w:tcPr>
            <w:tcW w:w="2660" w:type="dxa"/>
            <w:vAlign w:val="bottom"/>
            <w:gridSpan w:val="13"/>
            <w:shd w:val="clear" w:color="auto" w:fill="CCEEFF"/>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MARKET AND INDUSTRY DATA</w:t>
              </w:r>
            </w:hyperlink>
          </w:p>
        </w:tc>
        <w:tc>
          <w:tcPr>
            <w:tcW w:w="5020" w:type="dxa"/>
            <w:vAlign w:val="bottom"/>
            <w:gridSpan w:val="16"/>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CERTAIN TRADEMARKS, TRADE NAMES AND SERVICE MARKS</w:t>
              </w:r>
            </w:hyperlink>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14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29"/>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BASIS OF PRESENTATION</w:t>
              </w:r>
            </w:hyperlink>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USE OF NON-GAAP FINANCIAL MEASURES</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rPr>
            </w:pPr>
            <w:hyperlink w:anchor="page5">
              <w:r>
                <w:rPr>
                  <w:rFonts w:ascii="Arial" w:cs="Arial" w:eastAsia="Arial" w:hAnsi="Arial"/>
                  <w:sz w:val="18"/>
                  <w:szCs w:val="18"/>
                  <w:color w:val="0000EE"/>
                </w:rPr>
                <w:t>iv</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100" w:type="dxa"/>
            <w:vAlign w:val="bottom"/>
            <w:gridSpan w:val="9"/>
            <w:shd w:val="clear" w:color="auto" w:fill="CCEEFF"/>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SUMMARY</w:t>
              </w:r>
            </w:hyperlink>
          </w:p>
        </w:tc>
        <w:tc>
          <w:tcPr>
            <w:tcW w:w="5580" w:type="dxa"/>
            <w:vAlign w:val="bottom"/>
            <w:gridSpan w:val="20"/>
            <w:shd w:val="clear" w:color="auto" w:fill="CCEEFF"/>
          </w:tcPr>
          <w:p>
            <w:pPr>
              <w:spacing w:after="0"/>
              <w:rPr>
                <w:sz w:val="19"/>
                <w:szCs w:val="19"/>
                <w:color w:val="auto"/>
              </w:rPr>
            </w:pPr>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100" w:type="dxa"/>
            <w:vAlign w:val="bottom"/>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5580" w:type="dxa"/>
            <w:vAlign w:val="bottom"/>
            <w:gridSpan w:val="20"/>
          </w:tcPr>
          <w:p>
            <w:pPr>
              <w:spacing w:after="0"/>
              <w:rPr>
                <w:sz w:val="19"/>
                <w:szCs w:val="19"/>
                <w:color w:val="auto"/>
              </w:rPr>
            </w:pPr>
          </w:p>
        </w:tc>
        <w:tc>
          <w:tcPr>
            <w:tcW w:w="540" w:type="dxa"/>
            <w:vAlign w:val="bottom"/>
            <w:gridSpan w:val="8"/>
          </w:tcPr>
          <w:p>
            <w:pPr>
              <w:jc w:val="right"/>
              <w:ind w:right="140"/>
              <w:spacing w:after="0"/>
              <w:rPr>
                <w:rFonts w:ascii="Arial" w:cs="Arial" w:eastAsia="Arial" w:hAnsi="Arial"/>
                <w:sz w:val="18"/>
                <w:szCs w:val="18"/>
                <w:color w:val="0000EE"/>
              </w:rPr>
            </w:pPr>
            <w:hyperlink w:anchor="page32">
              <w:r>
                <w:rPr>
                  <w:rFonts w:ascii="Arial" w:cs="Arial" w:eastAsia="Arial" w:hAnsi="Arial"/>
                  <w:sz w:val="18"/>
                  <w:szCs w:val="18"/>
                  <w:color w:val="0000EE"/>
                </w:rPr>
                <w:t>26</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00" w:type="dxa"/>
            <w:vAlign w:val="bottom"/>
            <w:gridSpan w:val="23"/>
            <w:shd w:val="clear" w:color="auto" w:fill="CCEEFF"/>
          </w:tcPr>
          <w:p>
            <w:pPr>
              <w:spacing w:after="0"/>
              <w:rPr>
                <w:rFonts w:ascii="Arial" w:cs="Arial" w:eastAsia="Arial" w:hAnsi="Arial"/>
                <w:sz w:val="18"/>
                <w:szCs w:val="18"/>
                <w:color w:val="0000EE"/>
                <w:w w:val="96"/>
              </w:rPr>
            </w:pPr>
            <w:hyperlink w:anchor="page66">
              <w:r>
                <w:rPr>
                  <w:rFonts w:ascii="Arial" w:cs="Arial" w:eastAsia="Arial" w:hAnsi="Arial"/>
                  <w:sz w:val="18"/>
                  <w:szCs w:val="18"/>
                  <w:color w:val="0000EE"/>
                  <w:w w:val="96"/>
                </w:rPr>
                <w:t>CAUTIONARY NOTE REGARDING FORWARD-LOOKING STATEMENTS</w:t>
              </w:r>
            </w:hyperlink>
          </w:p>
        </w:tc>
        <w:tc>
          <w:tcPr>
            <w:tcW w:w="1880" w:type="dxa"/>
            <w:vAlign w:val="bottom"/>
            <w:gridSpan w:val="6"/>
            <w:shd w:val="clear" w:color="auto" w:fill="CCEEFF"/>
          </w:tcPr>
          <w:p>
            <w:pPr>
              <w:spacing w:after="0"/>
              <w:rPr>
                <w:sz w:val="19"/>
                <w:szCs w:val="19"/>
                <w:color w:val="auto"/>
              </w:rPr>
            </w:pPr>
          </w:p>
        </w:tc>
        <w:tc>
          <w:tcPr>
            <w:tcW w:w="220" w:type="dxa"/>
            <w:vAlign w:val="bottom"/>
            <w:gridSpan w:val="3"/>
            <w:shd w:val="clear" w:color="auto" w:fill="CCEEFF"/>
          </w:tcPr>
          <w:p>
            <w:pPr>
              <w:spacing w:after="0"/>
              <w:rPr>
                <w:sz w:val="19"/>
                <w:szCs w:val="19"/>
                <w:color w:val="auto"/>
              </w:rPr>
            </w:pPr>
          </w:p>
        </w:tc>
        <w:tc>
          <w:tcPr>
            <w:tcW w:w="320" w:type="dxa"/>
            <w:vAlign w:val="bottom"/>
            <w:gridSpan w:val="5"/>
            <w:shd w:val="clear" w:color="auto" w:fill="CCEEFF"/>
          </w:tcPr>
          <w:p>
            <w:pPr>
              <w:jc w:val="right"/>
              <w:ind w:right="140"/>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60</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THE REORGANIZATION TRANSACTIONS</w:t>
              </w:r>
            </w:hyperlink>
          </w:p>
        </w:tc>
        <w:tc>
          <w:tcPr>
            <w:tcW w:w="1880" w:type="dxa"/>
            <w:vAlign w:val="bottom"/>
            <w:gridSpan w:val="6"/>
          </w:tcPr>
          <w:p>
            <w:pPr>
              <w:spacing w:after="0"/>
              <w:rPr>
                <w:sz w:val="19"/>
                <w:szCs w:val="19"/>
                <w:color w:val="auto"/>
              </w:rPr>
            </w:pPr>
          </w:p>
        </w:tc>
        <w:tc>
          <w:tcPr>
            <w:tcW w:w="220" w:type="dxa"/>
            <w:vAlign w:val="bottom"/>
            <w:gridSpan w:val="3"/>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62</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72">
              <w:r>
                <w:rPr>
                  <w:rFonts w:ascii="Arial" w:cs="Arial" w:eastAsia="Arial" w:hAnsi="Arial"/>
                  <w:sz w:val="18"/>
                  <w:szCs w:val="18"/>
                  <w:color w:val="0000EE"/>
                </w:rPr>
                <w:t>66</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73">
              <w:r>
                <w:rPr>
                  <w:rFonts w:ascii="Arial" w:cs="Arial" w:eastAsia="Arial" w:hAnsi="Arial"/>
                  <w:sz w:val="18"/>
                  <w:szCs w:val="18"/>
                  <w:color w:val="0000EE"/>
                </w:rPr>
                <w:t>67</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CAPITALIZATION</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74">
              <w:r>
                <w:rPr>
                  <w:rFonts w:ascii="Arial" w:cs="Arial" w:eastAsia="Arial" w:hAnsi="Arial"/>
                  <w:sz w:val="18"/>
                  <w:szCs w:val="18"/>
                  <w:color w:val="0000EE"/>
                </w:rPr>
                <w:t>68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6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6220" w:type="dxa"/>
            <w:vAlign w:val="bottom"/>
            <w:gridSpan w:val="23"/>
          </w:tcPr>
          <w:p>
            <w:pPr>
              <w:spacing w:after="0"/>
              <w:rPr>
                <w:sz w:val="19"/>
                <w:szCs w:val="19"/>
                <w:color w:val="auto"/>
              </w:rPr>
            </w:pPr>
          </w:p>
        </w:tc>
        <w:tc>
          <w:tcPr>
            <w:tcW w:w="220" w:type="dxa"/>
            <w:vAlign w:val="bottom"/>
            <w:gridSpan w:val="3"/>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70</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040" w:type="dxa"/>
            <w:vAlign w:val="bottom"/>
            <w:gridSpan w:val="26"/>
            <w:shd w:val="clear" w:color="auto" w:fill="CCEEFF"/>
          </w:tcPr>
          <w:p>
            <w:pPr>
              <w:spacing w:after="0"/>
              <w:rPr>
                <w:rFonts w:ascii="Arial" w:cs="Arial" w:eastAsia="Arial" w:hAnsi="Arial"/>
                <w:sz w:val="18"/>
                <w:szCs w:val="18"/>
                <w:color w:val="0000EE"/>
                <w:w w:val="97"/>
              </w:rPr>
            </w:pPr>
            <w:hyperlink w:anchor="page79">
              <w:r>
                <w:rPr>
                  <w:rFonts w:ascii="Arial" w:cs="Arial" w:eastAsia="Arial" w:hAnsi="Arial"/>
                  <w:sz w:val="18"/>
                  <w:szCs w:val="18"/>
                  <w:color w:val="0000EE"/>
                  <w:w w:val="97"/>
                </w:rPr>
                <w:t>SELECTED HISTORICAL CONSOLIDATED FINANCIAL AND OTHER DATA</w:t>
              </w:r>
            </w:hyperlink>
          </w:p>
        </w:tc>
        <w:tc>
          <w:tcPr>
            <w:tcW w:w="1640" w:type="dxa"/>
            <w:vAlign w:val="bottom"/>
            <w:gridSpan w:val="3"/>
            <w:shd w:val="clear" w:color="auto" w:fill="CCEEFF"/>
          </w:tcPr>
          <w:p>
            <w:pPr>
              <w:spacing w:after="0"/>
              <w:rPr>
                <w:sz w:val="19"/>
                <w:szCs w:val="19"/>
                <w:color w:val="auto"/>
              </w:rPr>
            </w:pPr>
          </w:p>
        </w:tc>
        <w:tc>
          <w:tcPr>
            <w:tcW w:w="220" w:type="dxa"/>
            <w:vAlign w:val="bottom"/>
            <w:gridSpan w:val="3"/>
            <w:shd w:val="clear" w:color="auto" w:fill="CCEEFF"/>
          </w:tcPr>
          <w:p>
            <w:pPr>
              <w:spacing w:after="0"/>
              <w:rPr>
                <w:sz w:val="19"/>
                <w:szCs w:val="19"/>
                <w:color w:val="auto"/>
              </w:rPr>
            </w:pPr>
          </w:p>
        </w:tc>
        <w:tc>
          <w:tcPr>
            <w:tcW w:w="320" w:type="dxa"/>
            <w:vAlign w:val="bottom"/>
            <w:gridSpan w:val="5"/>
            <w:shd w:val="clear" w:color="auto" w:fill="CCEEFF"/>
          </w:tcPr>
          <w:p>
            <w:pPr>
              <w:jc w:val="right"/>
              <w:ind w:right="140"/>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040" w:type="dxa"/>
            <w:vAlign w:val="bottom"/>
            <w:gridSpan w:val="2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UNAUDITED PRO FORMA CONSOLIDATED FINANCIAL INFORMATION</w:t>
              </w:r>
            </w:hyperlink>
          </w:p>
        </w:tc>
        <w:tc>
          <w:tcPr>
            <w:tcW w:w="1640" w:type="dxa"/>
            <w:vAlign w:val="bottom"/>
            <w:gridSpan w:val="3"/>
          </w:tcPr>
          <w:p>
            <w:pPr>
              <w:spacing w:after="0"/>
              <w:rPr>
                <w:sz w:val="19"/>
                <w:szCs w:val="19"/>
                <w:color w:val="auto"/>
              </w:rPr>
            </w:pPr>
          </w:p>
        </w:tc>
        <w:tc>
          <w:tcPr>
            <w:tcW w:w="220" w:type="dxa"/>
            <w:vAlign w:val="bottom"/>
            <w:gridSpan w:val="3"/>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78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70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8"/>
              </w:rPr>
            </w:pPr>
            <w:hyperlink w:anchor="page89">
              <w:r>
                <w:rPr>
                  <w:rFonts w:ascii="Arial" w:cs="Arial" w:eastAsia="Arial" w:hAnsi="Arial"/>
                  <w:sz w:val="18"/>
                  <w:szCs w:val="18"/>
                  <w:color w:val="0000EE"/>
                  <w:w w:val="98"/>
                </w:rPr>
                <w:t>MANAGEMENT’S DISCUSSION AND ANALYSIS OF FINANCIAL CONDITION AND</w:t>
              </w:r>
            </w:hyperlink>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00" w:type="dxa"/>
            <w:vAlign w:val="bottom"/>
            <w:gridSpan w:val="10"/>
            <w:shd w:val="clear" w:color="auto" w:fill="CCEEFF"/>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RESULTS OF OPERATIONS</w:t>
              </w:r>
            </w:hyperlink>
          </w:p>
        </w:tc>
        <w:tc>
          <w:tcPr>
            <w:tcW w:w="5300" w:type="dxa"/>
            <w:vAlign w:val="bottom"/>
            <w:gridSpan w:val="18"/>
            <w:shd w:val="clear" w:color="auto" w:fill="CCEEFF"/>
          </w:tcPr>
          <w:p>
            <w:pPr>
              <w:spacing w:after="0"/>
              <w:rPr>
                <w:sz w:val="17"/>
                <w:szCs w:val="17"/>
                <w:color w:val="auto"/>
              </w:rPr>
            </w:pPr>
          </w:p>
        </w:tc>
        <w:tc>
          <w:tcPr>
            <w:tcW w:w="220" w:type="dxa"/>
            <w:vAlign w:val="bottom"/>
            <w:gridSpan w:val="3"/>
            <w:shd w:val="clear" w:color="auto" w:fill="CCEEFF"/>
          </w:tcPr>
          <w:p>
            <w:pPr>
              <w:spacing w:after="0"/>
              <w:rPr>
                <w:sz w:val="17"/>
                <w:szCs w:val="17"/>
                <w:color w:val="auto"/>
              </w:rPr>
            </w:pPr>
          </w:p>
        </w:tc>
        <w:tc>
          <w:tcPr>
            <w:tcW w:w="320" w:type="dxa"/>
            <w:vAlign w:val="bottom"/>
            <w:gridSpan w:val="5"/>
            <w:shd w:val="clear" w:color="auto" w:fill="CCEEFF"/>
          </w:tcPr>
          <w:p>
            <w:pPr>
              <w:jc w:val="right"/>
              <w:ind w:right="140"/>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BUSINESS</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19">
              <w:r>
                <w:rPr>
                  <w:rFonts w:ascii="Arial" w:cs="Arial" w:eastAsia="Arial" w:hAnsi="Arial"/>
                  <w:sz w:val="18"/>
                  <w:szCs w:val="18"/>
                  <w:color w:val="0000EE"/>
                </w:rPr>
                <w:t>113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MANAGEMENT</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40">
              <w:r>
                <w:rPr>
                  <w:rFonts w:ascii="Arial" w:cs="Arial" w:eastAsia="Arial" w:hAnsi="Arial"/>
                  <w:sz w:val="18"/>
                  <w:szCs w:val="18"/>
                  <w:color w:val="0000EE"/>
                </w:rPr>
                <w:t>134</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EXECUTIVE COMPENSATION</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44">
              <w:r>
                <w:rPr>
                  <w:rFonts w:ascii="Arial" w:cs="Arial" w:eastAsia="Arial" w:hAnsi="Arial"/>
                  <w:sz w:val="18"/>
                  <w:szCs w:val="18"/>
                  <w:color w:val="0000EE"/>
                </w:rPr>
                <w:t>138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PRINCIPAL STOCKHOLDERS</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60">
              <w:r>
                <w:rPr>
                  <w:rFonts w:ascii="Arial" w:cs="Arial" w:eastAsia="Arial" w:hAnsi="Arial"/>
                  <w:sz w:val="18"/>
                  <w:szCs w:val="18"/>
                  <w:color w:val="0000EE"/>
                </w:rPr>
                <w:t>154</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CERTAIN RELATIONSHIPS AND RELATED PARTY TRANSACTIONS</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61">
              <w:r>
                <w:rPr>
                  <w:rFonts w:ascii="Arial" w:cs="Arial" w:eastAsia="Arial" w:hAnsi="Arial"/>
                  <w:sz w:val="18"/>
                  <w:szCs w:val="18"/>
                  <w:color w:val="0000EE"/>
                </w:rPr>
                <w:t>155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880" w:type="dxa"/>
            <w:vAlign w:val="bottom"/>
            <w:gridSpan w:val="14"/>
            <w:shd w:val="clear" w:color="auto" w:fill="CCEEFF"/>
          </w:tcPr>
          <w:p>
            <w:pPr>
              <w:spacing w:after="0"/>
              <w:rPr>
                <w:rFonts w:ascii="Arial" w:cs="Arial" w:eastAsia="Arial" w:hAnsi="Arial"/>
                <w:sz w:val="18"/>
                <w:szCs w:val="18"/>
                <w:color w:val="0000EE"/>
                <w:w w:val="95"/>
              </w:rPr>
            </w:pPr>
            <w:hyperlink w:anchor="page169">
              <w:r>
                <w:rPr>
                  <w:rFonts w:ascii="Arial" w:cs="Arial" w:eastAsia="Arial" w:hAnsi="Arial"/>
                  <w:sz w:val="18"/>
                  <w:szCs w:val="18"/>
                  <w:color w:val="0000EE"/>
                  <w:w w:val="95"/>
                </w:rPr>
                <w:t>DESCRIPTION OF CAPITAL STOCK</w:t>
              </w:r>
            </w:hyperlink>
          </w:p>
        </w:tc>
        <w:tc>
          <w:tcPr>
            <w:tcW w:w="4800" w:type="dxa"/>
            <w:vAlign w:val="bottom"/>
            <w:gridSpan w:val="15"/>
            <w:shd w:val="clear" w:color="auto" w:fill="CCEEFF"/>
          </w:tcPr>
          <w:p>
            <w:pPr>
              <w:spacing w:after="0"/>
              <w:rPr>
                <w:sz w:val="19"/>
                <w:szCs w:val="19"/>
                <w:color w:val="auto"/>
              </w:rPr>
            </w:pPr>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69">
              <w:r>
                <w:rPr>
                  <w:rFonts w:ascii="Arial" w:cs="Arial" w:eastAsia="Arial" w:hAnsi="Arial"/>
                  <w:sz w:val="18"/>
                  <w:szCs w:val="18"/>
                  <w:color w:val="0000EE"/>
                </w:rPr>
                <w:t>163</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SHARES ELIGIBLE FOR FUTURE SALE</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79">
              <w:r>
                <w:rPr>
                  <w:rFonts w:ascii="Arial" w:cs="Arial" w:eastAsia="Arial" w:hAnsi="Arial"/>
                  <w:sz w:val="18"/>
                  <w:szCs w:val="18"/>
                  <w:color w:val="0000EE"/>
                </w:rPr>
                <w:t>173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29"/>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MATERIAL U.S. FEDERAL TAX CONSIDERATIONS FOR NON-U.S. HOLDERS OF OUR</w:t>
              </w:r>
            </w:hyperlink>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20" w:type="dxa"/>
            <w:vAlign w:val="bottom"/>
            <w:tcBorders>
              <w:top w:val="single" w:sz="8" w:color="0000EE"/>
            </w:tcBorders>
            <w:gridSpan w:val="27"/>
            <w:shd w:val="clear" w:color="auto" w:fill="CCEEFF"/>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COMMON STOCK</w:t>
              </w:r>
            </w:hyperlink>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8"/>
            <w:shd w:val="clear" w:color="auto" w:fill="CCEEFF"/>
          </w:tcPr>
          <w:p>
            <w:pPr>
              <w:jc w:val="right"/>
              <w:ind w:right="140"/>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176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29"/>
        </w:trPr>
        <w:tc>
          <w:tcPr>
            <w:tcW w:w="7680" w:type="dxa"/>
            <w:vAlign w:val="bottom"/>
            <w:gridSpan w:val="29"/>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UNDERWRITING (CONFLICTS OF INTEREST)</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86">
              <w:r>
                <w:rPr>
                  <w:rFonts w:ascii="Arial" w:cs="Arial" w:eastAsia="Arial" w:hAnsi="Arial"/>
                  <w:sz w:val="18"/>
                  <w:szCs w:val="18"/>
                  <w:color w:val="0000EE"/>
                </w:rPr>
                <w:t>180</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7680" w:type="dxa"/>
            <w:vAlign w:val="bottom"/>
            <w:gridSpan w:val="29"/>
            <w:shd w:val="clear" w:color="auto" w:fill="CCEEFF"/>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LEGAL MATTERS</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94">
              <w:r>
                <w:rPr>
                  <w:rFonts w:ascii="Arial" w:cs="Arial" w:eastAsia="Arial" w:hAnsi="Arial"/>
                  <w:sz w:val="18"/>
                  <w:szCs w:val="18"/>
                  <w:color w:val="0000EE"/>
                </w:rPr>
                <w:t>188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CHANGE IN INDEPENDENT REGISTERED PUBLIC ACCOUNTING FIRM</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94">
              <w:r>
                <w:rPr>
                  <w:rFonts w:ascii="Arial" w:cs="Arial" w:eastAsia="Arial" w:hAnsi="Arial"/>
                  <w:sz w:val="18"/>
                  <w:szCs w:val="18"/>
                  <w:color w:val="0000EE"/>
                </w:rPr>
                <w:t>188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80" w:type="dxa"/>
            <w:vAlign w:val="bottom"/>
            <w:gridSpan w:val="2"/>
            <w:shd w:val="clear" w:color="auto" w:fill="CCEEFF"/>
          </w:tcPr>
          <w:p>
            <w:pPr>
              <w:spacing w:after="0"/>
              <w:rPr>
                <w:rFonts w:ascii="Arial" w:cs="Arial" w:eastAsia="Arial" w:hAnsi="Arial"/>
                <w:sz w:val="18"/>
                <w:szCs w:val="18"/>
                <w:color w:val="0000EE"/>
                <w:w w:val="90"/>
              </w:rPr>
            </w:pPr>
            <w:hyperlink w:anchor="page194">
              <w:r>
                <w:rPr>
                  <w:rFonts w:ascii="Arial" w:cs="Arial" w:eastAsia="Arial" w:hAnsi="Arial"/>
                  <w:sz w:val="18"/>
                  <w:szCs w:val="18"/>
                  <w:color w:val="0000EE"/>
                  <w:w w:val="90"/>
                </w:rPr>
                <w:t>EXPERTS</w:t>
              </w:r>
            </w:hyperlink>
          </w:p>
        </w:tc>
        <w:tc>
          <w:tcPr>
            <w:tcW w:w="6900" w:type="dxa"/>
            <w:vAlign w:val="bottom"/>
            <w:gridSpan w:val="27"/>
            <w:shd w:val="clear" w:color="auto" w:fill="CCEEFF"/>
          </w:tcPr>
          <w:p>
            <w:pPr>
              <w:spacing w:after="0"/>
              <w:rPr>
                <w:sz w:val="19"/>
                <w:szCs w:val="19"/>
                <w:color w:val="auto"/>
              </w:rPr>
            </w:pPr>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94">
              <w:r>
                <w:rPr>
                  <w:rFonts w:ascii="Arial" w:cs="Arial" w:eastAsia="Arial" w:hAnsi="Arial"/>
                  <w:sz w:val="18"/>
                  <w:szCs w:val="18"/>
                  <w:color w:val="0000EE"/>
                </w:rPr>
                <w:t>188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WHERE YOU CAN FIND MORE INFORMATION</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96">
              <w:r>
                <w:rPr>
                  <w:rFonts w:ascii="Arial" w:cs="Arial" w:eastAsia="Arial" w:hAnsi="Arial"/>
                  <w:sz w:val="18"/>
                  <w:szCs w:val="18"/>
                  <w:color w:val="0000EE"/>
                </w:rPr>
                <w:t>190</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INDEX TO FINANCIAL STATEMENTS</w:t>
              </w:r>
            </w:hyperlink>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6"/>
            <w:shd w:val="clear" w:color="auto" w:fill="CCEEFF"/>
          </w:tcPr>
          <w:p>
            <w:pPr>
              <w:jc w:val="right"/>
              <w:ind w:right="140"/>
              <w:spacing w:after="0"/>
              <w:rPr>
                <w:rFonts w:ascii="Arial" w:cs="Arial" w:eastAsia="Arial" w:hAnsi="Arial"/>
                <w:sz w:val="18"/>
                <w:szCs w:val="18"/>
                <w:color w:val="0000EE"/>
                <w:w w:val="81"/>
              </w:rPr>
            </w:pPr>
            <w:hyperlink w:anchor="page197">
              <w:r>
                <w:rPr>
                  <w:rFonts w:ascii="Arial" w:cs="Arial" w:eastAsia="Arial" w:hAnsi="Arial"/>
                  <w:sz w:val="18"/>
                  <w:szCs w:val="18"/>
                  <w:color w:val="0000EE"/>
                  <w:w w:val="81"/>
                </w:rPr>
                <w:t>F-1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-5228590</wp:posOffset>
            </wp:positionV>
            <wp:extent cx="4869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6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This prospectus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w:t>
      </w:r>
    </w:p>
    <w:p>
      <w:pPr>
        <w:spacing w:after="0" w:line="4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In presenting this information, we have made certain assumptions that we believe to be reasonable based on such data and other similar sources and on our knowledge of, and our experience to date in, the markets in which we operate. Market share data is subject to change and may be limited by the availability of raw data, the voluntary nature of the data gathering process and other limitations inherent in any statistical survey of market shares. Accordingly, you are cautioned not to place undue reliance on such market share data or any other such estimates. While we believe such information is reliable, neither we nor the underwriters can guarantee the accuracy or completeness of this information, and neither we nor the underwriters have independently verified any third-party information and data from our internal research has not been verified by any independent source. While we believe the estimated market and industry data included in this prospectus are generally reliable, such information, which is derived in part from management’s estimates and beliefs, is inherently uncertain and imprecise.</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5"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“Reorganization Transactions.” See “The Reorganization Transactions” for a description of the Reorganization Transactions and a diagram depicting our organizational structure after giving effect to the Reorganization Transactions, including this offering.</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98" w:lineRule="exact"/>
        <w:rPr>
          <w:sz w:val="20"/>
          <w:szCs w:val="20"/>
          <w:color w:val="auto"/>
        </w:rPr>
      </w:pPr>
    </w:p>
    <w:p>
      <w:pPr>
        <w:ind w:left="1980" w:right="699" w:hanging="352"/>
        <w:spacing w:after="0" w:line="293"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“Tradeweb” </w:t>
      </w:r>
      <w:r>
        <w:rPr>
          <w:rFonts w:ascii="Arial" w:cs="Arial" w:eastAsia="Arial" w:hAnsi="Arial"/>
          <w:sz w:val="16"/>
          <w:szCs w:val="16"/>
          <w:color w:val="auto"/>
        </w:rPr>
        <w:t>and similar references refer: (i)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Reorganization Transactions, including this offering, to Tradeweb Markets LLC, which we refer to as “TWM LLC,” and, unless otherwise stated or the context otherwise requires, all of its subsidiaries and any predecessor entities, and (ii) following the completion of the Reorganization Transactions, including this offering, to Tradeweb Markets Inc., and, unless otherwise stated or the context otherwise requires, TWM LLC and all of its subsidiaries and any predecessor entities.</w:t>
      </w:r>
    </w:p>
    <w:p>
      <w:pPr>
        <w:spacing w:after="0" w:line="123" w:lineRule="exact"/>
        <w:rPr>
          <w:rFonts w:ascii="Arial" w:cs="Arial" w:eastAsia="Arial" w:hAnsi="Arial"/>
          <w:sz w:val="16"/>
          <w:szCs w:val="16"/>
          <w:color w:val="auto"/>
        </w:rPr>
      </w:pPr>
    </w:p>
    <w:p>
      <w:pPr>
        <w:ind w:left="1980" w:right="679" w:hanging="352"/>
        <w:spacing w:after="0" w:line="273"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“Bank Stockholders” </w:t>
      </w:r>
      <w:r>
        <w:rPr>
          <w:rFonts w:ascii="Arial" w:cs="Arial" w:eastAsia="Arial" w:hAnsi="Arial"/>
          <w:sz w:val="17"/>
          <w:szCs w:val="17"/>
          <w:color w:val="auto"/>
        </w:rPr>
        <w:t>refer collectively to entities affiliated with the following clients: Barclays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 which, prior to the completion of this offering, collectively hold a 46% ownership interest in Tradeweb.</w:t>
      </w:r>
    </w:p>
    <w:p>
      <w:pPr>
        <w:spacing w:after="0" w:line="2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Refinitiv LLC Owners and the Other LLC Owners.</w:t>
      </w:r>
    </w:p>
    <w:p>
      <w:pPr>
        <w:spacing w:after="0" w:line="88" w:lineRule="exact"/>
        <w:rPr>
          <w:rFonts w:ascii="Arial" w:cs="Arial" w:eastAsia="Arial" w:hAnsi="Arial"/>
          <w:sz w:val="17"/>
          <w:szCs w:val="17"/>
          <w:color w:val="auto"/>
        </w:rPr>
      </w:pPr>
    </w:p>
    <w:p>
      <w:pPr>
        <w:ind w:left="1980" w:right="919" w:hanging="352"/>
        <w:spacing w:after="0" w:line="259"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L.P.,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Canada Pension Plan Investment Board, an affiliate of GIC Special Investments Pte. Ltd. and certain co-investors, which collectively hold indirectly a 55% ownership interest in Refinitiv (as defined below).</w:t>
      </w:r>
    </w:p>
    <w:p>
      <w:pPr>
        <w:spacing w:after="0" w:line="38"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“LLC Interests” </w:t>
      </w:r>
      <w:r>
        <w:rPr>
          <w:rFonts w:ascii="Arial" w:cs="Arial" w:eastAsia="Arial" w:hAnsi="Arial"/>
          <w:sz w:val="16"/>
          <w:szCs w:val="16"/>
          <w:color w:val="auto"/>
        </w:rPr>
        <w:t>refer to the single class of newly issued common membership interests of TWM LLC.</w:t>
      </w:r>
    </w:p>
    <w:p>
      <w:pPr>
        <w:spacing w:after="0" w:line="113" w:lineRule="exact"/>
        <w:rPr>
          <w:rFonts w:ascii="Arial" w:cs="Arial" w:eastAsia="Arial" w:hAnsi="Arial"/>
          <w:sz w:val="16"/>
          <w:szCs w:val="16"/>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“Original LLC Owners” </w:t>
      </w:r>
      <w:r>
        <w:rPr>
          <w:rFonts w:ascii="Arial" w:cs="Arial" w:eastAsia="Arial" w:hAnsi="Arial"/>
          <w:sz w:val="17"/>
          <w:szCs w:val="17"/>
          <w:color w:val="auto"/>
        </w:rPr>
        <w:t>refer to the owners of TWM LLC prior to the Reorganization Transactions.</w:t>
      </w:r>
    </w:p>
    <w:p>
      <w:pPr>
        <w:spacing w:after="0" w:line="88" w:lineRule="exact"/>
        <w:rPr>
          <w:rFonts w:ascii="Arial" w:cs="Arial" w:eastAsia="Arial" w:hAnsi="Arial"/>
          <w:sz w:val="17"/>
          <w:szCs w:val="17"/>
          <w:color w:val="auto"/>
        </w:rPr>
      </w:pPr>
    </w:p>
    <w:p>
      <w:pPr>
        <w:ind w:left="1980" w:right="819" w:hanging="352"/>
        <w:spacing w:after="0" w:line="25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“Other LLC Owners” </w:t>
      </w:r>
      <w:r>
        <w:rPr>
          <w:rFonts w:ascii="Arial" w:cs="Arial" w:eastAsia="Arial" w:hAnsi="Arial"/>
          <w:sz w:val="18"/>
          <w:szCs w:val="18"/>
          <w:color w:val="auto"/>
        </w:rPr>
        <w:t>refer collectively to: (i) those Original LLC Owners (including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certain of our executive officers and excluding the Refinitiv LLC Owners) that will continue to own LLC Interests after the completion of the Reorganization Transactions, including this offering, and who may, following the completion of this offering, redeem or exchange their LLC Interests for shares of our Class A common stock or Class B common stock as described in “Certain Relationships and Related Party Transactions — TWM LLC Agreement” and (ii) with respect to the Tax Receivable Agreement (as defined in “Prospectus Summary — Summary of the Reorganization Transactions”), Original LLC Owners who dispose of LLC Interests for cash in connection with this offering.</w:t>
      </w:r>
    </w:p>
    <w:p>
      <w:pPr>
        <w:spacing w:after="0" w:line="47" w:lineRule="exact"/>
        <w:rPr>
          <w:rFonts w:ascii="Arial" w:cs="Arial" w:eastAsia="Arial" w:hAnsi="Arial"/>
          <w:sz w:val="18"/>
          <w:szCs w:val="18"/>
          <w:color w:val="auto"/>
        </w:rPr>
      </w:pPr>
    </w:p>
    <w:p>
      <w:pPr>
        <w:jc w:val="both"/>
        <w:ind w:left="1980" w:right="719" w:hanging="352"/>
        <w:spacing w:after="0" w:line="259"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w:t>
      </w:r>
      <w:r>
        <w:rPr>
          <w:rFonts w:ascii="Arial" w:cs="Arial" w:eastAsia="Arial" w:hAnsi="Arial"/>
          <w:sz w:val="18"/>
          <w:szCs w:val="18"/>
          <w:color w:val="auto"/>
        </w:rPr>
        <w:t>refer to King (Cayman) Holdings Ltd., and unless otherwise stated or the context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all of its subsidiaries, which owns substantially all of the former financial and risk business of Thomson Reuters (as defined below), including an indirect 54% ownership interest in Tradeweb, and is controlled by the Investor Group.</w:t>
      </w:r>
    </w:p>
    <w:p>
      <w:pPr>
        <w:spacing w:after="0" w:line="51"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“Refinitiv Direct Owners</w:t>
      </w:r>
      <w:r>
        <w:rPr>
          <w:rFonts w:ascii="Arial" w:cs="Arial" w:eastAsia="Arial" w:hAnsi="Arial"/>
          <w:sz w:val="18"/>
          <w:szCs w:val="18"/>
          <w:color w:val="auto"/>
        </w:rPr>
        <w:t>” refer collectively to those Original LLC Owners (including certain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 Refinitiv) that will exchange their indirect ownership of LLC Interests for shares of our Class B common stock in connection with the completion of the Reorganization Transactions, including this offering.</w:t>
      </w:r>
    </w:p>
    <w:p>
      <w:pPr>
        <w:spacing w:after="0" w:line="38" w:lineRule="exact"/>
        <w:rPr>
          <w:rFonts w:ascii="Arial" w:cs="Arial" w:eastAsia="Arial" w:hAnsi="Arial"/>
          <w:sz w:val="18"/>
          <w:szCs w:val="18"/>
          <w:color w:val="auto"/>
        </w:rPr>
      </w:pPr>
    </w:p>
    <w:p>
      <w:pPr>
        <w:ind w:left="1980" w:right="719" w:hanging="352"/>
        <w:spacing w:after="0" w:line="273"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Owners” </w:t>
      </w:r>
      <w:r>
        <w:rPr>
          <w:rFonts w:ascii="Arial" w:cs="Arial" w:eastAsia="Arial" w:hAnsi="Arial"/>
          <w:sz w:val="17"/>
          <w:szCs w:val="17"/>
          <w:color w:val="auto"/>
        </w:rPr>
        <w:t>refer collectively to those Original LLC Owners (including certain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of Refinitiv and excluding the Other LLC Owners) that will continue to own LLC Interests after the completion of the Reorganization Transactions, including this offering, and who may, following the completion of this offering, redeem or exchange their LLC Interests for shares of our Class A common stock or Class B common stock as described in “Certain Relationships and Related Party Transactions — TWM LLC Agreement.”</w:t>
      </w:r>
    </w:p>
    <w:p>
      <w:pPr>
        <w:spacing w:after="0" w:line="29" w:lineRule="exact"/>
        <w:rPr>
          <w:rFonts w:ascii="Arial" w:cs="Arial" w:eastAsia="Arial" w:hAnsi="Arial"/>
          <w:sz w:val="17"/>
          <w:szCs w:val="17"/>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“Refinitiv Owners” </w:t>
      </w:r>
      <w:r>
        <w:rPr>
          <w:rFonts w:ascii="Arial" w:cs="Arial" w:eastAsia="Arial" w:hAnsi="Arial"/>
          <w:sz w:val="17"/>
          <w:szCs w:val="17"/>
          <w:color w:val="auto"/>
        </w:rPr>
        <w:t>refer collectively to the Refinitiv Direct Owners and the Refinitiv LLC Owners.</w:t>
      </w:r>
    </w:p>
    <w:p>
      <w:pPr>
        <w:spacing w:after="0" w:line="88"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35"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21" w:lineRule="exact"/>
        <w:rPr>
          <w:rFonts w:ascii="Arial" w:cs="Arial" w:eastAsia="Arial" w:hAnsi="Arial"/>
          <w:sz w:val="18"/>
          <w:szCs w:val="18"/>
          <w:color w:val="auto"/>
        </w:rPr>
      </w:pPr>
    </w:p>
    <w:p>
      <w:pPr>
        <w:ind w:left="1980" w:right="113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Refinitiv Transaction, the Reorganization Transactions, including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the other transactions described in “Unaudited Pro Forma Consolidated Financial Information.”</w:t>
      </w:r>
    </w:p>
    <w:p>
      <w:pPr>
        <w:spacing w:after="0" w:line="76"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We will be a holding company and the sole manager of Tradeweb Markets LLC, and upon completion of this offering and the application of proceeds therefrom, our principal asset will be LLC Interests of Tradeweb Markets LLC. Tradeweb Markets LLC is the predecessor of the issuer, Tradeweb Markets Inc., for financial reporting purposes. Tradeweb Markets Inc. will be the audited financial reporting entity following this offering. Accordingly, this prospectus contains the following historical financial statements:</w:t>
      </w:r>
    </w:p>
    <w:p>
      <w:pPr>
        <w:spacing w:after="0" w:line="28" w:lineRule="exact"/>
        <w:rPr>
          <w:sz w:val="20"/>
          <w:szCs w:val="20"/>
          <w:color w:val="auto"/>
        </w:rPr>
      </w:pPr>
    </w:p>
    <w:p>
      <w:pPr>
        <w:ind w:left="1980" w:right="699" w:hanging="352"/>
        <w:spacing w:after="0" w:line="279"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Tradeweb Markets Inc. Other than the inception statement of financial condition, dated as of November 7, 2018, the historical financial information of Tradeweb Markets Inc. has not been included in this prospectus as it is a newly incorporated entity, has no business transactions or activities to date and had no assets or liabilities during the periods presented in this prospectus.</w:t>
      </w: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79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Tradeweb Markets LLC. As we will have no other interest in any operations other than those of Tradeweb Markets LLC and its subsidiaries, the historical consolidated financial information included in this prospectus is that of Tradeweb Markets LLC and its subsidiaries.</w:t>
      </w:r>
    </w:p>
    <w:p>
      <w:pPr>
        <w:spacing w:after="0" w:line="76"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The unaudited pro forma consolidated financial information of Tradeweb Markets Inc. presented in this prospectus has been derived by the application of pro forma adjustments to the historical consolidated financial statements of Tradeweb Markets LLC and its subsidiaries included elsewhere in this prospectus. These pro forma adjustments give effect to the Transactions, including this offering, as well as certain other items described therein, as if all such transactions had occurred on January 1, 2017, in the case of the unaudited pro forma consolidated statement of operations data, and as of September 30, 2018,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73"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15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generally accepted accounting principles in the United States, or “GAAP.”</w:t>
      </w:r>
    </w:p>
    <w:p>
      <w:pPr>
        <w:spacing w:after="0" w:line="76"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57" w:lineRule="exact"/>
        <w:rPr>
          <w:sz w:val="20"/>
          <w:szCs w:val="20"/>
          <w:color w:val="auto"/>
        </w:rPr>
      </w:pPr>
    </w:p>
    <w:p>
      <w:pPr>
        <w:ind w:left="1980" w:right="73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62"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and “Adjusted Net Income” in evaluating our past results and future prospects. For the definition of Free Cash Flow and a reconciliation to cash flow from operating activities, its most directly comparable financial measure presented in accordance with GAAP, see footnote 4 to the table under the heading “Prospectus Summary — Summary Historical and Pro Forma Consolidated Financial and Other Data.” For the definitions of Adjusted EBITDA and Adjusted Net Income and reconciliations to net income, their most directly comparable financial measure presented in accordance with GAAP, see footnote 5 to the table under the heading “Prospectus Summary — Summary Historical and Pro Forma Consolidated Financial and Other Data.” Adjusted EBITDA margin is defined as Adjusted EBITDA divided by gross revenue for the applicable period.</w:t>
      </w:r>
    </w:p>
    <w:p>
      <w:pPr>
        <w:spacing w:after="0" w:line="58" w:lineRule="exact"/>
        <w:rPr>
          <w:sz w:val="20"/>
          <w:szCs w:val="20"/>
          <w:color w:val="auto"/>
        </w:rPr>
      </w:pPr>
    </w:p>
    <w:p>
      <w:pPr>
        <w:jc w:val="both"/>
        <w:ind w:left="1260" w:right="739" w:firstLine="360"/>
        <w:spacing w:after="0" w:line="311"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4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present Adjusted EBITDA, Adjusted EBITDA margin and Adjusted Net Income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We use Adjusted Net Income as a supplemental metric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80"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Free Cash Flow, Adjusted EBITDA and Adjusted Net Income have limitations as analytical tools, and you should not consider such measures either in isolation or as substitutes for analyzing our results as reported under GAAP. Some of these limitations include the following:</w:t>
      </w:r>
    </w:p>
    <w:p>
      <w:pPr>
        <w:spacing w:after="0" w:line="157" w:lineRule="exact"/>
        <w:rPr>
          <w:sz w:val="20"/>
          <w:szCs w:val="20"/>
          <w:color w:val="auto"/>
        </w:rPr>
      </w:pPr>
    </w:p>
    <w:p>
      <w:pPr>
        <w:ind w:left="1980" w:right="81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Cash Flow, Adjusted EBITDA and Adjusted Net Income do not reflect every expenditure, future requirements for capital expenditures or contractual commitments;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our working capital needs;</w:t>
      </w:r>
    </w:p>
    <w:p>
      <w:pPr>
        <w:spacing w:after="0" w:line="196" w:lineRule="exact"/>
        <w:rPr>
          <w:rFonts w:ascii="Arial" w:cs="Arial" w:eastAsia="Arial" w:hAnsi="Arial"/>
          <w:sz w:val="17"/>
          <w:szCs w:val="17"/>
          <w:color w:val="auto"/>
        </w:rPr>
      </w:pPr>
    </w:p>
    <w:p>
      <w:pPr>
        <w:ind w:left="1980" w:right="71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1980" w:right="819" w:hanging="352"/>
        <w:spacing w:after="0" w:line="263"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and, following the completion of the Reorganization Transactions, because the payment of taxes will be part of our operations, tax expense will be a necessary element of our costs and ability to operate;</w:t>
      </w:r>
    </w:p>
    <w:p>
      <w:pPr>
        <w:spacing w:after="0" w:line="143" w:lineRule="exact"/>
        <w:rPr>
          <w:rFonts w:ascii="Arial" w:cs="Arial" w:eastAsia="Arial" w:hAnsi="Arial"/>
          <w:sz w:val="18"/>
          <w:szCs w:val="18"/>
          <w:color w:val="auto"/>
        </w:rPr>
      </w:pPr>
    </w:p>
    <w:p>
      <w:pPr>
        <w:ind w:left="1980" w:right="1079" w:hanging="352"/>
        <w:spacing w:after="0" w:line="263"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43"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future periods, we expect Adjusted EBITDA and Adjusted Net Income will not reflect the noncash component of employee compensation;</w:t>
      </w:r>
    </w:p>
    <w:p>
      <w:pPr>
        <w:spacing w:after="0" w:line="129" w:lineRule="exact"/>
        <w:rPr>
          <w:rFonts w:ascii="Arial" w:cs="Arial" w:eastAsia="Arial" w:hAnsi="Arial"/>
          <w:sz w:val="18"/>
          <w:szCs w:val="18"/>
          <w:color w:val="auto"/>
        </w:rPr>
      </w:pPr>
    </w:p>
    <w:p>
      <w:pPr>
        <w:ind w:left="1980" w:right="799" w:hanging="352"/>
        <w:spacing w:after="0" w:line="342" w:lineRule="auto"/>
        <w:tabs>
          <w:tab w:leader="none" w:pos="1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the impact of earnings or charges resulting from matters we consider not to be indicative, on a recurring basis, of our ongoing operations; and</w:t>
      </w:r>
    </w:p>
    <w:p>
      <w:pPr>
        <w:spacing w:after="0" w:line="96" w:lineRule="exact"/>
        <w:rPr>
          <w:rFonts w:ascii="Arial" w:cs="Arial" w:eastAsia="Arial" w:hAnsi="Arial"/>
          <w:sz w:val="16"/>
          <w:szCs w:val="16"/>
          <w:color w:val="auto"/>
        </w:rPr>
      </w:pPr>
    </w:p>
    <w:p>
      <w:pPr>
        <w:ind w:left="1980" w:right="899" w:hanging="352"/>
        <w:spacing w:after="0" w:line="263"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and Adjusted Net Income or similarly titled measures differently than we do, limiting their usefulness as comparative measures.</w:t>
      </w:r>
    </w:p>
    <w:p>
      <w:pPr>
        <w:spacing w:after="0" w:line="7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and Adjusted Net Income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i w:val="1"/>
          <w:iCs w:val="1"/>
          <w:color w:val="auto"/>
        </w:rPr>
        <w:t>This summary highlights information contained in this prospectus and does not contain all of the information that you should consider in making your investment decision. Before investing in our Class A common stock, you should carefully read this entire prospectus, including our consolidated financial statements and related notes thereto included elsewhere in this prospectus and the information in “Risk Factors,” “Cautionary Note Regarding Forward-Looking Statements” and “Management’s Discussion and Analysis of Financial Condition and Results of Operations.” For a description of certain of the terms we use to describe our business in this prospectus, see “Business.”</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1280" w:right="69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the first nine months of 2018 of over $530 billion across more than 40 products.</w:t>
      </w:r>
    </w:p>
    <w:p>
      <w:pPr>
        <w:spacing w:after="0" w:line="64" w:lineRule="exact"/>
        <w:rPr>
          <w:sz w:val="20"/>
          <w:szCs w:val="20"/>
          <w:color w:val="auto"/>
        </w:rPr>
      </w:pPr>
    </w:p>
    <w:p>
      <w:pPr>
        <w:jc w:val="both"/>
        <w:ind w:left="1280" w:right="719" w:firstLine="360"/>
        <w:spacing w:after="0" w:line="263"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80" w:right="699" w:firstLine="360"/>
        <w:spacing w:after="0" w:line="271" w:lineRule="auto"/>
        <w:rPr>
          <w:sz w:val="20"/>
          <w:szCs w:val="20"/>
          <w:color w:val="auto"/>
        </w:rPr>
      </w:pPr>
      <w:r>
        <w:rPr>
          <w:rFonts w:ascii="Arial" w:cs="Arial" w:eastAsia="Arial" w:hAnsi="Arial"/>
          <w:sz w:val="17"/>
          <w:szCs w:val="17"/>
          <w:color w:val="auto"/>
        </w:rPr>
        <w:t>Our markets are large and growing. Electronic trading continues to develop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environments across multiple regions and regulatory regimes. As market participants seek to reduce their costs of trading and increase the effectiveness of their trading through the use of our data and analytics, we believe the demand for our platforms and electronic trading solutions will continue to grow.</w:t>
      </w:r>
    </w:p>
    <w:p>
      <w:pPr>
        <w:spacing w:after="0" w:line="70" w:lineRule="exact"/>
        <w:rPr>
          <w:sz w:val="20"/>
          <w:szCs w:val="20"/>
          <w:color w:val="auto"/>
        </w:rPr>
      </w:pPr>
    </w:p>
    <w:p>
      <w:pPr>
        <w:ind w:left="1280" w:right="659" w:firstLine="360"/>
        <w:spacing w:after="0" w:line="275" w:lineRule="auto"/>
        <w:rPr>
          <w:sz w:val="20"/>
          <w:szCs w:val="20"/>
          <w:color w:val="auto"/>
        </w:rPr>
      </w:pPr>
      <w:r>
        <w:rPr>
          <w:rFonts w:ascii="Arial" w:cs="Arial" w:eastAsia="Arial" w:hAnsi="Arial"/>
          <w:sz w:val="17"/>
          <w:szCs w:val="17"/>
          <w:color w:val="auto"/>
        </w:rPr>
        <w:t>We have a powerful network of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firstLine="360"/>
        <w:spacing w:after="0" w:line="290"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7" w:lineRule="exact"/>
        <w:rPr>
          <w:sz w:val="20"/>
          <w:szCs w:val="20"/>
          <w:color w:val="auto"/>
        </w:rPr>
      </w:pPr>
    </w:p>
    <w:p>
      <w:pPr>
        <w:ind w:left="1280" w:right="699" w:firstLine="360"/>
        <w:spacing w:after="0" w:line="268"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2017, we had annual compound average daily trading volume growth of 10.8% and annual compound gross revenue growth of 11.5%. Approximately 52% of our gross revenue for the year ended December 31, 2017 was fixed and generated from subscription fees and minimum volume floors. For the last twelve months ended September 30, 2018 and 2017, respectively, our gross revenue was $649.2 million and $551.4 million, an increase of 17.7%, our net income was $137.3 million and $101.5 million, our Adjusted EBITDA was $268.3 million and $211.8 million, with an Adjusted EBITDA margin of 41.3% and 38.4%, and our Adjusted Net Income was $216.8 million and $175.7 million. For the definitions of Adjusted EBITDA, Adjusted EBITDA margin and Adjusted Net Income and reconciliations to net income, their most directly comparable financial measure presented in accordance with GAAP, see footnote 5 in “— Summary Historical and Pro Forma Consolidated Financial and Other Data.”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6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certain equities. Client demand for better trading workflow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2005, where our first local product was Japanese government bonds. We have since continued to expand our product and client base in Europe and Asia.</w:t>
      </w:r>
    </w:p>
    <w:p>
      <w:pPr>
        <w:spacing w:after="0" w:line="58"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We identified an opportunity to expand our marketplaces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69" w:lineRule="exact"/>
        <w:rPr>
          <w:sz w:val="20"/>
          <w:szCs w:val="20"/>
          <w:color w:val="auto"/>
        </w:rPr>
      </w:pPr>
    </w:p>
    <w:p>
      <w:pPr>
        <w:ind w:left="1280" w:right="699" w:firstLine="360"/>
        <w:spacing w:after="0" w:line="254" w:lineRule="auto"/>
        <w:rPr>
          <w:sz w:val="20"/>
          <w:szCs w:val="20"/>
          <w:color w:val="auto"/>
        </w:rPr>
      </w:pPr>
      <w:r>
        <w:rPr>
          <w:rFonts w:ascii="Arial" w:cs="Arial" w:eastAsia="Arial" w:hAnsi="Arial"/>
          <w:sz w:val="18"/>
          <w:szCs w:val="18"/>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protocol across the fixed income markets. We have also integrated our trading platforms with our proprietary post-trade systems as well as our clients’ systems for efficient post-trade processing. We expect to continue to leverage our success to expand into new products, asset classes and geographies, while growing our powerful network of clients.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firstLine="360"/>
        <w:spacing w:after="0" w:line="259" w:lineRule="auto"/>
        <w:rPr>
          <w:sz w:val="20"/>
          <w:szCs w:val="20"/>
          <w:color w:val="auto"/>
        </w:rPr>
      </w:pPr>
      <w:r>
        <w:rPr>
          <w:rFonts w:ascii="Arial" w:cs="Arial" w:eastAsia="Arial" w:hAnsi="Arial"/>
          <w:sz w:val="18"/>
          <w:szCs w:val="18"/>
          <w:color w:val="auto"/>
        </w:rPr>
        <w:t>We have continued to solve inefficiencies by adding new products across our rates, credit, money markets and equities asset classes, thereby increasing our opportunities in related addressable markets, where average daily trading volumes have grown from approximately $0.6 trillion in 1998 to $4.0 trillion through the first nine months of 2018, according to industry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Based on industry sources, we estimate that the global notional value outstanding for rates and credit was approximately $524 trillion at the end of 2017. When combined with money markets and equities, the market size for our platforms increases to an estimated notional value of approximately $539 trillion. The markets in which we participate are actively traded, generating an estimated average daily trading volume of approximately $4.0 trillion through the first nine months of 2018. Major market participants include large, asset managers, hedge funds, central banks, banks and dealers, insurance companies, corporations, proprietary trading, brokerage and retail advisory firms, governments and retail investors.</w:t>
      </w:r>
    </w:p>
    <w:p>
      <w:pPr>
        <w:spacing w:after="0" w:line="69" w:lineRule="exact"/>
        <w:rPr>
          <w:sz w:val="20"/>
          <w:szCs w:val="20"/>
          <w:color w:val="auto"/>
        </w:rPr>
      </w:pPr>
    </w:p>
    <w:p>
      <w:pPr>
        <w:ind w:left="1280" w:right="779" w:firstLine="360"/>
        <w:spacing w:after="0" w:line="286" w:lineRule="auto"/>
        <w:rPr>
          <w:sz w:val="20"/>
          <w:szCs w:val="20"/>
          <w:color w:val="auto"/>
        </w:rPr>
      </w:pPr>
      <w:r>
        <w:rPr>
          <w:rFonts w:ascii="Arial" w:cs="Arial" w:eastAsia="Arial" w:hAnsi="Arial"/>
          <w:sz w:val="16"/>
          <w:szCs w:val="16"/>
          <w:color w:val="auto"/>
        </w:rPr>
        <w:t>Trading activity is influenced by, among other things, the amount of notional securities outstanding, new issuances, market volatility, regulation and economic factors such as growth and monetary policy. The 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CFETS. The U.S. and European ETF markets have each grown annually at nearly 20% respectively since 2007 according to etfgi.com and Thomson Reuters. Continuing growth in these markets may be driven by increasing global trading volumes, resulting from increased economic activity, including growing international securities trading, new debt and equity issuances and continued economic growth. Additionally, after a period of historically low interest rates, trading volumes in our rates asset class may benefit from interest rates normalizing to higher levels as global central banks move toward monetary policy normalization. These markets have also migrated to electronic trading platforms at different adoption rates — some gradually over time (e.g., government bonds and credit bonds) and others on a more accelerated basis due to regulation (e.g., interest rate swaps).</w:t>
      </w:r>
    </w:p>
    <w:p>
      <w:pPr>
        <w:spacing w:after="0" w:line="66" w:lineRule="exact"/>
        <w:rPr>
          <w:sz w:val="20"/>
          <w:szCs w:val="20"/>
          <w:color w:val="auto"/>
        </w:rPr>
      </w:pPr>
    </w:p>
    <w:p>
      <w:pPr>
        <w:ind w:left="1280" w:right="71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more global. Our platforms operate throughout the global 24-hour trading day as market participants have become increasingly global and comprehensive, trading across multiple geographies, asset classes and currencies.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99" w:firstLine="360"/>
        <w:spacing w:after="0" w:line="270" w:lineRule="auto"/>
        <w:rPr>
          <w:sz w:val="20"/>
          <w:szCs w:val="20"/>
          <w:color w:val="auto"/>
        </w:rPr>
      </w:pPr>
      <w:r>
        <w:rPr>
          <w:rFonts w:ascii="Arial" w:cs="Arial" w:eastAsia="Arial" w:hAnsi="Arial"/>
          <w:sz w:val="17"/>
          <w:szCs w:val="17"/>
          <w:color w:val="auto"/>
        </w:rPr>
        <w:t>Trading in fixed income and derivative markets historically was a highly manual process. Buyers lacked a centralized source of price discovery and automated post-trade processing solutions, and as a result, were required to telephone multiple dealers to receive price quotes, compare quotes among multiple dealers, confirm orders via telephone and then engage in manual trade settlement via fax. The process was time-consuming and error-prone, leading to poor price transparency and execution quality, limited connectivity among market participants and high levels of operational risk. Even as other markets, such as the equity, FX and futures markets, transitioned to electronic processes, large components of the fixed income and derivative markets have been slower to migrate to electronic execution because of the diversity and heterogeneous nature of those instruments.</w:t>
      </w:r>
    </w:p>
    <w:p>
      <w:pPr>
        <w:spacing w:after="0" w:line="73"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Our clients demand more efficient solutions to improve outcomes and reduce costs. Over the last 20 years, we have been a leader in the electronification of fixed income and other markets, using proprietary and innovative technologies and collaborating hand-in-hand with clients on product innovation. Electronification has made markets more efficient by improving price transparency and execution, while also reducing operational risk and allowing market participants to create organizational cost efficiencies, by reducing front office headcount and by eliminating manual errors.</w:t>
      </w:r>
    </w:p>
    <w:p>
      <w:pPr>
        <w:spacing w:after="0" w:line="84" w:lineRule="exact"/>
        <w:rPr>
          <w:sz w:val="20"/>
          <w:szCs w:val="20"/>
          <w:color w:val="auto"/>
        </w:rPr>
      </w:pPr>
    </w:p>
    <w:p>
      <w:pPr>
        <w:ind w:left="1280" w:right="639" w:firstLine="360"/>
        <w:spacing w:after="0" w:line="275" w:lineRule="auto"/>
        <w:rPr>
          <w:sz w:val="20"/>
          <w:szCs w:val="20"/>
          <w:color w:val="auto"/>
        </w:rPr>
      </w:pPr>
      <w:r>
        <w:rPr>
          <w:rFonts w:ascii="Arial" w:cs="Arial" w:eastAsia="Arial" w:hAnsi="Arial"/>
          <w:sz w:val="17"/>
          <w:szCs w:val="17"/>
          <w:color w:val="auto"/>
        </w:rPr>
        <w:t>The process of market electronification is ongoing. Markets — even in asset classes we already offer — continue to have meaningful volumes traded manually, with liquidity-taking investors calling multiple dealers for quotes and engaging in manual post-trade processing. Our product innovation is driven by client demand for efficiencies in additional products and geographies, which, combined with our entrepreneurial culture and domain expertise, are expected to attract additional market participants to Tradeweb.</w:t>
      </w:r>
    </w:p>
    <w:p>
      <w:pPr>
        <w:spacing w:after="0" w:line="68" w:lineRule="exact"/>
        <w:rPr>
          <w:sz w:val="20"/>
          <w:szCs w:val="20"/>
          <w:color w:val="auto"/>
        </w:rPr>
      </w:pPr>
    </w:p>
    <w:p>
      <w:pPr>
        <w:ind w:left="1280" w:right="819" w:firstLine="360"/>
        <w:spacing w:after="0" w:line="291" w:lineRule="auto"/>
        <w:rPr>
          <w:sz w:val="20"/>
          <w:szCs w:val="20"/>
          <w:color w:val="auto"/>
        </w:rPr>
      </w:pPr>
      <w:r>
        <w:rPr>
          <w:rFonts w:ascii="Arial" w:cs="Arial" w:eastAsia="Arial" w:hAnsi="Arial"/>
          <w:sz w:val="16"/>
          <w:szCs w:val="16"/>
          <w:color w:val="auto"/>
        </w:rPr>
        <w:t>Regulatory changes have also driven demand for electronification. The policy objectives of a number of post-2008 crisis reforms, such as the Dodd-Frank Wall Street Reform and Customer Protection Act (the “Dodd-Frank Act”), Basel III and the Markets in Financial Instruments Directive II (“MiFID II”), are to increase transparency and reduce systemic risk. These objectives have generally led to increased adoption of electronic trading on regulated markets where price transparency, counterparty credit checks, reporting and clearing are essential components. In addition, higher capital requirements have driven dealers to reduce the size of their balance sheets and utilize the distribution and scale provided by electronic trading venues.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6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protocols. These applications are supported by advancements in technology and the increased prevalence of electronic trading, both of which have made it easier to generate, capture, store and analyze data.</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699" w:firstLine="360"/>
        <w:spacing w:after="0" w:line="272"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value-added solutions. The breadth of our network, products, global</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63" w:lineRule="auto"/>
        <w:rPr>
          <w:sz w:val="20"/>
          <w:szCs w:val="20"/>
          <w:color w:val="auto"/>
        </w:rPr>
      </w:pPr>
      <w:r>
        <w:rPr>
          <w:rFonts w:ascii="Arial" w:cs="Arial" w:eastAsia="Arial" w:hAnsi="Arial"/>
          <w:sz w:val="18"/>
          <w:szCs w:val="18"/>
          <w:color w:val="auto"/>
        </w:rPr>
        <w:t>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6" w:lineRule="exact"/>
        <w:rPr>
          <w:sz w:val="20"/>
          <w:szCs w:val="20"/>
          <w:color w:val="auto"/>
        </w:rPr>
      </w:pPr>
    </w:p>
    <w:p>
      <w:pPr>
        <w:ind w:left="1280" w:right="699" w:firstLine="360"/>
        <w:spacing w:after="0" w:line="289" w:lineRule="auto"/>
        <w:rPr>
          <w:sz w:val="20"/>
          <w:szCs w:val="20"/>
          <w:color w:val="auto"/>
        </w:rPr>
      </w:pPr>
      <w:r>
        <w:rPr>
          <w:rFonts w:ascii="Arial" w:cs="Arial" w:eastAsia="Arial" w:hAnsi="Arial"/>
          <w:sz w:val="16"/>
          <w:szCs w:val="16"/>
          <w:color w:val="auto"/>
        </w:rPr>
        <w:t>We are a leader in making trading and the associated workflow more efficient for market participants. For our institutional clients, which is our largest client sector, we estimate that we have the leading market position in four of our five largest products — U.S. Treasuries, To-Be-Announced mortgage-backed securities (“TBA MBS”), European government bonds, U.S. dollar-denominated interest rate swaps and euro-denominated interest rate swaps. We cover all major client sectors participating in electronic trading, including the institutional, wholesale and retail client sectors. We are a global business with users accessing our platforms and solutions in 62 countries, and in 2017, we generated 32% of our gross revenue from clients outside of the United States. We have built a business that is diverse across more than 40 products and provides the full spectrum of trading protocols from voice through RFQ to CLOB (central limit order book).</w:t>
      </w:r>
    </w:p>
    <w:p>
      <w:pPr>
        <w:spacing w:after="0" w:line="58"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bond trading for the institutional client sector.</w:t>
      </w:r>
    </w:p>
    <w:p>
      <w:pPr>
        <w:spacing w:after="0" w:line="80" w:lineRule="exact"/>
        <w:rPr>
          <w:sz w:val="20"/>
          <w:szCs w:val="20"/>
          <w:color w:val="auto"/>
        </w:rPr>
      </w:pPr>
    </w:p>
    <w:p>
      <w:pPr>
        <w:ind w:left="1280" w:right="69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reduced the operational risk and costs associated with delivery failures that often plagued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and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659" w:firstLine="360"/>
        <w:spacing w:after="0" w:line="291" w:lineRule="auto"/>
        <w:rPr>
          <w:sz w:val="20"/>
          <w:szCs w:val="20"/>
          <w:color w:val="auto"/>
        </w:rPr>
      </w:pPr>
      <w:r>
        <w:rPr>
          <w:rFonts w:ascii="Arial" w:cs="Arial" w:eastAsia="Arial" w:hAnsi="Arial"/>
          <w:sz w:val="16"/>
          <w:szCs w:val="16"/>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connectivity to pre-and post-trade systems necessary to comply with their regulatory obligations.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679" w:firstLine="360"/>
        <w:spacing w:after="0" w:line="272"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current market participants and attracting new ones to our financial ecosystem. For example, data powers our Automated Intelligent Execution (“AiEX”) functionality which allows traders to execute their smaller, low touch trades more efficiently and to focus their attention on larger, more nuanced trades.</w:t>
      </w:r>
    </w:p>
    <w:p>
      <w:pPr>
        <w:spacing w:after="0" w:line="69" w:lineRule="exact"/>
        <w:rPr>
          <w:sz w:val="20"/>
          <w:szCs w:val="20"/>
          <w:color w:val="auto"/>
        </w:rPr>
      </w:pPr>
    </w:p>
    <w:p>
      <w:pPr>
        <w:ind w:left="1280" w:right="719" w:firstLine="360"/>
        <w:spacing w:after="0" w:line="272"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Our marketplaces generate valuable data, processing over 950 million pre-trade price updates daily, that we collect centrally and use as inputs to our pre-trade indicative pricing and analytics. We maintain a full history of inquiries and transactions, which means, for example, we have 20 years of U.S. Treasury data. We also will seek to further monetize our data both through potential expansion of our existing market data license agreement with Refinitiv and through distributing additional data sets and analytics offerings through our own network or through other third-party networks.</w:t>
      </w:r>
    </w:p>
    <w:p>
      <w:pPr>
        <w:spacing w:after="0" w:line="69"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8"/>
          <w:szCs w:val="18"/>
          <w:color w:val="auto"/>
        </w:rPr>
        <w:t>We are consistently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 the counter (“OTC”) reporting requirements under MiFID II. We now operate one of the largest fixed income APA services with over 100 clients, including 20 leading global banks, and expect to expand our APA service in the coming years.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69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80" w:right="73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87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tailwinds in our existing markets:</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jc w:val="both"/>
        <w:ind w:left="1280" w:right="679" w:firstLine="360"/>
        <w:spacing w:after="0" w:line="287"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higher market volatility and a rising interest rate environment. In addition, the government bond market is foundational to and correlative to virtually every asset class in the cash and derivatives fixed income markets.</w:t>
      </w:r>
    </w:p>
    <w:p>
      <w:pPr>
        <w:spacing w:after="0" w:line="2" w:lineRule="exact"/>
        <w:rPr>
          <w:sz w:val="20"/>
          <w:szCs w:val="20"/>
          <w:color w:val="auto"/>
        </w:rPr>
      </w:pPr>
    </w:p>
    <w:p>
      <w:pPr>
        <w:ind w:left="1280" w:right="679"/>
        <w:spacing w:after="0" w:line="253" w:lineRule="auto"/>
        <w:rPr>
          <w:sz w:val="20"/>
          <w:szCs w:val="20"/>
          <w:color w:val="auto"/>
        </w:rPr>
      </w:pPr>
      <w:r>
        <w:rPr>
          <w:rFonts w:ascii="Arial" w:cs="Arial" w:eastAsia="Arial" w:hAnsi="Arial"/>
          <w:sz w:val="18"/>
          <w:szCs w:val="18"/>
          <w:color w:val="auto"/>
        </w:rPr>
        <w:t>Based on industry sources,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include global government bonds, derivatives, ETFs and credit.</w:t>
      </w:r>
    </w:p>
    <w:p>
      <w:pPr>
        <w:spacing w:after="0" w:line="85"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80" w:right="659" w:firstLine="360"/>
        <w:spacing w:after="0" w:line="290" w:lineRule="auto"/>
        <w:rPr>
          <w:sz w:val="20"/>
          <w:szCs w:val="20"/>
          <w:color w:val="auto"/>
        </w:rPr>
      </w:pPr>
      <w:r>
        <w:rPr>
          <w:rFonts w:ascii="Arial" w:cs="Arial" w:eastAsia="Arial" w:hAnsi="Arial"/>
          <w:sz w:val="16"/>
          <w:szCs w:val="16"/>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We are well positioned to continue to innovate and provide better electronic markets that satisfy the needs of our clients.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779" w:firstLine="360"/>
        <w:spacing w:after="0" w:line="257" w:lineRule="auto"/>
        <w:rPr>
          <w:sz w:val="20"/>
          <w:szCs w:val="20"/>
          <w:color w:val="auto"/>
        </w:rPr>
      </w:pPr>
      <w:r>
        <w:rPr>
          <w:rFonts w:ascii="Arial" w:cs="Arial" w:eastAsia="Arial" w:hAnsi="Arial"/>
          <w:sz w:val="18"/>
          <w:szCs w:val="18"/>
          <w:color w:val="auto"/>
        </w:rPr>
        <w:t>We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80" w:lineRule="exact"/>
        <w:rPr>
          <w:sz w:val="20"/>
          <w:szCs w:val="20"/>
          <w:color w:val="auto"/>
        </w:rPr>
      </w:pPr>
    </w:p>
    <w:p>
      <w:pPr>
        <w:ind w:left="1280" w:right="699" w:firstLine="360"/>
        <w:spacing w:after="0" w:line="270" w:lineRule="auto"/>
        <w:rPr>
          <w:sz w:val="20"/>
          <w:szCs w:val="20"/>
          <w:color w:val="auto"/>
        </w:rPr>
      </w:pPr>
      <w:r>
        <w:rPr>
          <w:rFonts w:ascii="Arial" w:cs="Arial" w:eastAsia="Arial" w:hAnsi="Arial"/>
          <w:sz w:val="17"/>
          <w:szCs w:val="17"/>
          <w:color w:val="auto"/>
        </w:rPr>
        <w:t>In addition, we believe our business model is well suited to serve clients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We believe we can continue to develop trading models in one product or asset class and deliver those models to other products or asset classes, irrespective of geography. For example, we are leveraging session-based trading technology in European credit bonds for session-based trading in U.S. credit bonds and Off-the-Run U.S. Treasury securities. We have significant scale and breadth across our platforms, which position us well to take advantage of favorable market dynamics.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80" w:right="819" w:firstLine="360"/>
        <w:spacing w:after="0" w:line="254"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7" w:lineRule="exact"/>
        <w:rPr>
          <w:sz w:val="20"/>
          <w:szCs w:val="20"/>
          <w:color w:val="auto"/>
        </w:rPr>
      </w:pPr>
    </w:p>
    <w:p>
      <w:pPr>
        <w:ind w:left="1280" w:right="1059" w:firstLine="360"/>
        <w:spacing w:after="0" w:line="311"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90" w:lineRule="exact"/>
        <w:rPr>
          <w:sz w:val="20"/>
          <w:szCs w:val="20"/>
          <w:color w:val="auto"/>
        </w:rPr>
      </w:pPr>
    </w:p>
    <w:p>
      <w:pPr>
        <w:ind w:left="1280" w:right="69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Reorganization Transactions</w:t>
      </w:r>
    </w:p>
    <w:p>
      <w:pPr>
        <w:spacing w:after="0" w:line="108" w:lineRule="exact"/>
        <w:rPr>
          <w:sz w:val="20"/>
          <w:szCs w:val="20"/>
          <w:color w:val="auto"/>
        </w:rPr>
      </w:pPr>
    </w:p>
    <w:p>
      <w:pPr>
        <w:ind w:left="1280" w:right="999" w:firstLine="360"/>
        <w:spacing w:after="0" w:line="311" w:lineRule="auto"/>
        <w:rPr>
          <w:sz w:val="20"/>
          <w:szCs w:val="20"/>
          <w:color w:val="auto"/>
        </w:rPr>
      </w:pPr>
      <w:r>
        <w:rPr>
          <w:rFonts w:ascii="Arial" w:cs="Arial" w:eastAsia="Arial" w:hAnsi="Arial"/>
          <w:sz w:val="16"/>
          <w:szCs w:val="16"/>
          <w:color w:val="auto"/>
        </w:rPr>
        <w:t>Prior to the completion of this offering and the organizational transactions described below, the Original LLC Owners are the only members of TWM LLC. Tradeweb Markets Inc. was incorporated as a Delaware corporation on November 7, 2018 to serve as the issuer of the Class A common stock offered hereby.</w:t>
      </w:r>
    </w:p>
    <w:p>
      <w:pPr>
        <w:spacing w:after="0" w:line="41" w:lineRule="exact"/>
        <w:rPr>
          <w:sz w:val="20"/>
          <w:szCs w:val="20"/>
          <w:color w:val="auto"/>
        </w:rPr>
      </w:pPr>
    </w:p>
    <w:p>
      <w:pPr>
        <w:ind w:left="1280" w:right="1539" w:firstLine="360"/>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w:t>
      </w:r>
    </w:p>
    <w:p>
      <w:pPr>
        <w:spacing w:after="0" w:line="8" w:lineRule="exact"/>
        <w:rPr>
          <w:sz w:val="20"/>
          <w:szCs w:val="20"/>
          <w:color w:val="auto"/>
        </w:rPr>
      </w:pPr>
    </w:p>
    <w:p>
      <w:pPr>
        <w:ind w:left="2000" w:right="719" w:hanging="354"/>
        <w:spacing w:after="0" w:line="255"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amend and restate the fourth amended and restated limited liability company agreement of TWM LLC (as amended, effective as of the completion of this offering,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30" w:lineRule="exact"/>
        <w:rPr>
          <w:rFonts w:ascii="Arial" w:cs="Arial" w:eastAsia="Arial" w:hAnsi="Arial"/>
          <w:sz w:val="18"/>
          <w:szCs w:val="18"/>
          <w:color w:val="auto"/>
        </w:rPr>
      </w:pPr>
    </w:p>
    <w:p>
      <w:pPr>
        <w:ind w:left="2000" w:right="739" w:hanging="354"/>
        <w:spacing w:after="0" w:line="270" w:lineRule="auto"/>
        <w:tabs>
          <w:tab w:leader="none" w:pos="2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1" w:lineRule="exact"/>
        <w:rPr>
          <w:sz w:val="20"/>
          <w:szCs w:val="20"/>
          <w:color w:val="auto"/>
        </w:rPr>
      </w:pPr>
    </w:p>
    <w:tbl>
      <w:tblPr>
        <w:tblLayout w:type="fixed"/>
        <w:tblInd w:w="2540" w:type="dxa"/>
        <w:tblCellMar>
          <w:top w:w="0" w:type="dxa"/>
          <w:left w:w="0" w:type="dxa"/>
          <w:bottom w:w="0" w:type="dxa"/>
          <w:right w:w="0" w:type="dxa"/>
        </w:tblCellMar>
      </w:tblP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183"/>
        </w:trPr>
        <w:tc>
          <w:tcPr>
            <w:tcW w:w="29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Class A common stock</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74"/>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Yes</w:t>
            </w: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83"/>
              </w:rPr>
              <w:t>Yes</w:t>
            </w: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No</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187" w:lineRule="exact"/>
        <w:rPr>
          <w:sz w:val="20"/>
          <w:szCs w:val="20"/>
          <w:color w:val="auto"/>
        </w:rPr>
      </w:pPr>
    </w:p>
    <w:p>
      <w:pPr>
        <w:ind w:left="2000" w:right="799"/>
        <w:spacing w:after="0" w:line="311"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0" w:right="879" w:hanging="354"/>
        <w:spacing w:after="0" w:line="311" w:lineRule="auto"/>
        <w:tabs>
          <w:tab w:leader="none" w:pos="2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will assume sponsorship of the Option Plan (as defined herein) and the PRSU Plan (as defined herein) currently sponsored by Tradeweb Markets LLC. Accordingly, all options and PRSUs granted under such plans will be converted into economically equivalent awards of Tradeweb Markets Inc.;</w:t>
      </w:r>
    </w:p>
    <w:p>
      <w:pPr>
        <w:spacing w:after="0" w:line="95" w:lineRule="exact"/>
        <w:rPr>
          <w:sz w:val="20"/>
          <w:szCs w:val="20"/>
          <w:color w:val="auto"/>
        </w:rPr>
      </w:pPr>
    </w:p>
    <w:p>
      <w:pPr>
        <w:ind w:left="1640"/>
        <w:spacing w:after="0"/>
        <w:tabs>
          <w:tab w:leader="none" w:pos="1980" w:val="left"/>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D common stock to the Continuing LLC Owners, on a one-to-one</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basis with the number of LLC Interests they own, for nominal consideration;</w:t>
      </w:r>
    </w:p>
    <w:p>
      <w:pPr>
        <w:spacing w:after="0" w:line="157" w:lineRule="exact"/>
        <w:rPr>
          <w:sz w:val="20"/>
          <w:szCs w:val="20"/>
          <w:color w:val="auto"/>
        </w:rPr>
      </w:pPr>
    </w:p>
    <w:p>
      <w:pPr>
        <w:ind w:left="1640"/>
        <w:spacing w:after="0"/>
        <w:tabs>
          <w:tab w:leader="none" w:pos="1980" w:val="left"/>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our Class A common stock to the purchasers in this offering;</w:t>
      </w:r>
    </w:p>
    <w:p>
      <w:pPr>
        <w:spacing w:after="0" w:line="158" w:lineRule="exact"/>
        <w:rPr>
          <w:sz w:val="20"/>
          <w:szCs w:val="20"/>
          <w:color w:val="auto"/>
        </w:rPr>
      </w:pPr>
    </w:p>
    <w:p>
      <w:pPr>
        <w:ind w:left="2000" w:right="859" w:hanging="354"/>
        <w:spacing w:after="0" w:line="291" w:lineRule="auto"/>
        <w:tabs>
          <w:tab w:leader="none" w:pos="2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intend to use the net proceeds from the sale of Class A common stock by us in this offering to acquire an equivalent number of issued and outstanding LLC Interests from certain of the Other LLC</w:t>
      </w:r>
    </w:p>
    <w:p>
      <w:pPr>
        <w:ind w:left="2000" w:right="719"/>
        <w:spacing w:after="0" w:line="281" w:lineRule="auto"/>
        <w:rPr>
          <w:sz w:val="20"/>
          <w:szCs w:val="20"/>
          <w:color w:val="auto"/>
        </w:rPr>
      </w:pPr>
      <w:r>
        <w:rPr>
          <w:rFonts w:ascii="Arial" w:cs="Arial" w:eastAsia="Arial" w:hAnsi="Arial"/>
          <w:sz w:val="16"/>
          <w:szCs w:val="16"/>
          <w:color w:val="auto"/>
        </w:rPr>
        <w:t>Owners at a purchase price per interest equal to the initial public offering price per share of Class A common stock (and cancel an equal number of shares of Class D common stock), less the underwriting</w:t>
      </w:r>
    </w:p>
    <w:p>
      <w:pPr>
        <w:spacing w:after="0" w:line="1" w:lineRule="exact"/>
        <w:rPr>
          <w:sz w:val="20"/>
          <w:szCs w:val="20"/>
          <w:color w:val="auto"/>
        </w:rPr>
      </w:pPr>
    </w:p>
    <w:p>
      <w:pPr>
        <w:ind w:left="2000" w:right="1379"/>
        <w:spacing w:after="0" w:line="260" w:lineRule="auto"/>
        <w:rPr>
          <w:sz w:val="20"/>
          <w:szCs w:val="20"/>
          <w:color w:val="auto"/>
        </w:rPr>
      </w:pPr>
      <w:r>
        <w:rPr>
          <w:rFonts w:ascii="Arial" w:cs="Arial" w:eastAsia="Arial" w:hAnsi="Arial"/>
          <w:sz w:val="18"/>
          <w:szCs w:val="18"/>
          <w:color w:val="auto"/>
        </w:rPr>
        <w:t>discounts and commissions payable thereon, collectively representing % of TWM LLC’s outstanding LLC Interests;</w:t>
      </w:r>
    </w:p>
    <w:p>
      <w:pPr>
        <w:spacing w:after="0" w:line="131" w:lineRule="exact"/>
        <w:rPr>
          <w:sz w:val="20"/>
          <w:szCs w:val="20"/>
          <w:color w:val="auto"/>
        </w:rPr>
      </w:pPr>
    </w:p>
    <w:p>
      <w:pPr>
        <w:ind w:left="2360" w:right="979" w:hanging="714"/>
        <w:spacing w:after="0" w:line="291" w:lineRule="auto"/>
        <w:tabs>
          <w:tab w:leader="none" w:pos="2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Refinitiv Direct Owners will exchange with us their indirect ownership of LLC Interests for shares of Class B common stock on a one-to-one basis. The Refinitiv Direct Owners and other</w:t>
      </w:r>
    </w:p>
    <w:p>
      <w:pPr>
        <w:jc w:val="both"/>
        <w:ind w:left="2000" w:right="679"/>
        <w:spacing w:after="0" w:line="253" w:lineRule="auto"/>
        <w:rPr>
          <w:sz w:val="20"/>
          <w:szCs w:val="20"/>
          <w:color w:val="auto"/>
        </w:rPr>
      </w:pPr>
      <w:r>
        <w:rPr>
          <w:rFonts w:ascii="Arial" w:cs="Arial" w:eastAsia="Arial" w:hAnsi="Arial"/>
          <w:sz w:val="18"/>
          <w:szCs w:val="18"/>
          <w:color w:val="auto"/>
        </w:rPr>
        <w:t>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39" w:lineRule="exact"/>
        <w:rPr>
          <w:sz w:val="20"/>
          <w:szCs w:val="20"/>
          <w:color w:val="auto"/>
        </w:rPr>
      </w:pPr>
    </w:p>
    <w:p>
      <w:pPr>
        <w:ind w:left="2000" w:right="699" w:hanging="354"/>
        <w:spacing w:after="0" w:line="270" w:lineRule="auto"/>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Continuing LLC Owners will continue to own the LLC Interests they receive in exchange for their existing membership interests in TWM LLC, which LLC Interests following the completion of this offering,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126" w:lineRule="exact"/>
        <w:rPr>
          <w:rFonts w:ascii="Arial" w:cs="Arial" w:eastAsia="Arial" w:hAnsi="Arial"/>
          <w:sz w:val="17"/>
          <w:szCs w:val="17"/>
          <w:color w:val="auto"/>
        </w:rPr>
      </w:pPr>
    </w:p>
    <w:p>
      <w:pPr>
        <w:ind w:left="2000" w:right="679" w:hanging="354"/>
        <w:spacing w:after="0" w:line="273" w:lineRule="auto"/>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123" w:lineRule="exact"/>
        <w:rPr>
          <w:rFonts w:ascii="Arial" w:cs="Arial" w:eastAsia="Arial" w:hAnsi="Arial"/>
          <w:sz w:val="17"/>
          <w:szCs w:val="17"/>
          <w:color w:val="auto"/>
        </w:rPr>
      </w:pPr>
    </w:p>
    <w:p>
      <w:pPr>
        <w:ind w:left="2000" w:right="659" w:hanging="354"/>
        <w:spacing w:after="0" w:line="269" w:lineRule="auto"/>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any of its affiliates or permitted transferees, or (ii) once the Refinitiv Owners and their affiliates together no longer beneficially own a number of shares of our common stock and LLC Interests that together entitle them to at least 10% of our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pacing w:after="0" w:line="131" w:lineRule="exact"/>
        <w:rPr>
          <w:rFonts w:ascii="Arial" w:cs="Arial" w:eastAsia="Arial" w:hAnsi="Arial"/>
          <w:sz w:val="17"/>
          <w:szCs w:val="17"/>
          <w:color w:val="auto"/>
        </w:rPr>
      </w:pPr>
    </w:p>
    <w:p>
      <w:pPr>
        <w:ind w:left="2000" w:right="999" w:hanging="354"/>
        <w:spacing w:after="0" w:line="291" w:lineRule="auto"/>
        <w:tabs>
          <w:tab w:leader="none" w:pos="2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Tradeweb will enter into (i) a tax receivable agreement (the “Tax Receivable Agreement”) with the Continuing LLC Owners, (ii) a stockholders agreement (the “Stockholders Agreement”) with</w:t>
      </w:r>
    </w:p>
    <w:p>
      <w:pPr>
        <w:ind w:left="3140"/>
        <w:spacing w:after="0"/>
        <w:rPr>
          <w:rFonts w:ascii="Arial" w:cs="Arial" w:eastAsia="Arial" w:hAnsi="Arial"/>
          <w:sz w:val="16"/>
          <w:szCs w:val="16"/>
          <w:color w:val="auto"/>
        </w:rPr>
      </w:pPr>
      <w:r>
        <w:rPr>
          <w:rFonts w:ascii="Arial" w:cs="Arial" w:eastAsia="Arial" w:hAnsi="Arial"/>
          <w:sz w:val="17"/>
          <w:szCs w:val="17"/>
          <w:color w:val="auto"/>
        </w:rPr>
        <w:t>and (iii) a registration rights agreement (the “Registration Rights Agreement”) with</w:t>
      </w:r>
    </w:p>
    <w:p>
      <w:pPr>
        <w:spacing w:after="0" w:line="20" w:lineRule="exact"/>
        <w:rPr>
          <w:rFonts w:ascii="Arial" w:cs="Arial" w:eastAsia="Arial" w:hAnsi="Arial"/>
          <w:sz w:val="16"/>
          <w:szCs w:val="16"/>
          <w:color w:val="auto"/>
        </w:rPr>
      </w:pPr>
    </w:p>
    <w:p>
      <w:pPr>
        <w:ind w:left="3040"/>
        <w:spacing w:after="0"/>
        <w:rPr>
          <w:rFonts w:ascii="Arial" w:cs="Arial" w:eastAsia="Arial" w:hAnsi="Arial"/>
          <w:sz w:val="16"/>
          <w:szCs w:val="16"/>
          <w:color w:val="auto"/>
        </w:rPr>
      </w:pPr>
      <w:r>
        <w:rPr>
          <w:rFonts w:ascii="Arial" w:cs="Arial" w:eastAsia="Arial" w:hAnsi="Arial"/>
          <w:sz w:val="18"/>
          <w:szCs w:val="18"/>
          <w:color w:val="auto"/>
        </w:rPr>
        <w:t>.</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firstLine="360"/>
        <w:spacing w:after="0" w:line="259" w:lineRule="auto"/>
        <w:rPr>
          <w:sz w:val="20"/>
          <w:szCs w:val="20"/>
          <w:color w:val="auto"/>
        </w:rPr>
      </w:pPr>
      <w:r>
        <w:rPr>
          <w:rFonts w:ascii="Arial" w:cs="Arial" w:eastAsia="Arial" w:hAnsi="Arial"/>
          <w:sz w:val="18"/>
          <w:szCs w:val="18"/>
          <w:color w:val="auto"/>
        </w:rPr>
        <w:t>We refer to this offering and the foregoing organizational transactions we will consummate prior to the closing of this offering collectively as the “Reorganization Transactions.” For more information regarding the Reorganization Transactions and our structure after the completion of the Reorganization Transactions, including this offering, see “The Reorganization Transactions.”</w:t>
      </w:r>
    </w:p>
    <w:p>
      <w:pPr>
        <w:spacing w:after="0" w:line="79" w:lineRule="exact"/>
        <w:rPr>
          <w:sz w:val="20"/>
          <w:szCs w:val="20"/>
          <w:color w:val="auto"/>
        </w:rPr>
      </w:pPr>
    </w:p>
    <w:p>
      <w:pPr>
        <w:ind w:left="1280" w:right="699" w:firstLine="360"/>
        <w:spacing w:after="0" w:line="271" w:lineRule="auto"/>
        <w:rPr>
          <w:sz w:val="20"/>
          <w:szCs w:val="20"/>
          <w:color w:val="auto"/>
        </w:rPr>
      </w:pPr>
      <w:r>
        <w:rPr>
          <w:rFonts w:ascii="Arial" w:cs="Arial" w:eastAsia="Arial" w:hAnsi="Arial"/>
          <w:sz w:val="17"/>
          <w:szCs w:val="17"/>
          <w:color w:val="auto"/>
        </w:rPr>
        <w:t>Immediately following this offering, Tradeweb will be a holding company whose principal asset will be the LLC Interests it acquires from certain of the Other LLC Owners using the net proceeds from this offering and the LLC Interests it receives from the Refinitiv Direct Owners in exchange for shares of Class B common stock issued by us. As the sole manager of TWM LLC, we will operate and control all of the business and affairs of TWM LLC and, through TWM LLC and its subsidiaries, conduct our business. We will have the sole voting interest in, and control the management of, TWM LLC. As a result, we will consolidate TWM LLC in our consolidated financial statements and will report a non-controlling interest related to the LLC Interests held by the Continuing LLC Owners on our consolidated financial statements.</w:t>
      </w:r>
    </w:p>
    <w:p>
      <w:pPr>
        <w:spacing w:after="0" w:line="70" w:lineRule="exact"/>
        <w:rPr>
          <w:sz w:val="20"/>
          <w:szCs w:val="20"/>
          <w:color w:val="auto"/>
        </w:rPr>
      </w:pPr>
    </w:p>
    <w:p>
      <w:pPr>
        <w:ind w:left="1280" w:right="73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1219" w:firstLine="360"/>
        <w:spacing w:after="0" w:line="263" w:lineRule="auto"/>
        <w:rPr>
          <w:sz w:val="20"/>
          <w:szCs w:val="20"/>
          <w:color w:val="auto"/>
        </w:rPr>
      </w:pPr>
      <w:r>
        <w:rPr>
          <w:rFonts w:ascii="Arial" w:cs="Arial" w:eastAsia="Arial" w:hAnsi="Arial"/>
          <w:sz w:val="18"/>
          <w:szCs w:val="18"/>
          <w:color w:val="auto"/>
        </w:rPr>
        <w:t>The following diagram shows our organizational structure after giving effect to the Reorganization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40" w:right="759" w:hanging="354"/>
        <w:spacing w:after="0" w:line="275" w:lineRule="auto"/>
        <w:tabs>
          <w:tab w:leader="none" w:pos="1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Included among the Continuing LLC Owners is a holding vehicle to which certain members of the Company’s management team contributed the LLC Interests that they held immediately prior to this offering, and through which such members currently hold such LLC Interests. To facilitate a member’s sale of LLC Interests, a member may cause the holding vehicle to distribute to that member some or all of the LLC Interests that the member contributed to the holding vehicle prior to this offering.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19" w:lineRule="exact"/>
        <w:rPr>
          <w:sz w:val="20"/>
          <w:szCs w:val="20"/>
          <w:color w:val="auto"/>
        </w:rPr>
      </w:pPr>
    </w:p>
    <w:p>
      <w:pPr>
        <w:ind w:left="2000" w:right="1179" w:hanging="354"/>
        <w:spacing w:after="0" w:line="277"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102"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69" w:lineRule="exact"/>
        <w:rPr>
          <w:rFonts w:ascii="Arial" w:cs="Arial" w:eastAsia="Arial" w:hAnsi="Arial"/>
          <w:sz w:val="17"/>
          <w:szCs w:val="17"/>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69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69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2000" w:right="859" w:hanging="354"/>
        <w:spacing w:after="0" w:line="342" w:lineRule="auto"/>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have only two years of audited financial statements and only two years of related Management’s Discussion and Analysis of Financial Condition and Results of Operations disclosure;</w:t>
      </w:r>
    </w:p>
    <w:p>
      <w:pPr>
        <w:spacing w:after="0" w:line="56" w:lineRule="exact"/>
        <w:rPr>
          <w:rFonts w:ascii="Arial" w:cs="Arial" w:eastAsia="Arial" w:hAnsi="Arial"/>
          <w:sz w:val="16"/>
          <w:szCs w:val="16"/>
          <w:color w:val="auto"/>
        </w:rPr>
      </w:pPr>
    </w:p>
    <w:p>
      <w:pPr>
        <w:ind w:left="2000" w:right="1099" w:hanging="354"/>
        <w:spacing w:after="0" w:line="342" w:lineRule="auto"/>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controls over financial reporting pursuant to Section 404(b) of the Sarbanes-Oxley Act of 2002 (the “Sarbanes-Oxley Act”);</w:t>
      </w:r>
    </w:p>
    <w:p>
      <w:pPr>
        <w:spacing w:after="0" w:line="69" w:lineRule="exact"/>
        <w:rPr>
          <w:rFonts w:ascii="Arial" w:cs="Arial" w:eastAsia="Arial" w:hAnsi="Arial"/>
          <w:sz w:val="16"/>
          <w:szCs w:val="16"/>
          <w:color w:val="auto"/>
        </w:rPr>
      </w:pPr>
    </w:p>
    <w:p>
      <w:pPr>
        <w:ind w:left="2000" w:right="759" w:hanging="354"/>
        <w:spacing w:after="0" w:line="259"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2000" w:right="919" w:hanging="354"/>
        <w:spacing w:after="0" w:line="308" w:lineRule="auto"/>
        <w:tabs>
          <w:tab w:leader="none" w:pos="2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8" w:lineRule="exact"/>
        <w:rPr>
          <w:rFonts w:ascii="Arial" w:cs="Arial" w:eastAsia="Arial" w:hAnsi="Arial"/>
          <w:sz w:val="17"/>
          <w:szCs w:val="17"/>
          <w:color w:val="auto"/>
        </w:rPr>
      </w:pPr>
    </w:p>
    <w:p>
      <w:pPr>
        <w:jc w:val="both"/>
        <w:ind w:left="2000" w:right="999" w:hanging="354"/>
        <w:spacing w:after="0" w:line="263"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6"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79"/>
        <w:spacing w:after="0" w:line="259" w:lineRule="auto"/>
        <w:rPr>
          <w:sz w:val="20"/>
          <w:szCs w:val="20"/>
          <w:color w:val="auto"/>
        </w:rPr>
      </w:pPr>
      <w:r>
        <w:rPr>
          <w:rFonts w:ascii="Arial" w:cs="Arial" w:eastAsia="Arial" w:hAnsi="Arial"/>
          <w:sz w:val="18"/>
          <w:szCs w:val="18"/>
          <w:color w:val="auto"/>
        </w:rPr>
        <w:t>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pacing w:after="0" w:line="79" w:lineRule="exact"/>
        <w:rPr>
          <w:sz w:val="20"/>
          <w:szCs w:val="20"/>
          <w:color w:val="auto"/>
        </w:rPr>
      </w:pPr>
    </w:p>
    <w:p>
      <w:pPr>
        <w:ind w:left="1280" w:right="65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679" w:firstLine="360"/>
        <w:spacing w:after="0" w:line="296"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75" w:lineRule="auto"/>
        <w:rPr>
          <w:sz w:val="20"/>
          <w:szCs w:val="20"/>
          <w:color w:val="auto"/>
        </w:rPr>
      </w:pPr>
      <w:r>
        <w:rPr>
          <w:rFonts w:ascii="Arial" w:cs="Arial" w:eastAsia="Arial" w:hAnsi="Arial"/>
          <w:sz w:val="17"/>
          <w:szCs w:val="17"/>
          <w:color w:val="auto"/>
        </w:rPr>
        <w:t xml:space="preserve">Tradeweb Markets Inc., the issuer of the Class A common stock in this offering,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7"/>
          <w:szCs w:val="17"/>
          <w:i w:val="1"/>
          <w:iCs w:val="1"/>
          <w:color w:val="auto"/>
        </w:rPr>
        <w:t>www.tradeweb.com</w:t>
      </w:r>
      <w:r>
        <w:rPr>
          <w:rFonts w:ascii="Arial" w:cs="Arial" w:eastAsia="Arial" w:hAnsi="Arial"/>
          <w:sz w:val="17"/>
          <w:szCs w:val="17"/>
          <w:color w:val="auto"/>
        </w:rPr>
        <w:t>. The information contained on, or that can be accessed through, our website is deemed not to be incorporated in this prospectus or to be part of this prospectus.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right="14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4"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78"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C common stock to be outstanding after this offering</w:t>
      </w:r>
    </w:p>
    <w:p>
      <w:pPr>
        <w:spacing w:after="0" w:line="62"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D common stock to be outstanding after this offering</w:t>
      </w:r>
    </w:p>
    <w:p>
      <w:pPr>
        <w:spacing w:after="0" w:line="200" w:lineRule="exact"/>
        <w:rPr>
          <w:sz w:val="20"/>
          <w:szCs w:val="20"/>
          <w:color w:val="auto"/>
        </w:rPr>
      </w:pPr>
    </w:p>
    <w:p>
      <w:pPr>
        <w:spacing w:after="0" w:line="294" w:lineRule="exact"/>
        <w:rPr>
          <w:sz w:val="20"/>
          <w:szCs w:val="20"/>
          <w:color w:val="auto"/>
        </w:rPr>
      </w:pPr>
    </w:p>
    <w:p>
      <w:pPr>
        <w:ind w:left="1460" w:right="10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an option to purchase up to an aggregate</w:t>
      </w:r>
    </w:p>
    <w:p>
      <w:pPr>
        <w:spacing w:after="0" w:line="46"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of additional shares of Class A common stock from us at the initial public offering price, less underwriting discounts and commissions. The underwriters can exercise this option at any time within 30 days from the date of this prospectus.</w:t>
      </w:r>
    </w:p>
    <w:p>
      <w:pPr>
        <w:spacing w:after="0" w:line="284" w:lineRule="exact"/>
        <w:rPr>
          <w:sz w:val="20"/>
          <w:szCs w:val="20"/>
          <w:color w:val="auto"/>
        </w:rPr>
      </w:pPr>
    </w:p>
    <w:p>
      <w:pPr>
        <w:ind w:right="859" w:firstLine="405"/>
        <w:spacing w:after="0" w:line="263" w:lineRule="auto"/>
        <w:rPr>
          <w:sz w:val="20"/>
          <w:szCs w:val="20"/>
          <w:color w:val="auto"/>
        </w:rPr>
      </w:pPr>
      <w:r>
        <w:rPr>
          <w:rFonts w:ascii="Arial" w:cs="Arial" w:eastAsia="Arial" w:hAnsi="Arial"/>
          <w:sz w:val="18"/>
          <w:szCs w:val="18"/>
          <w:color w:val="auto"/>
        </w:rPr>
        <w:t>shares (or shares, if the underwriters exercise in full their option to purchase additional shares of Class A common stock).</w:t>
      </w:r>
    </w:p>
    <w:p>
      <w:pPr>
        <w:spacing w:after="0" w:line="292" w:lineRule="exact"/>
        <w:rPr>
          <w:sz w:val="20"/>
          <w:szCs w:val="20"/>
          <w:color w:val="auto"/>
        </w:rPr>
      </w:pPr>
    </w:p>
    <w:p>
      <w:pPr>
        <w:ind w:right="859" w:firstLine="405"/>
        <w:spacing w:after="0" w:line="277" w:lineRule="auto"/>
        <w:rPr>
          <w:sz w:val="20"/>
          <w:szCs w:val="20"/>
          <w:color w:val="auto"/>
        </w:rPr>
      </w:pPr>
      <w:r>
        <w:rPr>
          <w:rFonts w:ascii="Arial" w:cs="Arial" w:eastAsia="Arial" w:hAnsi="Arial"/>
          <w:sz w:val="18"/>
          <w:szCs w:val="18"/>
          <w:color w:val="auto"/>
        </w:rPr>
        <w:t>shares, all of which will be owned by the Refinitiv Direct Owners.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shares, all of which will be owned by the Continuing LLC</w:t>
      </w:r>
    </w:p>
    <w:p>
      <w:pPr>
        <w:spacing w:after="0" w:line="35" w:lineRule="exact"/>
        <w:rPr>
          <w:sz w:val="20"/>
          <w:szCs w:val="20"/>
          <w:color w:val="auto"/>
        </w:rPr>
      </w:pPr>
    </w:p>
    <w:p>
      <w:pPr>
        <w:jc w:val="both"/>
        <w:ind w:right="779"/>
        <w:spacing w:after="0" w:line="323" w:lineRule="auto"/>
        <w:rPr>
          <w:sz w:val="20"/>
          <w:szCs w:val="20"/>
          <w:color w:val="auto"/>
        </w:rPr>
      </w:pPr>
      <w:r>
        <w:rPr>
          <w:rFonts w:ascii="Arial" w:cs="Arial" w:eastAsia="Arial" w:hAnsi="Arial"/>
          <w:sz w:val="16"/>
          <w:szCs w:val="16"/>
          <w:color w:val="auto"/>
        </w:rPr>
        <w:t>Owners (or shares, if the underwriters exercise in full their option to purchase additional shares of Class A common stock).</w:t>
      </w:r>
    </w:p>
    <w:p>
      <w:pPr>
        <w:spacing w:after="0" w:line="246" w:lineRule="exact"/>
        <w:rPr>
          <w:sz w:val="20"/>
          <w:szCs w:val="20"/>
          <w:color w:val="auto"/>
        </w:rPr>
      </w:pPr>
    </w:p>
    <w:p>
      <w:pPr>
        <w:ind w:left="400"/>
        <w:spacing w:after="0"/>
        <w:tabs>
          <w:tab w:leader="none" w:pos="2880" w:val="left"/>
        </w:tabs>
        <w:rPr>
          <w:sz w:val="20"/>
          <w:szCs w:val="20"/>
          <w:color w:val="auto"/>
        </w:rPr>
      </w:pP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6"/>
          <w:szCs w:val="16"/>
          <w:color w:val="auto"/>
        </w:rPr>
        <w:t>% economic interest in</w:t>
      </w:r>
    </w:p>
    <w:p>
      <w:pPr>
        <w:spacing w:after="0" w:line="23" w:lineRule="exact"/>
        <w:rPr>
          <w:sz w:val="20"/>
          <w:szCs w:val="20"/>
          <w:color w:val="auto"/>
        </w:rPr>
      </w:pPr>
    </w:p>
    <w:p>
      <w:pPr>
        <w:spacing w:after="0"/>
        <w:tabs>
          <w:tab w:leader="none" w:pos="1520" w:val="left"/>
          <w:tab w:leader="none" w:pos="4020" w:val="left"/>
        </w:tabs>
        <w:rPr>
          <w:sz w:val="20"/>
          <w:szCs w:val="20"/>
          <w:color w:val="auto"/>
        </w:rPr>
      </w:pPr>
      <w:r>
        <w:rPr>
          <w:rFonts w:ascii="Arial" w:cs="Arial" w:eastAsia="Arial" w:hAnsi="Arial"/>
          <w:sz w:val="18"/>
          <w:szCs w:val="18"/>
          <w:color w:val="auto"/>
        </w:rPr>
        <w:t>TWM LLC (or</w:t>
      </w:r>
      <w:r>
        <w:rPr>
          <w:sz w:val="20"/>
          <w:szCs w:val="20"/>
          <w:color w:val="auto"/>
        </w:rPr>
        <w:tab/>
      </w: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5"/>
          <w:szCs w:val="15"/>
          <w:color w:val="auto"/>
        </w:rPr>
        <w:t>%</w:t>
      </w:r>
    </w:p>
    <w:p>
      <w:pPr>
        <w:spacing w:after="0" w:line="9" w:lineRule="exact"/>
        <w:rPr>
          <w:sz w:val="20"/>
          <w:szCs w:val="20"/>
          <w:color w:val="auto"/>
        </w:rPr>
      </w:pPr>
    </w:p>
    <w:p>
      <w:pPr>
        <w:ind w:right="679"/>
        <w:spacing w:after="0" w:line="255" w:lineRule="auto"/>
        <w:rPr>
          <w:sz w:val="20"/>
          <w:szCs w:val="20"/>
          <w:color w:val="auto"/>
        </w:rPr>
      </w:pPr>
      <w:r>
        <w:rPr>
          <w:rFonts w:ascii="Arial" w:cs="Arial" w:eastAsia="Arial" w:hAnsi="Arial"/>
          <w:sz w:val="18"/>
          <w:szCs w:val="18"/>
          <w:color w:val="auto"/>
        </w:rPr>
        <w:t>economic interest in TWM LLC, if the underwriters exercise in full their option to purchase additional shares of Class A common stock).</w:t>
      </w:r>
    </w:p>
    <w:p>
      <w:pPr>
        <w:spacing w:after="0" w:line="82" w:lineRule="exact"/>
        <w:rPr>
          <w:sz w:val="20"/>
          <w:szCs w:val="20"/>
          <w:color w:val="auto"/>
        </w:rPr>
      </w:pPr>
    </w:p>
    <w:p>
      <w:pPr>
        <w:ind w:right="939"/>
        <w:spacing w:after="0" w:line="291"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w:t>
      </w:r>
    </w:p>
    <w:p>
      <w:pPr>
        <w:spacing w:after="0"/>
        <w:tabs>
          <w:tab w:leader="none" w:pos="24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completion of this offering (or</w:t>
      </w:r>
      <w:r>
        <w:rPr>
          <w:sz w:val="20"/>
          <w:szCs w:val="20"/>
          <w:color w:val="auto"/>
        </w:rPr>
        <w:tab/>
      </w:r>
      <w:r>
        <w:rPr>
          <w:rFonts w:ascii="Arial" w:cs="Arial" w:eastAsia="Arial" w:hAnsi="Arial"/>
          <w:sz w:val="16"/>
          <w:szCs w:val="16"/>
          <w:color w:val="auto"/>
        </w:rPr>
        <w:t>%, if the underwriters</w:t>
      </w:r>
    </w:p>
    <w:p>
      <w:pPr>
        <w:spacing w:after="0" w:line="9" w:lineRule="exact"/>
        <w:rPr>
          <w:sz w:val="20"/>
          <w:szCs w:val="20"/>
          <w:color w:val="auto"/>
        </w:rPr>
      </w:pPr>
    </w:p>
    <w:p>
      <w:pPr>
        <w:ind w:right="1119"/>
        <w:spacing w:after="0" w:line="260" w:lineRule="auto"/>
        <w:rPr>
          <w:sz w:val="20"/>
          <w:szCs w:val="20"/>
          <w:color w:val="auto"/>
        </w:rPr>
      </w:pPr>
      <w:r>
        <w:rPr>
          <w:rFonts w:ascii="Arial" w:cs="Arial" w:eastAsia="Arial" w:hAnsi="Arial"/>
          <w:sz w:val="18"/>
          <w:szCs w:val="18"/>
          <w:color w:val="auto"/>
        </w:rPr>
        <w:t>exercise in full their option to purchase additional shares of Class A common stock).</w:t>
      </w:r>
    </w:p>
    <w:p>
      <w:pPr>
        <w:spacing w:after="0" w:line="77" w:lineRule="exact"/>
        <w:rPr>
          <w:sz w:val="20"/>
          <w:szCs w:val="20"/>
          <w:color w:val="auto"/>
        </w:rPr>
      </w:pPr>
    </w:p>
    <w:p>
      <w:pPr>
        <w:ind w:right="979"/>
        <w:spacing w:after="0" w:line="291" w:lineRule="auto"/>
        <w:rPr>
          <w:sz w:val="20"/>
          <w:szCs w:val="20"/>
          <w:color w:val="auto"/>
        </w:rPr>
      </w:pPr>
      <w:r>
        <w:rPr>
          <w:rFonts w:ascii="Arial" w:cs="Arial" w:eastAsia="Arial" w:hAnsi="Arial"/>
          <w:sz w:val="16"/>
          <w:szCs w:val="16"/>
          <w:color w:val="auto"/>
        </w:rPr>
        <w:t>Each share of Class B common stock entitles its holder to ten votes on all matters presented to our stockholders generally,</w:t>
      </w:r>
    </w:p>
    <w:p>
      <w:pPr>
        <w:ind w:right="699"/>
        <w:spacing w:after="0" w:line="253" w:lineRule="auto"/>
        <w:rPr>
          <w:sz w:val="20"/>
          <w:szCs w:val="20"/>
          <w:color w:val="auto"/>
        </w:rPr>
      </w:pPr>
      <w:r>
        <w:rPr>
          <w:rFonts w:ascii="Arial" w:cs="Arial" w:eastAsia="Arial" w:hAnsi="Arial"/>
          <w:sz w:val="18"/>
          <w:szCs w:val="18"/>
          <w:color w:val="auto"/>
        </w:rPr>
        <w:t>representing an aggregate of % of the combined voting power of our issued and outstanding common stock upon completion of this offering. Upon completion of this offering, the Refinitiv Direct Owners will own all of our outstanding Class B common stock.</w:t>
      </w:r>
    </w:p>
    <w:p>
      <w:pPr>
        <w:spacing w:after="0" w:line="83" w:lineRule="exact"/>
        <w:rPr>
          <w:sz w:val="20"/>
          <w:szCs w:val="20"/>
          <w:color w:val="auto"/>
        </w:rPr>
      </w:pPr>
    </w:p>
    <w:p>
      <w:pPr>
        <w:ind w:right="719"/>
        <w:spacing w:after="0" w:line="259" w:lineRule="auto"/>
        <w:rPr>
          <w:sz w:val="20"/>
          <w:szCs w:val="20"/>
          <w:color w:val="auto"/>
        </w:rPr>
      </w:pPr>
      <w:r>
        <w:rPr>
          <w:rFonts w:ascii="Arial" w:cs="Arial" w:eastAsia="Arial" w:hAnsi="Arial"/>
          <w:sz w:val="18"/>
          <w:szCs w:val="18"/>
          <w:color w:val="auto"/>
        </w:rPr>
        <w:t>Each share of Class C common stock entitles its holder to one vote on all matters presented to our stockholders generally. Upon completion of this offering, no shares of Class C common stock will be outstanding.</w:t>
      </w:r>
    </w:p>
    <w:p>
      <w:pPr>
        <w:spacing w:after="0" w:line="200" w:lineRule="exact"/>
        <w:rPr>
          <w:sz w:val="20"/>
          <w:szCs w:val="20"/>
          <w:color w:val="auto"/>
        </w:rPr>
      </w:pPr>
    </w:p>
    <w:p>
      <w:pPr>
        <w:sectPr>
          <w:pgSz w:w="11900" w:h="16838" w:orient="portrait"/>
          <w:cols w:equalWidth="0" w:num="2">
            <w:col w:w="4240" w:space="500"/>
            <w:col w:w="53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D common stock entitles its holder to ten</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votes on all matters presented to our stockholders generally,</w:t>
      </w:r>
    </w:p>
    <w:p>
      <w:pPr>
        <w:spacing w:after="0" w:line="21" w:lineRule="exact"/>
        <w:rPr>
          <w:sz w:val="20"/>
          <w:szCs w:val="20"/>
          <w:color w:val="auto"/>
        </w:rPr>
      </w:pPr>
    </w:p>
    <w:p>
      <w:pPr>
        <w:ind w:left="4740"/>
        <w:spacing w:after="0"/>
        <w:tabs>
          <w:tab w:leader="none" w:pos="720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ind w:left="4740"/>
        <w:spacing w:after="0"/>
        <w:tabs>
          <w:tab w:leader="none" w:pos="7380" w:val="left"/>
        </w:tabs>
        <w:rPr>
          <w:sz w:val="20"/>
          <w:szCs w:val="20"/>
          <w:color w:val="auto"/>
        </w:rPr>
      </w:pPr>
      <w:r>
        <w:rPr>
          <w:rFonts w:ascii="Arial" w:cs="Arial" w:eastAsia="Arial" w:hAnsi="Arial"/>
          <w:sz w:val="18"/>
          <w:szCs w:val="18"/>
          <w:color w:val="auto"/>
        </w:rPr>
        <w:t>consummation of this offering (or</w:t>
      </w:r>
      <w:r>
        <w:rPr>
          <w:sz w:val="20"/>
          <w:szCs w:val="20"/>
          <w:color w:val="auto"/>
        </w:rPr>
        <w:tab/>
      </w:r>
      <w:r>
        <w:rPr>
          <w:rFonts w:ascii="Arial" w:cs="Arial" w:eastAsia="Arial" w:hAnsi="Arial"/>
          <w:sz w:val="16"/>
          <w:szCs w:val="16"/>
          <w:color w:val="auto"/>
        </w:rPr>
        <w:t>%,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A common stock). Upon completion of this offering,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Continuing LLC Owners will own all of our outstanding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any outstanding shares of our Class A common stock,</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B common stock, Class C common stock and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vote together as a single class on all matters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presented to our stockholders for their vote or approval, except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otherwise required by applicable law. See “Description of Capital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Voting power held by the Refinitiv</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Owners</w:t>
            </w:r>
          </w:p>
        </w:tc>
        <w:tc>
          <w:tcPr>
            <w:tcW w:w="72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Voting power held by the Other LLC</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Owners</w:t>
            </w:r>
          </w:p>
        </w:tc>
        <w:tc>
          <w:tcPr>
            <w:tcW w:w="72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 (or</w:t>
            </w:r>
          </w:p>
        </w:tc>
        <w:tc>
          <w:tcPr>
            <w:tcW w:w="3740" w:type="dxa"/>
            <w:vAlign w:val="bottom"/>
            <w:gridSpan w:val="3"/>
          </w:tcPr>
          <w:p>
            <w:pPr>
              <w:jc w:val="right"/>
              <w:spacing w:after="0"/>
              <w:rPr>
                <w:sz w:val="20"/>
                <w:szCs w:val="20"/>
                <w:color w:val="auto"/>
              </w:rPr>
            </w:pPr>
            <w:r>
              <w:rPr>
                <w:rFonts w:ascii="Arial" w:cs="Arial" w:eastAsia="Arial" w:hAnsi="Arial"/>
                <w:sz w:val="18"/>
                <w:szCs w:val="18"/>
                <w:color w:val="auto"/>
                <w:w w:val="98"/>
              </w:rPr>
              <w:t>% if the underwriters exercise in full their option</w:t>
            </w:r>
          </w:p>
        </w:tc>
      </w:tr>
      <w:tr>
        <w:trPr>
          <w:trHeight w:val="230"/>
        </w:trPr>
        <w:tc>
          <w:tcPr>
            <w:tcW w:w="3060" w:type="dxa"/>
            <w:vAlign w:val="bottom"/>
          </w:tcPr>
          <w:p>
            <w:pPr>
              <w:spacing w:after="0"/>
              <w:rPr>
                <w:sz w:val="20"/>
                <w:szCs w:val="20"/>
                <w:color w:val="auto"/>
              </w:rPr>
            </w:pP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rPr>
              <w:t>to purchase additional shares of Class A common stock).</w:t>
            </w:r>
          </w:p>
        </w:tc>
        <w:tc>
          <w:tcPr>
            <w:tcW w:w="12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Controlled company</w:t>
            </w: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rPr>
              <w:t>We will be a “controlled company” within the meaning of</w:t>
            </w:r>
          </w:p>
        </w:tc>
        <w:tc>
          <w:tcPr>
            <w:tcW w:w="1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480" w:type="dxa"/>
            <w:vAlign w:val="bottom"/>
            <w:gridSpan w:val="3"/>
          </w:tcPr>
          <w:p>
            <w:pPr>
              <w:ind w:left="400"/>
              <w:spacing w:after="0"/>
              <w:rPr>
                <w:sz w:val="20"/>
                <w:szCs w:val="20"/>
                <w:color w:val="auto"/>
              </w:rPr>
            </w:pPr>
            <w:r>
              <w:rPr>
                <w:rFonts w:ascii="Arial" w:cs="Arial" w:eastAsia="Arial" w:hAnsi="Arial"/>
                <w:sz w:val="18"/>
                <w:szCs w:val="18"/>
                <w:color w:val="auto"/>
                <w:w w:val="98"/>
              </w:rPr>
              <w:t>the corporate governance standards of</w:t>
            </w:r>
          </w:p>
        </w:tc>
        <w:tc>
          <w:tcPr>
            <w:tcW w:w="1620" w:type="dxa"/>
            <w:vAlign w:val="bottom"/>
            <w:gridSpan w:val="2"/>
          </w:tcPr>
          <w:p>
            <w:pPr>
              <w:jc w:val="right"/>
              <w:ind w:right="49"/>
              <w:spacing w:after="0"/>
              <w:rPr>
                <w:sz w:val="20"/>
                <w:szCs w:val="20"/>
                <w:color w:val="auto"/>
              </w:rPr>
            </w:pPr>
            <w:r>
              <w:rPr>
                <w:rFonts w:ascii="Arial" w:cs="Arial" w:eastAsia="Arial" w:hAnsi="Arial"/>
                <w:sz w:val="18"/>
                <w:szCs w:val="18"/>
                <w:color w:val="auto"/>
                <w:w w:val="94"/>
              </w:rPr>
              <w:t>. See “Management</w:t>
            </w:r>
          </w:p>
        </w:tc>
      </w:tr>
      <w:tr>
        <w:trPr>
          <w:trHeight w:val="230"/>
        </w:trPr>
        <w:tc>
          <w:tcPr>
            <w:tcW w:w="3060" w:type="dxa"/>
            <w:vAlign w:val="bottom"/>
          </w:tcPr>
          <w:p>
            <w:pPr>
              <w:spacing w:after="0"/>
              <w:rPr>
                <w:sz w:val="20"/>
                <w:szCs w:val="20"/>
                <w:color w:val="auto"/>
              </w:rPr>
            </w:pPr>
          </w:p>
        </w:tc>
        <w:tc>
          <w:tcPr>
            <w:tcW w:w="5100" w:type="dxa"/>
            <w:vAlign w:val="bottom"/>
            <w:gridSpan w:val="5"/>
          </w:tcPr>
          <w:p>
            <w:pPr>
              <w:ind w:left="400"/>
              <w:spacing w:after="0"/>
              <w:rPr>
                <w:sz w:val="20"/>
                <w:szCs w:val="20"/>
                <w:color w:val="auto"/>
              </w:rPr>
            </w:pPr>
            <w:r>
              <w:rPr>
                <w:rFonts w:ascii="Arial" w:cs="Arial" w:eastAsia="Arial" w:hAnsi="Arial"/>
                <w:sz w:val="18"/>
                <w:szCs w:val="18"/>
                <w:color w:val="auto"/>
                <w:w w:val="92"/>
              </w:rPr>
              <w:t>— Director Independence and Controlled Company Exception.”</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Dividend policy</w:t>
            </w: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w w:val="93"/>
              </w:rPr>
              <w:t>Following the completion of this offering and subject to legally</w:t>
            </w:r>
          </w:p>
        </w:tc>
        <w:tc>
          <w:tcPr>
            <w:tcW w:w="1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100" w:type="dxa"/>
            <w:vAlign w:val="bottom"/>
            <w:gridSpan w:val="5"/>
          </w:tcPr>
          <w:p>
            <w:pPr>
              <w:ind w:left="400"/>
              <w:spacing w:after="0"/>
              <w:rPr>
                <w:sz w:val="20"/>
                <w:szCs w:val="20"/>
                <w:color w:val="auto"/>
              </w:rPr>
            </w:pPr>
            <w:r>
              <w:rPr>
                <w:rFonts w:ascii="Arial" w:cs="Arial" w:eastAsia="Arial" w:hAnsi="Arial"/>
                <w:sz w:val="18"/>
                <w:szCs w:val="18"/>
                <w:color w:val="auto"/>
                <w:w w:val="90"/>
              </w:rPr>
              <w:t>available funds, we intend to pay quarterly cash dividends on our</w:t>
            </w:r>
          </w:p>
        </w:tc>
      </w:tr>
      <w:tr>
        <w:trPr>
          <w:trHeight w:val="216"/>
        </w:trPr>
        <w:tc>
          <w:tcPr>
            <w:tcW w:w="3060" w:type="dxa"/>
            <w:vAlign w:val="bottom"/>
          </w:tcPr>
          <w:p>
            <w:pPr>
              <w:spacing w:after="0"/>
              <w:rPr>
                <w:sz w:val="18"/>
                <w:szCs w:val="18"/>
                <w:color w:val="auto"/>
              </w:rPr>
            </w:pPr>
          </w:p>
        </w:tc>
        <w:tc>
          <w:tcPr>
            <w:tcW w:w="5100" w:type="dxa"/>
            <w:vAlign w:val="bottom"/>
            <w:gridSpan w:val="5"/>
          </w:tcPr>
          <w:p>
            <w:pPr>
              <w:ind w:left="400"/>
              <w:spacing w:after="0"/>
              <w:rPr>
                <w:sz w:val="20"/>
                <w:szCs w:val="20"/>
                <w:color w:val="auto"/>
              </w:rPr>
            </w:pPr>
            <w:r>
              <w:rPr>
                <w:rFonts w:ascii="Arial" w:cs="Arial" w:eastAsia="Arial" w:hAnsi="Arial"/>
                <w:sz w:val="18"/>
                <w:szCs w:val="18"/>
                <w:color w:val="auto"/>
                <w:w w:val="91"/>
              </w:rPr>
              <w:t>Class A common stock and Class B common stock initially equal</w:t>
            </w:r>
          </w:p>
        </w:tc>
      </w:tr>
      <w:tr>
        <w:trPr>
          <w:trHeight w:val="230"/>
        </w:trPr>
        <w:tc>
          <w:tcPr>
            <w:tcW w:w="306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w w:val="99"/>
              </w:rPr>
              <w:t>to $</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w w:val="93"/>
              </w:rPr>
              <w:t>per share, commencing with the</w:t>
            </w:r>
          </w:p>
        </w:tc>
        <w:tc>
          <w:tcPr>
            <w:tcW w:w="1500" w:type="dxa"/>
            <w:vAlign w:val="bottom"/>
          </w:tcPr>
          <w:p>
            <w:pPr>
              <w:ind w:left="360"/>
              <w:spacing w:after="0"/>
              <w:rPr>
                <w:sz w:val="20"/>
                <w:szCs w:val="20"/>
                <w:color w:val="auto"/>
              </w:rPr>
            </w:pPr>
            <w:r>
              <w:rPr>
                <w:rFonts w:ascii="Arial" w:cs="Arial" w:eastAsia="Arial" w:hAnsi="Arial"/>
                <w:sz w:val="18"/>
                <w:szCs w:val="18"/>
                <w:color w:val="auto"/>
              </w:rPr>
              <w:t>quarter of</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r>
    </w:tbl>
    <w:p>
      <w:pPr>
        <w:spacing w:after="0" w:line="94"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Because we are a holding company and all of our business is</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conducted through our subsidiaries, we expect to pay dividends,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if any, from funds we receive from our subsidiaries. As the sole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managing member of TWM LLC, we intend to cause, and will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rely on, TWM LLC to make distributions in respect of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 to fund our dividends. When TWM LLC makes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distributions, the Continuing LLC Owners will be entitled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receive proportionate distributions based on their economic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 in TWM LLC. If TWM LLC is unable to cause these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subsidiaries to make distributions, it may have inadequate funds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distribute to us and we may be unable to fund our expected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dividends.</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declaration, amount and payment of any future dividends</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will be at the sole discretion of our board of directors and subject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certain considerations. See “Dividend Policy.”</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Ratio of shares of common stock to LLC</w:t>
      </w:r>
    </w:p>
    <w:p>
      <w:pPr>
        <w:spacing w:after="0" w:line="23" w:lineRule="exact"/>
        <w:rPr>
          <w:sz w:val="20"/>
          <w:szCs w:val="20"/>
          <w:color w:val="auto"/>
        </w:rPr>
      </w:pPr>
    </w:p>
    <w:p>
      <w:pPr>
        <w:ind w:left="4740" w:right="799" w:hanging="3279"/>
        <w:spacing w:after="0" w:line="292" w:lineRule="auto"/>
        <w:tabs>
          <w:tab w:leader="none" w:pos="4720" w:val="left"/>
        </w:tabs>
        <w:rPr>
          <w:sz w:val="20"/>
          <w:szCs w:val="20"/>
          <w:color w:val="auto"/>
        </w:rPr>
      </w:pPr>
      <w:r>
        <w:rPr>
          <w:rFonts w:ascii="Arial" w:cs="Arial" w:eastAsia="Arial" w:hAnsi="Arial"/>
          <w:sz w:val="16"/>
          <w:szCs w:val="16"/>
          <w:color w:val="auto"/>
        </w:rPr>
        <w:t>Interests</w:t>
      </w:r>
      <w:r>
        <w:rPr>
          <w:sz w:val="20"/>
          <w:szCs w:val="20"/>
          <w:color w:val="auto"/>
        </w:rPr>
        <w:tab/>
      </w:r>
      <w:r>
        <w:rPr>
          <w:rFonts w:ascii="Arial" w:cs="Arial" w:eastAsia="Arial" w:hAnsi="Arial"/>
          <w:sz w:val="16"/>
          <w:szCs w:val="16"/>
          <w:color w:val="auto"/>
        </w:rPr>
        <w:t>Our amended and restated certificate of incorporation and the TWM LLC Agreement will require that (i) we at all times maintain a ratio of one LLC Interest owned by us for each share of Class A common stock and Class B common stock issued by us (subject to certain exceptions for treasury shares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60" w:hanging="179"/>
        <w:spacing w:after="0" w:line="259" w:lineRule="auto"/>
        <w:rPr>
          <w:sz w:val="20"/>
          <w:szCs w:val="20"/>
          <w:color w:val="auto"/>
        </w:rPr>
      </w:pPr>
      <w:r>
        <w:rPr>
          <w:rFonts w:ascii="Arial" w:cs="Arial" w:eastAsia="Arial" w:hAnsi="Arial"/>
          <w:sz w:val="18"/>
          <w:szCs w:val="18"/>
          <w:color w:val="auto"/>
        </w:rPr>
        <w:t>Redemption rights of holders of LLC Interests/exchange rights of holders of Class B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53" w:lineRule="auto"/>
        <w:rPr>
          <w:sz w:val="20"/>
          <w:szCs w:val="20"/>
          <w:color w:val="auto"/>
        </w:rPr>
      </w:pPr>
      <w:r>
        <w:rPr>
          <w:rFonts w:ascii="Arial" w:cs="Arial" w:eastAsia="Arial" w:hAnsi="Arial"/>
          <w:sz w:val="18"/>
          <w:szCs w:val="18"/>
          <w:color w:val="auto"/>
        </w:rPr>
        <w:t>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739"/>
        <w:spacing w:after="0" w:line="272" w:lineRule="auto"/>
        <w:rPr>
          <w:sz w:val="20"/>
          <w:szCs w:val="20"/>
          <w:color w:val="auto"/>
        </w:rPr>
      </w:pPr>
      <w:r>
        <w:rPr>
          <w:rFonts w:ascii="Arial" w:cs="Arial" w:eastAsia="Arial" w:hAnsi="Arial"/>
          <w:sz w:val="17"/>
          <w:szCs w:val="17"/>
          <w:color w:val="auto"/>
        </w:rPr>
        <w:t>The Continuing LLC Owners, from time to time following this offering, may require TWM LLC to redeem all or a portion of their LLC Interests for newly issued shares of Class A common stock or Class B common stock on a one-for-one basis (and such holders’ shares of Class C common stock or Class D common stock, as the case may be, will be cancelled on a one-for-one basis upon any such issuance).</w:t>
      </w:r>
    </w:p>
    <w:p>
      <w:pPr>
        <w:spacing w:after="0" w:line="69" w:lineRule="exact"/>
        <w:rPr>
          <w:sz w:val="20"/>
          <w:szCs w:val="20"/>
          <w:color w:val="auto"/>
        </w:rPr>
      </w:pPr>
    </w:p>
    <w:p>
      <w:pPr>
        <w:ind w:right="719"/>
        <w:spacing w:after="0" w:line="287" w:lineRule="auto"/>
        <w:rPr>
          <w:sz w:val="20"/>
          <w:szCs w:val="20"/>
          <w:color w:val="auto"/>
        </w:rPr>
      </w:pPr>
      <w:r>
        <w:rPr>
          <w:rFonts w:ascii="Arial" w:cs="Arial" w:eastAsia="Arial" w:hAnsi="Arial"/>
          <w:sz w:val="16"/>
          <w:szCs w:val="16"/>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60" w:lineRule="exact"/>
        <w:rPr>
          <w:sz w:val="20"/>
          <w:szCs w:val="20"/>
          <w:color w:val="auto"/>
        </w:rPr>
      </w:pPr>
    </w:p>
    <w:p>
      <w:pPr>
        <w:ind w:right="659"/>
        <w:spacing w:after="0" w:line="287" w:lineRule="auto"/>
        <w:rPr>
          <w:sz w:val="20"/>
          <w:szCs w:val="20"/>
          <w:color w:val="auto"/>
        </w:rPr>
      </w:pPr>
      <w:r>
        <w:rPr>
          <w:rFonts w:ascii="Arial" w:cs="Arial" w:eastAsia="Arial" w:hAnsi="Arial"/>
          <w:sz w:val="16"/>
          <w:szCs w:val="16"/>
          <w:color w:val="auto"/>
        </w:rPr>
        <w:t>The Refinitiv Direct Owners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64" w:lineRule="exact"/>
        <w:rPr>
          <w:sz w:val="20"/>
          <w:szCs w:val="20"/>
          <w:color w:val="auto"/>
        </w:rPr>
      </w:pPr>
    </w:p>
    <w:p>
      <w:pPr>
        <w:ind w:right="679"/>
        <w:spacing w:after="0" w:line="290" w:lineRule="auto"/>
        <w:rPr>
          <w:sz w:val="20"/>
          <w:szCs w:val="20"/>
          <w:color w:val="auto"/>
        </w:rPr>
      </w:pPr>
      <w:r>
        <w:rPr>
          <w:rFonts w:ascii="Arial" w:cs="Arial" w:eastAsia="Arial" w:hAnsi="Arial"/>
          <w:sz w:val="16"/>
          <w:szCs w:val="16"/>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any of its affiliates or permitted transferees, which, in the case of Class D common stock, such sale or other transfer will be limited by the transfer restrictions on LLC Interests contained in the TWM LLC</w:t>
      </w:r>
    </w:p>
    <w:p>
      <w:pPr>
        <w:spacing w:after="0" w:line="200" w:lineRule="exact"/>
        <w:rPr>
          <w:sz w:val="20"/>
          <w:szCs w:val="20"/>
          <w:color w:val="auto"/>
        </w:rPr>
      </w:pPr>
    </w:p>
    <w:p>
      <w:pPr>
        <w:sectPr>
          <w:pgSz w:w="11900" w:h="16838" w:orient="portrait"/>
          <w:cols w:equalWidth="0" w:num="2">
            <w:col w:w="4220" w:space="520"/>
            <w:col w:w="53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6"/>
              </w:rPr>
              <w:t>Agreement or (ii) once the Refinitiv Owners and their affiliates</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6"/>
              </w:rPr>
              <w:t>together no longer beneficially own a number of shares of our</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3"/>
              </w:rPr>
              <w:t>common stock and LLC Interests that together entitle them to at</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6"/>
              </w:rPr>
              <w:t>least 10% of our economic interests. Holders of LLC Interests</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7"/>
              </w:rPr>
              <w:t>that receive shares of Class C common stock upon any such</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8"/>
              </w:rPr>
              <w:t>conversion may continue to elect to have their LLC Interests</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3"/>
              </w:rPr>
              <w:t>redeemed for newly issued shares of Class A common stock as</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2"/>
              </w:rPr>
              <w:t>described above (in which case their shares of Class C common</w:t>
            </w: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4"/>
              </w:rPr>
              <w:t>stock will be cancelled on a one-for-one basis upon such</w:t>
            </w:r>
          </w:p>
        </w:tc>
        <w:tc>
          <w:tcPr>
            <w:tcW w:w="44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rPr>
              <w:t>issuance). See “Description of Capital Stock.”</w:t>
            </w:r>
          </w:p>
        </w:tc>
        <w:tc>
          <w:tcPr>
            <w:tcW w:w="440" w:type="dxa"/>
            <w:vAlign w:val="bottom"/>
          </w:tcPr>
          <w:p>
            <w:pPr>
              <w:spacing w:after="0"/>
              <w:rPr>
                <w:sz w:val="20"/>
                <w:szCs w:val="20"/>
                <w:color w:val="auto"/>
              </w:rPr>
            </w:pPr>
          </w:p>
        </w:tc>
      </w:tr>
      <w:tr>
        <w:trPr>
          <w:trHeight w:val="310"/>
        </w:trPr>
        <w:tc>
          <w:tcPr>
            <w:tcW w:w="286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8"/>
              </w:rPr>
              <w:t>Pursuant to the Registration Rights Agreement, we will grant</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1240"/>
              <w:spacing w:after="0"/>
              <w:rPr>
                <w:sz w:val="20"/>
                <w:szCs w:val="20"/>
                <w:color w:val="auto"/>
              </w:rPr>
            </w:pPr>
            <w:r>
              <w:rPr>
                <w:rFonts w:ascii="Arial" w:cs="Arial" w:eastAsia="Arial" w:hAnsi="Arial"/>
                <w:sz w:val="18"/>
                <w:szCs w:val="18"/>
                <w:color w:val="auto"/>
                <w:w w:val="92"/>
              </w:rPr>
              <w:t>, their affiliates and certain of their transferees the right,</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1"/>
              </w:rPr>
              <w:t>under certain circumstances and subject to certain restrictions, to</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3"/>
              </w:rPr>
              <w:t>require us to register under the Securities Act shares of Class A</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6"/>
              </w:rPr>
              <w:t>common stock. See “Certain Relationships and Related Party</w:t>
            </w: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1"/>
              </w:rPr>
              <w:t>Transactions — Related Party Transactions Entered Into in</w:t>
            </w:r>
          </w:p>
        </w:tc>
        <w:tc>
          <w:tcPr>
            <w:tcW w:w="4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rPr>
              <w:t>Connection With This Offering — Registration Rights</w:t>
            </w:r>
          </w:p>
        </w:tc>
        <w:tc>
          <w:tcPr>
            <w:tcW w:w="44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2120" w:type="dxa"/>
            <w:vAlign w:val="bottom"/>
          </w:tcPr>
          <w:p>
            <w:pPr>
              <w:ind w:left="600"/>
              <w:spacing w:after="0"/>
              <w:rPr>
                <w:sz w:val="20"/>
                <w:szCs w:val="20"/>
                <w:color w:val="auto"/>
              </w:rPr>
            </w:pPr>
            <w:r>
              <w:rPr>
                <w:rFonts w:ascii="Arial" w:cs="Arial" w:eastAsia="Arial" w:hAnsi="Arial"/>
                <w:sz w:val="18"/>
                <w:szCs w:val="18"/>
                <w:color w:val="auto"/>
              </w:rPr>
              <w:t>Agreement.”</w:t>
            </w:r>
          </w:p>
        </w:tc>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2860" w:type="dxa"/>
            <w:vAlign w:val="bottom"/>
          </w:tcPr>
          <w:p>
            <w:pPr>
              <w:spacing w:after="0"/>
              <w:rPr>
                <w:sz w:val="20"/>
                <w:szCs w:val="20"/>
                <w:color w:val="auto"/>
              </w:rPr>
            </w:pPr>
            <w:r>
              <w:rPr>
                <w:rFonts w:ascii="Arial" w:cs="Arial" w:eastAsia="Arial" w:hAnsi="Arial"/>
                <w:sz w:val="18"/>
                <w:szCs w:val="18"/>
                <w:color w:val="auto"/>
              </w:rPr>
              <w:t>Use of proceeds</w:t>
            </w: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3"/>
              </w:rPr>
              <w:t>We estimate that the net proceeds to us from this offering, after</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4"/>
              </w:rPr>
              <w:t>deducting underwriting discounts, but before estimated offering</w:t>
            </w:r>
          </w:p>
        </w:tc>
      </w:tr>
      <w:tr>
        <w:trPr>
          <w:trHeight w:val="230"/>
        </w:trPr>
        <w:tc>
          <w:tcPr>
            <w:tcW w:w="2860" w:type="dxa"/>
            <w:vAlign w:val="bottom"/>
          </w:tcPr>
          <w:p>
            <w:pPr>
              <w:spacing w:after="0"/>
              <w:rPr>
                <w:sz w:val="20"/>
                <w:szCs w:val="20"/>
                <w:color w:val="auto"/>
              </w:rPr>
            </w:pPr>
          </w:p>
        </w:tc>
        <w:tc>
          <w:tcPr>
            <w:tcW w:w="3260" w:type="dxa"/>
            <w:vAlign w:val="bottom"/>
            <w:gridSpan w:val="2"/>
          </w:tcPr>
          <w:p>
            <w:pPr>
              <w:ind w:left="600"/>
              <w:spacing w:after="0"/>
              <w:rPr>
                <w:sz w:val="20"/>
                <w:szCs w:val="20"/>
                <w:color w:val="auto"/>
              </w:rPr>
            </w:pPr>
            <w:r>
              <w:rPr>
                <w:rFonts w:ascii="Arial" w:cs="Arial" w:eastAsia="Arial" w:hAnsi="Arial"/>
                <w:sz w:val="18"/>
                <w:szCs w:val="18"/>
                <w:color w:val="auto"/>
                <w:w w:val="98"/>
              </w:rPr>
              <w:t>expenses, will be approximately $</w:t>
            </w:r>
          </w:p>
        </w:tc>
        <w:tc>
          <w:tcPr>
            <w:tcW w:w="1640" w:type="dxa"/>
            <w:vAlign w:val="bottom"/>
          </w:tcPr>
          <w:p>
            <w:pPr>
              <w:ind w:left="200"/>
              <w:spacing w:after="0"/>
              <w:rPr>
                <w:sz w:val="20"/>
                <w:szCs w:val="20"/>
                <w:color w:val="auto"/>
              </w:rPr>
            </w:pPr>
            <w:r>
              <w:rPr>
                <w:rFonts w:ascii="Arial" w:cs="Arial" w:eastAsia="Arial" w:hAnsi="Arial"/>
                <w:sz w:val="18"/>
                <w:szCs w:val="18"/>
                <w:color w:val="auto"/>
              </w:rPr>
              <w:t>million.</w:t>
            </w:r>
          </w:p>
        </w:tc>
        <w:tc>
          <w:tcPr>
            <w:tcW w:w="440" w:type="dxa"/>
            <w:vAlign w:val="bottom"/>
          </w:tcPr>
          <w:p>
            <w:pPr>
              <w:spacing w:after="0"/>
              <w:rPr>
                <w:sz w:val="20"/>
                <w:szCs w:val="20"/>
                <w:color w:val="auto"/>
              </w:rPr>
            </w:pPr>
          </w:p>
        </w:tc>
      </w:tr>
      <w:tr>
        <w:trPr>
          <w:trHeight w:val="310"/>
        </w:trPr>
        <w:tc>
          <w:tcPr>
            <w:tcW w:w="2860" w:type="dxa"/>
            <w:vAlign w:val="bottom"/>
          </w:tcPr>
          <w:p>
            <w:pPr>
              <w:spacing w:after="0"/>
              <w:rPr>
                <w:sz w:val="24"/>
                <w:szCs w:val="24"/>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0"/>
              </w:rPr>
              <w:t>We intend to use the net proceeds that we receive from this</w:t>
            </w:r>
          </w:p>
        </w:tc>
        <w:tc>
          <w:tcPr>
            <w:tcW w:w="44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2120" w:type="dxa"/>
            <w:vAlign w:val="bottom"/>
          </w:tcPr>
          <w:p>
            <w:pPr>
              <w:ind w:left="600"/>
              <w:spacing w:after="0"/>
              <w:rPr>
                <w:sz w:val="20"/>
                <w:szCs w:val="20"/>
                <w:color w:val="auto"/>
              </w:rPr>
            </w:pPr>
            <w:r>
              <w:rPr>
                <w:rFonts w:ascii="Arial" w:cs="Arial" w:eastAsia="Arial" w:hAnsi="Arial"/>
                <w:sz w:val="18"/>
                <w:szCs w:val="18"/>
                <w:color w:val="auto"/>
                <w:w w:val="94"/>
              </w:rPr>
              <w:t>offering to purchase</w:t>
            </w:r>
          </w:p>
        </w:tc>
        <w:tc>
          <w:tcPr>
            <w:tcW w:w="3220" w:type="dxa"/>
            <w:vAlign w:val="bottom"/>
            <w:gridSpan w:val="3"/>
          </w:tcPr>
          <w:p>
            <w:pPr>
              <w:jc w:val="right"/>
              <w:ind w:right="70"/>
              <w:spacing w:after="0"/>
              <w:rPr>
                <w:sz w:val="20"/>
                <w:szCs w:val="20"/>
                <w:color w:val="auto"/>
              </w:rPr>
            </w:pPr>
            <w:r>
              <w:rPr>
                <w:rFonts w:ascii="Arial" w:cs="Arial" w:eastAsia="Arial" w:hAnsi="Arial"/>
                <w:sz w:val="18"/>
                <w:szCs w:val="18"/>
                <w:color w:val="auto"/>
              </w:rPr>
              <w:t>issued and outstanding LLC Interests</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6"/>
              </w:rPr>
              <w:t>from certain of the Other LLC Owners at a purchase price per</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4"/>
              </w:rPr>
              <w:t>interest equal to the initial public offering price per share of our</w:t>
            </w: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0"/>
              </w:rPr>
              <w:t>Class A common stock, less the underwriting discounts and</w:t>
            </w:r>
          </w:p>
        </w:tc>
        <w:tc>
          <w:tcPr>
            <w:tcW w:w="44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8"/>
              </w:rPr>
              <w:t>commissions payable thereon. See “Use of Proceeds.”</w:t>
            </w:r>
          </w:p>
        </w:tc>
        <w:tc>
          <w:tcPr>
            <w:tcW w:w="440" w:type="dxa"/>
            <w:vAlign w:val="bottom"/>
          </w:tcPr>
          <w:p>
            <w:pPr>
              <w:spacing w:after="0"/>
              <w:rPr>
                <w:sz w:val="20"/>
                <w:szCs w:val="20"/>
                <w:color w:val="auto"/>
              </w:rPr>
            </w:pPr>
          </w:p>
        </w:tc>
      </w:tr>
      <w:tr>
        <w:trPr>
          <w:trHeight w:val="310"/>
        </w:trPr>
        <w:tc>
          <w:tcPr>
            <w:tcW w:w="2860" w:type="dxa"/>
            <w:vAlign w:val="bottom"/>
          </w:tcPr>
          <w:p>
            <w:pPr>
              <w:spacing w:after="0"/>
              <w:rPr>
                <w:sz w:val="20"/>
                <w:szCs w:val="20"/>
                <w:color w:val="auto"/>
              </w:rPr>
            </w:pPr>
            <w:r>
              <w:rPr>
                <w:rFonts w:ascii="Arial" w:cs="Arial" w:eastAsia="Arial" w:hAnsi="Arial"/>
                <w:sz w:val="18"/>
                <w:szCs w:val="18"/>
                <w:color w:val="auto"/>
              </w:rPr>
              <w:t>Conflicts of interest</w:t>
            </w:r>
          </w:p>
        </w:tc>
        <w:tc>
          <w:tcPr>
            <w:tcW w:w="2120" w:type="dxa"/>
            <w:vAlign w:val="bottom"/>
          </w:tcPr>
          <w:p>
            <w:pPr>
              <w:ind w:left="600"/>
              <w:spacing w:after="0"/>
              <w:rPr>
                <w:sz w:val="20"/>
                <w:szCs w:val="20"/>
                <w:color w:val="auto"/>
              </w:rPr>
            </w:pPr>
            <w:r>
              <w:rPr>
                <w:rFonts w:ascii="Arial" w:cs="Arial" w:eastAsia="Arial" w:hAnsi="Arial"/>
                <w:sz w:val="18"/>
                <w:szCs w:val="18"/>
                <w:color w:val="auto"/>
              </w:rPr>
              <w:t>Affiliates of</w:t>
            </w:r>
          </w:p>
        </w:tc>
        <w:tc>
          <w:tcPr>
            <w:tcW w:w="3220" w:type="dxa"/>
            <w:vAlign w:val="bottom"/>
            <w:gridSpan w:val="3"/>
          </w:tcPr>
          <w:p>
            <w:pPr>
              <w:jc w:val="right"/>
              <w:ind w:right="70"/>
              <w:spacing w:after="0"/>
              <w:rPr>
                <w:sz w:val="20"/>
                <w:szCs w:val="20"/>
                <w:color w:val="auto"/>
              </w:rPr>
            </w:pPr>
            <w:r>
              <w:rPr>
                <w:rFonts w:ascii="Arial" w:cs="Arial" w:eastAsia="Arial" w:hAnsi="Arial"/>
                <w:sz w:val="18"/>
                <w:szCs w:val="18"/>
                <w:color w:val="auto"/>
              </w:rPr>
              <w:t>will receive more than 5.0% of the</w:t>
            </w: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rPr>
              <w:t>net proceeds from this offering. As a result,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76"/>
              </w:rPr>
              <w:t>is</w:t>
            </w: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4"/>
              </w:rPr>
              <w:t>deemed to have a “conflict of interest” pursuant to FINRA</w:t>
            </w:r>
          </w:p>
        </w:tc>
        <w:tc>
          <w:tcPr>
            <w:tcW w:w="4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5"/>
              </w:rPr>
              <w:t>Rule 5121(f)(5)(C)(ii). Accordingly, this offering will be made in</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1"/>
              </w:rPr>
              <w:t>compliance with the applicable provisions of Rule 5121. As such,</w:t>
            </w: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5"/>
              </w:rPr>
              <w:t>any underwriter that has a conflict of interest pursuant to</w:t>
            </w:r>
          </w:p>
        </w:tc>
        <w:tc>
          <w:tcPr>
            <w:tcW w:w="4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1"/>
              </w:rPr>
              <w:t>Rule 5121 will not confirm sales to accounts in which it exercises</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7"/>
              </w:rPr>
              <w:t>discretionary authority without the prior written consent of the</w:t>
            </w:r>
          </w:p>
        </w:tc>
      </w:tr>
      <w:tr>
        <w:trPr>
          <w:trHeight w:val="216"/>
        </w:trPr>
        <w:tc>
          <w:tcPr>
            <w:tcW w:w="2860" w:type="dxa"/>
            <w:vAlign w:val="bottom"/>
          </w:tcPr>
          <w:p>
            <w:pPr>
              <w:spacing w:after="0"/>
              <w:rPr>
                <w:sz w:val="18"/>
                <w:szCs w:val="18"/>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w w:val="91"/>
              </w:rPr>
              <w:t>customer. Pursuant to Rule 5121, a “qualified independent</w:t>
            </w:r>
          </w:p>
        </w:tc>
        <w:tc>
          <w:tcPr>
            <w:tcW w:w="4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7"/>
              </w:rPr>
              <w:t>underwriter” (as defined in Rule 5121) must participate in the</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3"/>
              </w:rPr>
              <w:t>preparation of the prospectus and perform its usual standard of</w:t>
            </w:r>
          </w:p>
        </w:tc>
      </w:tr>
      <w:tr>
        <w:trPr>
          <w:trHeight w:val="216"/>
        </w:trPr>
        <w:tc>
          <w:tcPr>
            <w:tcW w:w="2860" w:type="dxa"/>
            <w:vAlign w:val="bottom"/>
          </w:tcPr>
          <w:p>
            <w:pPr>
              <w:spacing w:after="0"/>
              <w:rPr>
                <w:sz w:val="18"/>
                <w:szCs w:val="18"/>
                <w:color w:val="auto"/>
              </w:rPr>
            </w:pPr>
          </w:p>
        </w:tc>
        <w:tc>
          <w:tcPr>
            <w:tcW w:w="5340" w:type="dxa"/>
            <w:vAlign w:val="bottom"/>
            <w:gridSpan w:val="4"/>
          </w:tcPr>
          <w:p>
            <w:pPr>
              <w:ind w:left="600"/>
              <w:spacing w:after="0"/>
              <w:rPr>
                <w:sz w:val="20"/>
                <w:szCs w:val="20"/>
                <w:color w:val="auto"/>
              </w:rPr>
            </w:pPr>
            <w:r>
              <w:rPr>
                <w:rFonts w:ascii="Arial" w:cs="Arial" w:eastAsia="Arial" w:hAnsi="Arial"/>
                <w:sz w:val="18"/>
                <w:szCs w:val="18"/>
                <w:color w:val="auto"/>
                <w:w w:val="93"/>
              </w:rPr>
              <w:t>due diligence with respect to the registration statement and this</w:t>
            </w:r>
          </w:p>
        </w:tc>
      </w:tr>
      <w:tr>
        <w:trPr>
          <w:trHeight w:val="216"/>
        </w:trPr>
        <w:tc>
          <w:tcPr>
            <w:tcW w:w="2860" w:type="dxa"/>
            <w:vAlign w:val="bottom"/>
          </w:tcPr>
          <w:p>
            <w:pPr>
              <w:spacing w:after="0"/>
              <w:rPr>
                <w:sz w:val="18"/>
                <w:szCs w:val="18"/>
                <w:color w:val="auto"/>
              </w:rPr>
            </w:pPr>
          </w:p>
        </w:tc>
        <w:tc>
          <w:tcPr>
            <w:tcW w:w="2120" w:type="dxa"/>
            <w:vAlign w:val="bottom"/>
          </w:tcPr>
          <w:p>
            <w:pPr>
              <w:ind w:left="600"/>
              <w:spacing w:after="0"/>
              <w:rPr>
                <w:sz w:val="20"/>
                <w:szCs w:val="20"/>
                <w:color w:val="auto"/>
              </w:rPr>
            </w:pPr>
            <w:r>
              <w:rPr>
                <w:rFonts w:ascii="Arial" w:cs="Arial" w:eastAsia="Arial" w:hAnsi="Arial"/>
                <w:sz w:val="18"/>
                <w:szCs w:val="18"/>
                <w:color w:val="auto"/>
              </w:rPr>
              <w:t>prospectus.</w:t>
            </w:r>
          </w:p>
        </w:tc>
        <w:tc>
          <w:tcPr>
            <w:tcW w:w="3220" w:type="dxa"/>
            <w:vAlign w:val="bottom"/>
            <w:gridSpan w:val="3"/>
          </w:tcPr>
          <w:p>
            <w:pPr>
              <w:jc w:val="right"/>
              <w:ind w:right="70"/>
              <w:spacing w:after="0"/>
              <w:rPr>
                <w:sz w:val="20"/>
                <w:szCs w:val="20"/>
                <w:color w:val="auto"/>
              </w:rPr>
            </w:pPr>
            <w:r>
              <w:rPr>
                <w:rFonts w:ascii="Arial" w:cs="Arial" w:eastAsia="Arial" w:hAnsi="Arial"/>
                <w:sz w:val="18"/>
                <w:szCs w:val="18"/>
                <w:color w:val="auto"/>
                <w:w w:val="89"/>
              </w:rPr>
              <w:t>has agreed to act as qualified independent</w:t>
            </w:r>
          </w:p>
        </w:tc>
      </w:tr>
      <w:tr>
        <w:trPr>
          <w:trHeight w:val="230"/>
        </w:trPr>
        <w:tc>
          <w:tcPr>
            <w:tcW w:w="2860" w:type="dxa"/>
            <w:vAlign w:val="bottom"/>
          </w:tcPr>
          <w:p>
            <w:pPr>
              <w:spacing w:after="0"/>
              <w:rPr>
                <w:sz w:val="20"/>
                <w:szCs w:val="20"/>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rPr>
              <w:t>underwriter for the offering and to undertake the legal</w:t>
            </w:r>
          </w:p>
        </w:tc>
        <w:tc>
          <w:tcPr>
            <w:tcW w:w="440" w:type="dxa"/>
            <w:vAlign w:val="bottom"/>
          </w:tcPr>
          <w:p>
            <w:pPr>
              <w:spacing w:after="0"/>
              <w:rPr>
                <w:sz w:val="20"/>
                <w:szCs w:val="20"/>
                <w:color w:val="auto"/>
              </w:rPr>
            </w:pPr>
          </w:p>
        </w:tc>
      </w:tr>
    </w:tbl>
    <w:p>
      <w:pPr>
        <w:ind w:left="4740"/>
        <w:spacing w:after="0"/>
        <w:rPr>
          <w:sz w:val="20"/>
          <w:szCs w:val="20"/>
          <w:color w:val="auto"/>
        </w:rPr>
      </w:pPr>
      <w:r>
        <w:rPr>
          <w:rFonts w:ascii="Arial" w:cs="Arial" w:eastAsia="Arial" w:hAnsi="Arial"/>
          <w:sz w:val="18"/>
          <w:szCs w:val="18"/>
          <w:color w:val="auto"/>
        </w:rPr>
        <w:t>responsibilities and liabilities of an underwriter under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Securities Act, specifically including those inherent in Section 11</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 the Securities Act. We have also agreed to indemnify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against certain liabilities incurred in connection with it acting as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qualified independent underwriter in this offering, including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liabilities under the Securities Act.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Tax Receivable Agreement</w:t>
      </w:r>
      <w:r>
        <w:rPr>
          <w:sz w:val="20"/>
          <w:szCs w:val="20"/>
          <w:color w:val="auto"/>
        </w:rPr>
        <w:tab/>
      </w:r>
      <w:r>
        <w:rPr>
          <w:rFonts w:ascii="Arial" w:cs="Arial" w:eastAsia="Arial" w:hAnsi="Arial"/>
          <w:sz w:val="16"/>
          <w:szCs w:val="16"/>
          <w:color w:val="auto"/>
        </w:rPr>
        <w:t>We will enter into the Tax Receivable Agreement with TWM</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LLC and the Continuing LLC Owners that will provide for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payment by Tradeweb to a Continuing LLC Owner of 50% of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amount of U.S. federal, state and local income or franchise tax</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savings, if any, that Tradeweb actually realizes (or in some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circumstances is deemed to realize) as a result of, for such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Continuing LLC Owner, (i) increases in the tax basis of TWM</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LLC’s assets resulting from (a) the purchase of LLC Interests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from such Continuing LLC Owner using the net proceeds from</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this or any future offering or (b) any redemptions or exchanges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such Continuing LLC Owner of LLC Interests for shares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our Class A common stock or Class B common stock or for cash,</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as applicable, described above under “— Redemption rights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holders of LLC Interests/exchange rights of holders of Class B</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and Class D common stock” and (ii) certain other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tax benefits related to our making payments under the Tax</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Receivable Agreement. See “Certain Relationships and Related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Party Transactions — Tax Receivable Agreement.”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Proposed stock exchange symbol</w:t>
      </w:r>
      <w:r>
        <w:rPr>
          <w:sz w:val="20"/>
          <w:szCs w:val="20"/>
          <w:color w:val="auto"/>
        </w:rPr>
        <w:tab/>
      </w:r>
      <w:r>
        <w:rPr>
          <w:rFonts w:ascii="Arial" w:cs="Arial" w:eastAsia="Arial" w:hAnsi="Arial"/>
          <w:sz w:val="18"/>
          <w:szCs w:val="18"/>
          <w:color w:val="auto"/>
        </w:rPr>
        <w:t>“TW.”</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Class A common stock involves a high degree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risk. See “Risk Factors” in this prospectus for a discussion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factors you should carefully consider before investing in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 A common stock.</w:t>
      </w:r>
    </w:p>
    <w:p>
      <w:pPr>
        <w:spacing w:after="0" w:line="10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number of shares of our Class A common stock to be outstanding after this offering is based on the</w:t>
      </w:r>
    </w:p>
    <w:p>
      <w:pPr>
        <w:spacing w:after="0" w:line="35" w:lineRule="exact"/>
        <w:rPr>
          <w:sz w:val="20"/>
          <w:szCs w:val="20"/>
          <w:color w:val="auto"/>
        </w:rPr>
      </w:pPr>
    </w:p>
    <w:p>
      <w:pPr>
        <w:ind w:left="1280"/>
        <w:spacing w:after="0"/>
        <w:tabs>
          <w:tab w:leader="none" w:pos="6120" w:val="left"/>
        </w:tabs>
        <w:rPr>
          <w:sz w:val="20"/>
          <w:szCs w:val="20"/>
          <w:color w:val="auto"/>
        </w:rPr>
      </w:pPr>
      <w:r>
        <w:rPr>
          <w:rFonts w:ascii="Arial" w:cs="Arial" w:eastAsia="Arial" w:hAnsi="Arial"/>
          <w:sz w:val="18"/>
          <w:szCs w:val="18"/>
          <w:color w:val="auto"/>
        </w:rPr>
        <w:t>membership interests of TWM LLC outstanding as of</w:t>
      </w:r>
      <w:r>
        <w:rPr>
          <w:sz w:val="20"/>
          <w:szCs w:val="20"/>
          <w:color w:val="auto"/>
        </w:rPr>
        <w:tab/>
      </w:r>
      <w:r>
        <w:rPr>
          <w:rFonts w:ascii="Arial" w:cs="Arial" w:eastAsia="Arial" w:hAnsi="Arial"/>
          <w:sz w:val="16"/>
          <w:szCs w:val="16"/>
          <w:color w:val="auto"/>
        </w:rPr>
        <w:t>, 2019 and, after giving effect to the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Reorganization Transactions, excludes:</w:t>
      </w:r>
    </w:p>
    <w:p>
      <w:pPr>
        <w:spacing w:after="0" w:line="103" w:lineRule="exact"/>
        <w:rPr>
          <w:sz w:val="20"/>
          <w:szCs w:val="20"/>
          <w:color w:val="auto"/>
        </w:rPr>
      </w:pPr>
    </w:p>
    <w:p>
      <w:pPr>
        <w:ind w:left="2420" w:hanging="774"/>
        <w:spacing w:after="0"/>
        <w:tabs>
          <w:tab w:leader="none" w:pos="2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shares of Class A common stock issuable upon the exercise of outstanding options (of which</w:t>
      </w:r>
    </w:p>
    <w:p>
      <w:pPr>
        <w:spacing w:after="0" w:line="35"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are vested) under the Amended and Restated Tradeweb Markets Inc. 2018 Stock Option Plan (the</w:t>
      </w:r>
    </w:p>
    <w:p>
      <w:pPr>
        <w:spacing w:after="0" w:line="21" w:lineRule="exact"/>
        <w:rPr>
          <w:sz w:val="20"/>
          <w:szCs w:val="20"/>
          <w:color w:val="auto"/>
        </w:rPr>
      </w:pPr>
    </w:p>
    <w:p>
      <w:pPr>
        <w:ind w:left="2000" w:right="699"/>
        <w:spacing w:after="0" w:line="260" w:lineRule="auto"/>
        <w:rPr>
          <w:sz w:val="20"/>
          <w:szCs w:val="20"/>
          <w:color w:val="auto"/>
        </w:rPr>
      </w:pPr>
      <w:r>
        <w:rPr>
          <w:rFonts w:ascii="Arial" w:cs="Arial" w:eastAsia="Arial" w:hAnsi="Arial"/>
          <w:sz w:val="18"/>
          <w:szCs w:val="18"/>
          <w:color w:val="auto"/>
        </w:rPr>
        <w:t>“Option Plan”) as of , 2019 at an exercise price of $ per share, which options may be exercised on a cashless or net settlement basis;</w:t>
      </w:r>
    </w:p>
    <w:p>
      <w:pPr>
        <w:spacing w:after="0" w:line="77" w:lineRule="exact"/>
        <w:rPr>
          <w:sz w:val="20"/>
          <w:szCs w:val="20"/>
          <w:color w:val="auto"/>
        </w:rPr>
      </w:pPr>
    </w:p>
    <w:p>
      <w:pPr>
        <w:ind w:left="2000" w:right="659" w:hanging="354"/>
        <w:spacing w:after="0" w:line="308" w:lineRule="auto"/>
        <w:tabs>
          <w:tab w:leader="none" w:pos="24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shares of Class A common stock underlying performance based restricted share units issued under the Amended &amp; Restated Tradeweb Markets Inc. PRSU Plan (the “PRSU Plan”);</w:t>
      </w:r>
    </w:p>
    <w:p>
      <w:pPr>
        <w:spacing w:after="0" w:line="38" w:lineRule="exact"/>
        <w:rPr>
          <w:rFonts w:ascii="Arial" w:cs="Arial" w:eastAsia="Arial" w:hAnsi="Arial"/>
          <w:sz w:val="17"/>
          <w:szCs w:val="17"/>
          <w:color w:val="auto"/>
        </w:rPr>
      </w:pPr>
    </w:p>
    <w:p>
      <w:pPr>
        <w:ind w:left="2000" w:right="699" w:hanging="354"/>
        <w:spacing w:after="0" w:line="277" w:lineRule="auto"/>
        <w:tabs>
          <w:tab w:leader="none" w:pos="24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 (the “2019 Equity Incentive Plan”); and</w:t>
      </w:r>
    </w:p>
    <w:p>
      <w:pPr>
        <w:spacing w:after="0" w:line="62" w:lineRule="exact"/>
        <w:rPr>
          <w:rFonts w:ascii="Arial" w:cs="Arial" w:eastAsia="Arial" w:hAnsi="Arial"/>
          <w:sz w:val="18"/>
          <w:szCs w:val="18"/>
          <w:color w:val="auto"/>
        </w:rPr>
      </w:pPr>
    </w:p>
    <w:p>
      <w:pPr>
        <w:jc w:val="both"/>
        <w:ind w:left="2000" w:right="659" w:hanging="354"/>
        <w:spacing w:after="0" w:line="259" w:lineRule="auto"/>
        <w:tabs>
          <w:tab w:leader="none" w:pos="24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(i) exchange of Class B common stock by the Refinitiv Direct Owners and other future holders of Class B common stock, (ii) redemption or exchange of LLC Interests by the Continuing LLC Owners or (iii) conversion of the Class B common stock.</w:t>
      </w:r>
    </w:p>
    <w:p>
      <w:pPr>
        <w:spacing w:after="0" w:line="7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1640"/>
        <w:spacing w:after="0"/>
        <w:tabs>
          <w:tab w:leader="none" w:pos="1980" w:val="left"/>
          <w:tab w:leader="none" w:pos="5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assumes an initial public offering price of $</w:t>
      </w:r>
      <w:r>
        <w:rPr>
          <w:sz w:val="20"/>
          <w:szCs w:val="20"/>
          <w:color w:val="auto"/>
        </w:rPr>
        <w:tab/>
      </w:r>
      <w:r>
        <w:rPr>
          <w:rFonts w:ascii="Arial" w:cs="Arial" w:eastAsia="Arial" w:hAnsi="Arial"/>
          <w:sz w:val="16"/>
          <w:szCs w:val="16"/>
          <w:color w:val="auto"/>
        </w:rPr>
        <w:t>per share of Class A common stock, which is the</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midpoint of the price range set forth on the cover page of this prospectus;</w:t>
      </w:r>
    </w:p>
    <w:p>
      <w:pPr>
        <w:spacing w:after="0" w:line="103" w:lineRule="exact"/>
        <w:rPr>
          <w:sz w:val="20"/>
          <w:szCs w:val="20"/>
          <w:color w:val="auto"/>
        </w:rPr>
      </w:pPr>
    </w:p>
    <w:p>
      <w:pPr>
        <w:ind w:left="2000" w:right="779" w:hanging="354"/>
        <w:spacing w:after="0" w:line="277"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62" w:lineRule="exact"/>
        <w:rPr>
          <w:rFonts w:ascii="Arial" w:cs="Arial" w:eastAsia="Arial" w:hAnsi="Arial"/>
          <w:sz w:val="18"/>
          <w:szCs w:val="18"/>
          <w:color w:val="auto"/>
        </w:rPr>
      </w:pPr>
    </w:p>
    <w:p>
      <w:pPr>
        <w:ind w:left="2000" w:right="1239" w:hanging="354"/>
        <w:spacing w:after="0" w:line="277"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the completion of the organizational transactions described under “The Reorganization Transactions;”</w:t>
      </w:r>
    </w:p>
    <w:p>
      <w:pPr>
        <w:spacing w:after="0" w:line="62" w:lineRule="exact"/>
        <w:rPr>
          <w:rFonts w:ascii="Arial" w:cs="Arial" w:eastAsia="Arial" w:hAnsi="Arial"/>
          <w:sz w:val="18"/>
          <w:szCs w:val="18"/>
          <w:color w:val="auto"/>
        </w:rPr>
      </w:pPr>
    </w:p>
    <w:p>
      <w:pPr>
        <w:ind w:left="2000" w:right="1299" w:hanging="354"/>
        <w:spacing w:after="0" w:line="277"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 and</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0" w:right="1059" w:hanging="354"/>
        <w:spacing w:after="0" w:line="308" w:lineRule="auto"/>
        <w:tabs>
          <w:tab w:leader="none" w:pos="2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38" w:lineRule="exact"/>
        <w:rPr>
          <w:sz w:val="20"/>
          <w:szCs w:val="20"/>
          <w:color w:val="auto"/>
        </w:rPr>
      </w:pPr>
    </w:p>
    <w:p>
      <w:pPr>
        <w:jc w:val="both"/>
        <w:ind w:left="1280" w:right="739" w:firstLine="360"/>
        <w:spacing w:after="0" w:line="263" w:lineRule="auto"/>
        <w:rPr>
          <w:sz w:val="20"/>
          <w:szCs w:val="20"/>
          <w:color w:val="auto"/>
        </w:rPr>
      </w:pPr>
      <w:r>
        <w:rPr>
          <w:rFonts w:ascii="Arial" w:cs="Arial" w:eastAsia="Arial" w:hAnsi="Arial"/>
          <w:sz w:val="18"/>
          <w:szCs w:val="18"/>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The following tables present the summary historical and pro forma consolidated financial and other data for</w:t>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Tradeweb Markets LLC and its subsidiaries. Tradeweb Markets LLC is the predecessor of the issuer, Tradeweb</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Markets Inc., for financial reporting purposes. The summary consolidated statement of operations data for the</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nine months ended September 30, 2018 and 2017 and each of the years in the two-year period ended</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December 31, 2017 and the summary consolidated statement of financial condition data as of September 30, 2018</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and 2017 and as of December 31, 2017 and 2016 are derived from the consolidated financial statements of</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Tradeweb Markets LLC and its subsidiaries included elsewhere in this prospectus. In the opinion of our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management, the unaudited financial statements for and as of the nine months ended September 30, 2017 reflect</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all adjustments, consisting of normal recurring adjustments, necessary for a fair presentation of the results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operations for such period.</w:t>
      </w:r>
    </w:p>
    <w:p>
      <w:pPr>
        <w:spacing w:after="0" w:line="103"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“Selected Historical Consolidated Financial and Other Data” and “Management’s Discussion and Analysis of Financial Condition and Results of Operations” and the consolidated financial statements and related notes thereto appearing elsewhere in this prospectus.</w:t>
      </w:r>
    </w:p>
    <w:p>
      <w:pPr>
        <w:spacing w:after="0" w:line="80" w:lineRule="exact"/>
        <w:rPr>
          <w:sz w:val="20"/>
          <w:szCs w:val="20"/>
          <w:color w:val="auto"/>
        </w:rPr>
      </w:pPr>
    </w:p>
    <w:p>
      <w:pPr>
        <w:ind w:left="1280" w:right="699" w:firstLine="360"/>
        <w:spacing w:after="0" w:line="285"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for the year ended December 31, 2017 and as of and for the nine months ended September 30, 2018 give effect to the Transactions, including this offering, as if all such transactions had occurred on January 1, 2017, in the case of the summary unaudited</w:t>
      </w:r>
    </w:p>
    <w:p>
      <w:pPr>
        <w:spacing w:after="0" w:line="2" w:lineRule="exact"/>
        <w:rPr>
          <w:sz w:val="20"/>
          <w:szCs w:val="20"/>
          <w:color w:val="auto"/>
        </w:rPr>
      </w:pPr>
    </w:p>
    <w:p>
      <w:pPr>
        <w:ind w:left="1280" w:right="699"/>
        <w:spacing w:after="0" w:line="269" w:lineRule="auto"/>
        <w:rPr>
          <w:sz w:val="20"/>
          <w:szCs w:val="20"/>
          <w:color w:val="auto"/>
        </w:rPr>
      </w:pPr>
      <w:r>
        <w:rPr>
          <w:rFonts w:ascii="Arial" w:cs="Arial" w:eastAsia="Arial" w:hAnsi="Arial"/>
          <w:sz w:val="17"/>
          <w:szCs w:val="17"/>
          <w:color w:val="auto"/>
        </w:rPr>
        <w:t>pro forma consolidated statement of operations data, and as of September 30, 2018,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pacing w:after="0" w:line="72" w:lineRule="exact"/>
        <w:rPr>
          <w:sz w:val="20"/>
          <w:szCs w:val="20"/>
          <w:color w:val="auto"/>
        </w:rPr>
      </w:pPr>
    </w:p>
    <w:p>
      <w:pPr>
        <w:jc w:val="both"/>
        <w:ind w:left="1280" w:right="879" w:firstLine="360"/>
        <w:spacing w:after="0" w:line="286" w:lineRule="auto"/>
        <w:rPr>
          <w:sz w:val="20"/>
          <w:szCs w:val="20"/>
          <w:color w:val="auto"/>
        </w:rPr>
      </w:pPr>
      <w:r>
        <w:rPr>
          <w:rFonts w:ascii="Arial" w:cs="Arial" w:eastAsia="Arial" w:hAnsi="Arial"/>
          <w:sz w:val="17"/>
          <w:szCs w:val="17"/>
          <w:color w:val="auto"/>
        </w:rPr>
        <w:t>The summary historical consolidated financial data of Tradeweb Markets Inc. have not been presented as Tradeweb Markets Inc. is a newly incorporated entity, has had no business transactions or activities to date and had no assets or liabilities during the periods presented in this section.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Historical</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Tradeweb</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1"/>
              </w:rPr>
              <w:t>Tradeweb</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Markets LLC</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6"/>
          </w:tcPr>
          <w:p>
            <w:pPr>
              <w:jc w:val="center"/>
              <w:ind w:right="280"/>
              <w:spacing w:after="0" w:line="230" w:lineRule="exact"/>
              <w:rPr>
                <w:sz w:val="20"/>
                <w:szCs w:val="20"/>
                <w:color w:val="auto"/>
              </w:rPr>
            </w:pPr>
            <w:r>
              <w:rPr>
                <w:rFonts w:ascii="Arial" w:cs="Arial" w:eastAsia="Arial" w:hAnsi="Arial"/>
                <w:sz w:val="14"/>
                <w:szCs w:val="14"/>
                <w:b w:val="1"/>
                <w:bCs w:val="1"/>
                <w:color w:val="auto"/>
                <w:w w:val="93"/>
              </w:rPr>
              <w:t>Markets Inc.</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center"/>
              <w:ind w:right="160"/>
              <w:spacing w:after="0" w:line="160" w:lineRule="exact"/>
              <w:rPr>
                <w:sz w:val="20"/>
                <w:szCs w:val="20"/>
                <w:color w:val="auto"/>
              </w:rPr>
            </w:pPr>
            <w:r>
              <w:rPr>
                <w:rFonts w:ascii="Arial" w:cs="Arial" w:eastAsia="Arial" w:hAnsi="Arial"/>
                <w:sz w:val="14"/>
                <w:szCs w:val="14"/>
                <w:b w:val="1"/>
                <w:bCs w:val="1"/>
                <w:color w:val="auto"/>
                <w:w w:val="92"/>
              </w:rPr>
              <w:t>Nine Months</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Ended</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left="15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40" w:type="dxa"/>
            <w:vAlign w:val="bottom"/>
            <w:gridSpan w:val="16"/>
          </w:tcPr>
          <w:p>
            <w:pPr>
              <w:ind w:left="4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Operations Data:</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273,751</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198,562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267,020</w:t>
            </w:r>
          </w:p>
        </w:tc>
        <w:tc>
          <w:tcPr>
            <w:tcW w:w="2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230,171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40" w:type="dxa"/>
            <w:vAlign w:val="bottom"/>
            <w:gridSpan w:val="2"/>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143,981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145,887</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194,534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191,983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3,504</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4,669</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505,771</w:t>
            </w: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419,569</w:t>
            </w: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562,968</w:t>
            </w: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518,404</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640" w:type="dxa"/>
            <w:vAlign w:val="bottom"/>
            <w:gridSpan w:val="2"/>
          </w:tcPr>
          <w:p>
            <w:pPr>
              <w:spacing w:after="0" w:line="205" w:lineRule="exact"/>
              <w:rPr>
                <w:sz w:val="20"/>
                <w:szCs w:val="20"/>
                <w:color w:val="auto"/>
              </w:rPr>
            </w:pPr>
            <w:r>
              <w:rPr>
                <w:rFonts w:ascii="Arial" w:cs="Arial" w:eastAsia="Arial" w:hAnsi="Arial"/>
                <w:sz w:val="18"/>
                <w:szCs w:val="18"/>
                <w:color w:val="auto"/>
              </w:rPr>
              <w:t>Contingent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620" w:type="dxa"/>
            <w:vAlign w:val="bottom"/>
          </w:tcPr>
          <w:p>
            <w:pPr>
              <w:ind w:left="160"/>
              <w:spacing w:after="0" w:line="295" w:lineRule="exact"/>
              <w:rPr>
                <w:sz w:val="20"/>
                <w:szCs w:val="20"/>
                <w:color w:val="auto"/>
              </w:rPr>
            </w:pPr>
            <w:r>
              <w:rPr>
                <w:rFonts w:ascii="Arial" w:cs="Arial" w:eastAsia="Arial" w:hAnsi="Arial"/>
                <w:sz w:val="18"/>
                <w:szCs w:val="18"/>
                <w:color w:val="auto"/>
              </w:rPr>
              <w:t>consideration</w:t>
            </w:r>
            <w:r>
              <w:rPr>
                <w:rFonts w:ascii="Arial" w:cs="Arial" w:eastAsia="Arial" w:hAnsi="Arial"/>
                <w:sz w:val="26"/>
                <w:szCs w:val="26"/>
                <w:color w:val="auto"/>
                <w:vertAlign w:val="superscript"/>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(26,830)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(29,535)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(58,520)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(26,224)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478,941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390,034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504,448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Employee</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compensation and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209,053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185,727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248,963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228,584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40" w:type="dxa"/>
            <w:vAlign w:val="bottom"/>
            <w:gridSpan w:val="2"/>
          </w:tcPr>
          <w:p>
            <w:pPr>
              <w:spacing w:after="0"/>
              <w:rPr>
                <w:sz w:val="20"/>
                <w:szCs w:val="20"/>
                <w:color w:val="auto"/>
              </w:rPr>
            </w:pPr>
            <w:r>
              <w:rPr>
                <w:rFonts w:ascii="Arial" w:cs="Arial" w:eastAsia="Arial" w:hAnsi="Arial"/>
                <w:sz w:val="18"/>
                <w:szCs w:val="18"/>
                <w:color w:val="auto"/>
              </w:rPr>
              <w:t>Depreciation and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48,808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80,859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General and</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40" w:type="dxa"/>
            <w:vAlign w:val="bottom"/>
            <w:gridSpan w:val="2"/>
          </w:tcPr>
          <w:p>
            <w:pPr>
              <w:spacing w:after="0"/>
              <w:rPr>
                <w:sz w:val="20"/>
                <w:szCs w:val="20"/>
                <w:color w:val="auto"/>
              </w:rPr>
            </w:pPr>
            <w:r>
              <w:rPr>
                <w:rFonts w:ascii="Arial" w:cs="Arial" w:eastAsia="Arial" w:hAnsi="Arial"/>
                <w:sz w:val="18"/>
                <w:szCs w:val="18"/>
                <w:color w:val="auto"/>
              </w:rPr>
              <w:t>Technology and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26,598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4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10,732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11,322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14,441</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338,607</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310,762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415,356</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399,049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140,334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79,272</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89,092</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142,060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40" w:type="dxa"/>
            <w:vAlign w:val="bottom"/>
            <w:gridSpan w:val="2"/>
          </w:tcPr>
          <w:p>
            <w:pPr>
              <w:spacing w:after="0"/>
              <w:rPr>
                <w:sz w:val="20"/>
                <w:szCs w:val="20"/>
                <w:color w:val="auto"/>
              </w:rPr>
            </w:pPr>
            <w:r>
              <w:rPr>
                <w:rFonts w:ascii="Arial" w:cs="Arial" w:eastAsia="Arial" w:hAnsi="Arial"/>
                <w:sz w:val="18"/>
                <w:szCs w:val="18"/>
                <w:color w:val="auto"/>
                <w:w w:val="99"/>
              </w:rPr>
              <w:t>Provision for income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(11,900)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130,160</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w w:val="95"/>
              </w:rPr>
              <w:t>attributable to 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w w:val="92"/>
              </w:rPr>
              <w:t>controlling interests</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attributable to</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Tradeweb</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Markets Inc.</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Pro Forma</w:t>
            </w: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left="1488"/>
              <w:spacing w:after="0" w:line="148" w:lineRule="exact"/>
              <w:rPr>
                <w:sz w:val="20"/>
                <w:szCs w:val="20"/>
                <w:color w:val="auto"/>
              </w:rPr>
            </w:pPr>
            <w:r>
              <w:rPr>
                <w:rFonts w:ascii="Arial" w:cs="Arial" w:eastAsia="Arial" w:hAnsi="Arial"/>
                <w:sz w:val="14"/>
                <w:szCs w:val="14"/>
                <w:b w:val="1"/>
                <w:bCs w:val="1"/>
                <w:color w:val="auto"/>
                <w:w w:val="94"/>
              </w:rPr>
              <w:t>Tradeweb</w:t>
            </w:r>
          </w:p>
        </w:tc>
        <w:tc>
          <w:tcPr>
            <w:tcW w:w="1600" w:type="dxa"/>
            <w:vAlign w:val="bottom"/>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Markets Inc.</w:t>
            </w:r>
            <w:r>
              <w:rPr>
                <w:rFonts w:ascii="Arial" w:cs="Arial" w:eastAsia="Arial" w:hAnsi="Arial"/>
                <w:sz w:val="21"/>
                <w:szCs w:val="21"/>
                <w:b w:val="1"/>
                <w:bCs w:val="1"/>
                <w:color w:val="auto"/>
                <w:w w:val="93"/>
                <w:vertAlign w:val="superscript"/>
              </w:rPr>
              <w:t>(1)</w:t>
            </w:r>
          </w:p>
        </w:tc>
      </w:tr>
      <w:tr>
        <w:trPr>
          <w:trHeight w:val="190"/>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3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Nine Months Ended September 30,</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r>
      <w:tr>
        <w:trPr>
          <w:trHeight w:val="196"/>
        </w:trPr>
        <w:tc>
          <w:tcPr>
            <w:tcW w:w="20" w:type="dxa"/>
            <w:vAlign w:val="bottom"/>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Pro forma net income per share data</w:t>
            </w:r>
            <w:r>
              <w:rPr>
                <w:rFonts w:ascii="Arial" w:cs="Arial" w:eastAsia="Arial" w:hAnsi="Arial"/>
                <w:sz w:val="26"/>
                <w:szCs w:val="26"/>
                <w:color w:val="auto"/>
                <w:vertAlign w:val="superscript"/>
              </w:rPr>
              <w:t>(1)</w:t>
            </w: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4260" w:type="dxa"/>
            <w:vAlign w:val="bottom"/>
            <w:gridSpan w:val="2"/>
          </w:tcPr>
          <w:p>
            <w:pPr>
              <w:spacing w:after="0"/>
              <w:rPr>
                <w:sz w:val="20"/>
                <w:szCs w:val="20"/>
                <w:color w:val="auto"/>
              </w:rPr>
            </w:pPr>
            <w:r>
              <w:rPr>
                <w:rFonts w:ascii="Arial" w:cs="Arial" w:eastAsia="Arial" w:hAnsi="Arial"/>
                <w:sz w:val="18"/>
                <w:szCs w:val="18"/>
                <w:color w:val="auto"/>
                <w:w w:val="95"/>
              </w:rPr>
              <w:t>Pro forma weighted average shares of Class A common</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stock outstanding</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2"/>
              </w:rPr>
              <w:t>Pro forma net income available to Class A common stock</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bl>
    <w:p>
      <w:pPr>
        <w:spacing w:after="0" w:line="166"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ind w:left="6420"/>
        <w:spacing w:after="0"/>
        <w:rPr>
          <w:sz w:val="20"/>
          <w:szCs w:val="20"/>
          <w:color w:val="auto"/>
        </w:rPr>
      </w:pPr>
      <w:r>
        <w:rPr>
          <w:rFonts w:ascii="Arial" w:cs="Arial" w:eastAsia="Arial" w:hAnsi="Arial"/>
          <w:sz w:val="14"/>
          <w:szCs w:val="14"/>
          <w:b w:val="1"/>
          <w:bCs w:val="1"/>
          <w:color w:val="auto"/>
        </w:rPr>
        <w:t>Historical</w:t>
      </w:r>
    </w:p>
    <w:p>
      <w:pPr>
        <w:spacing w:after="0" w:line="258"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Tradeweb</w:t>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Markets LLC</w:t>
      </w:r>
    </w:p>
    <w:p>
      <w:pPr>
        <w:spacing w:after="0" w:line="66" w:lineRule="exact"/>
        <w:rPr>
          <w:sz w:val="20"/>
          <w:szCs w:val="20"/>
          <w:color w:val="auto"/>
        </w:rPr>
      </w:pPr>
    </w:p>
    <w:tbl>
      <w:tblPr>
        <w:tblLayout w:type="fixed"/>
        <w:tblInd w:w="492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12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Pr>
          <w:p>
            <w:pPr>
              <w:spacing w:after="0"/>
              <w:rPr>
                <w:sz w:val="14"/>
                <w:szCs w:val="14"/>
                <w:color w:val="auto"/>
              </w:rPr>
            </w:pPr>
          </w:p>
        </w:tc>
        <w:tc>
          <w:tcPr>
            <w:tcW w:w="1140" w:type="dxa"/>
            <w:vAlign w:val="bottom"/>
          </w:tcPr>
          <w:p>
            <w:pPr>
              <w:jc w:val="center"/>
              <w:ind w:right="588"/>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1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7"/>
        </w:trPr>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r>
    </w:tbl>
    <w:p>
      <w:pPr>
        <w:spacing w:after="0" w:line="57"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b w:val="1"/>
          <w:bCs w:val="1"/>
          <w:color w:val="auto"/>
        </w:rPr>
        <w:t>Pro Forma</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Tradeweb</w:t>
      </w:r>
    </w:p>
    <w:p>
      <w:pPr>
        <w:ind w:left="160"/>
        <w:spacing w:after="0" w:line="213" w:lineRule="auto"/>
        <w:rPr>
          <w:sz w:val="20"/>
          <w:szCs w:val="20"/>
          <w:color w:val="auto"/>
        </w:rPr>
      </w:pPr>
      <w:r>
        <w:rPr>
          <w:rFonts w:ascii="Arial" w:cs="Arial" w:eastAsia="Arial" w:hAnsi="Arial"/>
          <w:sz w:val="14"/>
          <w:szCs w:val="14"/>
          <w:b w:val="1"/>
          <w:bCs w:val="1"/>
          <w:color w:val="auto"/>
        </w:rPr>
        <w:t>Markets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Inc.</w:t>
      </w:r>
      <w:r>
        <w:rPr>
          <w:rFonts w:ascii="Arial" w:cs="Arial" w:eastAsia="Arial" w:hAnsi="Arial"/>
          <w:sz w:val="21"/>
          <w:szCs w:val="21"/>
          <w:b w:val="1"/>
          <w:bCs w:val="1"/>
          <w:color w:val="auto"/>
          <w:vertAlign w:val="superscript"/>
        </w:rPr>
        <w:t>(1)</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As of</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September 30,</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2018</w:t>
      </w:r>
    </w:p>
    <w:p>
      <w:pPr>
        <w:spacing w:after="0" w:line="302" w:lineRule="exact"/>
        <w:rPr>
          <w:sz w:val="20"/>
          <w:szCs w:val="20"/>
          <w:color w:val="auto"/>
        </w:rPr>
      </w:pPr>
    </w:p>
    <w:p>
      <w:pPr>
        <w:sectPr>
          <w:pgSz w:w="11900" w:h="16838" w:orient="portrait"/>
          <w:cols w:equalWidth="0" w:num="2">
            <w:col w:w="8520" w:space="100"/>
            <w:col w:w="1519"/>
          </w:cols>
          <w:pgMar w:left="320" w:top="131" w:right="1440" w:bottom="1440" w:gutter="0" w:footer="0" w:header="0"/>
          <w:type w:val="continuous"/>
        </w:sectPr>
      </w:pPr>
    </w:p>
    <w:p>
      <w:pPr>
        <w:ind w:left="1280"/>
        <w:spacing w:after="0"/>
        <w:rPr>
          <w:sz w:val="20"/>
          <w:szCs w:val="20"/>
          <w:color w:val="auto"/>
        </w:rPr>
      </w:pPr>
      <w:r>
        <w:rPr>
          <w:rFonts w:ascii="Arial" w:cs="Arial" w:eastAsia="Arial" w:hAnsi="Arial"/>
          <w:sz w:val="18"/>
          <w:szCs w:val="18"/>
          <w:b w:val="1"/>
          <w:bCs w:val="1"/>
          <w:color w:val="auto"/>
        </w:rPr>
        <w:t>Statement of Financial Condition Data:</w:t>
      </w:r>
    </w:p>
    <w:p>
      <w:pPr>
        <w:spacing w:after="0" w:line="54"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spacing w:after="0"/>
              <w:rPr>
                <w:sz w:val="20"/>
                <w:szCs w:val="20"/>
                <w:color w:val="auto"/>
              </w:rPr>
            </w:pPr>
            <w:r>
              <w:rPr>
                <w:rFonts w:ascii="Arial" w:cs="Arial" w:eastAsia="Arial" w:hAnsi="Arial"/>
                <w:sz w:val="18"/>
                <w:szCs w:val="18"/>
                <w:color w:val="auto"/>
              </w:rPr>
              <w:t>$  350,183</w:t>
            </w:r>
          </w:p>
        </w:tc>
        <w:tc>
          <w:tcPr>
            <w:tcW w:w="880" w:type="dxa"/>
            <w:vAlign w:val="bottom"/>
          </w:tcPr>
          <w:p>
            <w:pPr>
              <w:jc w:val="right"/>
              <w:spacing w:after="0"/>
              <w:rPr>
                <w:sz w:val="20"/>
                <w:szCs w:val="20"/>
                <w:color w:val="auto"/>
              </w:rPr>
            </w:pPr>
            <w:r>
              <w:rPr>
                <w:rFonts w:ascii="Arial" w:cs="Arial" w:eastAsia="Arial" w:hAnsi="Arial"/>
                <w:sz w:val="18"/>
                <w:szCs w:val="18"/>
                <w:color w:val="auto"/>
                <w:w w:val="96"/>
              </w:rPr>
              <w:t>$  316,449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352,598</w:t>
            </w:r>
          </w:p>
        </w:tc>
        <w:tc>
          <w:tcPr>
            <w:tcW w:w="940" w:type="dxa"/>
            <w:vAlign w:val="bottom"/>
          </w:tcPr>
          <w:p>
            <w:pPr>
              <w:jc w:val="right"/>
              <w:spacing w:after="0"/>
              <w:rPr>
                <w:sz w:val="20"/>
                <w:szCs w:val="20"/>
                <w:color w:val="auto"/>
              </w:rPr>
            </w:pPr>
            <w:r>
              <w:rPr>
                <w:rFonts w:ascii="Arial" w:cs="Arial" w:eastAsia="Arial" w:hAnsi="Arial"/>
                <w:sz w:val="18"/>
                <w:szCs w:val="18"/>
                <w:color w:val="auto"/>
              </w:rPr>
              <w:t>$  324,074</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1,323,947</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1,316,887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1,320,732</w:t>
            </w:r>
          </w:p>
        </w:tc>
        <w:tc>
          <w:tcPr>
            <w:tcW w:w="940" w:type="dxa"/>
            <w:vAlign w:val="bottom"/>
            <w:shd w:val="clear" w:color="auto" w:fill="CCEEFF"/>
          </w:tcPr>
          <w:p>
            <w:pPr>
              <w:spacing w:after="0"/>
              <w:rPr>
                <w:sz w:val="22"/>
                <w:szCs w:val="22"/>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185,796</w:t>
            </w:r>
          </w:p>
        </w:tc>
        <w:tc>
          <w:tcPr>
            <w:tcW w:w="880" w:type="dxa"/>
            <w:vAlign w:val="bottom"/>
          </w:tcPr>
          <w:p>
            <w:pPr>
              <w:jc w:val="right"/>
              <w:spacing w:after="0"/>
              <w:rPr>
                <w:sz w:val="20"/>
                <w:szCs w:val="20"/>
                <w:color w:val="auto"/>
              </w:rPr>
            </w:pPr>
            <w:r>
              <w:rPr>
                <w:rFonts w:ascii="Arial" w:cs="Arial" w:eastAsia="Arial" w:hAnsi="Arial"/>
                <w:sz w:val="18"/>
                <w:szCs w:val="18"/>
                <w:color w:val="auto"/>
              </w:rPr>
              <w:t>294,556</w:t>
            </w:r>
          </w:p>
        </w:tc>
        <w:tc>
          <w:tcPr>
            <w:tcW w:w="2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317,118</w:t>
            </w:r>
          </w:p>
        </w:tc>
        <w:tc>
          <w:tcPr>
            <w:tcW w:w="940" w:type="dxa"/>
            <w:vAlign w:val="bottom"/>
          </w:tcPr>
          <w:p>
            <w:pPr>
              <w:jc w:val="right"/>
              <w:spacing w:after="0"/>
              <w:rPr>
                <w:sz w:val="20"/>
                <w:szCs w:val="20"/>
                <w:color w:val="auto"/>
              </w:rPr>
            </w:pPr>
            <w:r>
              <w:rPr>
                <w:rFonts w:ascii="Arial" w:cs="Arial" w:eastAsia="Arial" w:hAnsi="Arial"/>
                <w:sz w:val="18"/>
                <w:szCs w:val="18"/>
                <w:color w:val="auto"/>
              </w:rPr>
              <w:t>283,319</w:t>
            </w:r>
          </w:p>
        </w:tc>
        <w:tc>
          <w:tcPr>
            <w:tcW w:w="94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members’ capital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1,018,209</w:t>
            </w:r>
          </w:p>
        </w:tc>
        <w:tc>
          <w:tcPr>
            <w:tcW w:w="2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986,468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1,024,759</w:t>
            </w:r>
          </w:p>
        </w:tc>
        <w:tc>
          <w:tcPr>
            <w:tcW w:w="940" w:type="dxa"/>
            <w:vAlign w:val="bottom"/>
            <w:shd w:val="clear" w:color="auto" w:fill="CCEEFF"/>
          </w:tcPr>
          <w:p>
            <w:pPr>
              <w:spacing w:after="0"/>
              <w:rPr>
                <w:sz w:val="23"/>
                <w:szCs w:val="23"/>
                <w:color w:val="auto"/>
              </w:rPr>
            </w:pPr>
          </w:p>
        </w:tc>
      </w:tr>
      <w:tr>
        <w:trPr>
          <w:trHeight w:val="32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Tradeweb</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rPr>
              <w:t>Markets LLC</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2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2016</w:t>
            </w:r>
          </w:p>
        </w:tc>
      </w:tr>
      <w:tr>
        <w:trPr>
          <w:trHeight w:val="25"/>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(dollars in thousands, other than volumes)</w:t>
            </w:r>
          </w:p>
        </w:tc>
        <w:tc>
          <w:tcPr>
            <w:tcW w:w="94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and Operating Data:</w:t>
            </w:r>
          </w:p>
        </w:tc>
        <w:tc>
          <w:tcPr>
            <w:tcW w:w="9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70"/>
        </w:trPr>
        <w:tc>
          <w:tcPr>
            <w:tcW w:w="3580" w:type="dxa"/>
            <w:vAlign w:val="bottom"/>
            <w:gridSpan w:val="2"/>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(4)</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$138,978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$ 111,216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410"/>
              <w:spacing w:after="0"/>
              <w:rPr>
                <w:sz w:val="20"/>
                <w:szCs w:val="20"/>
                <w:color w:val="auto"/>
              </w:rPr>
            </w:pPr>
            <w:r>
              <w:rPr>
                <w:rFonts w:ascii="Arial" w:cs="Arial" w:eastAsia="Arial" w:hAnsi="Arial"/>
                <w:sz w:val="18"/>
                <w:szCs w:val="18"/>
                <w:color w:val="auto"/>
              </w:rPr>
              <w:t>$183,962</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w w:val="95"/>
              </w:rPr>
              <w:t>$136,496</w:t>
            </w: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$215,012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$215,863</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5"/>
              </w:rPr>
              <w:t>$202,086</w:t>
            </w:r>
          </w:p>
        </w:tc>
      </w:tr>
      <w:tr>
        <w:trPr>
          <w:trHeight w:val="270"/>
        </w:trPr>
        <w:tc>
          <w:tcPr>
            <w:tcW w:w="3580" w:type="dxa"/>
            <w:vAlign w:val="bottom"/>
            <w:gridSpan w:val="2"/>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38.3%</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$175,606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$173,040</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5"/>
              </w:rPr>
              <w:t>$162,382</w:t>
            </w:r>
          </w:p>
        </w:tc>
      </w:tr>
      <w:tr>
        <w:trPr>
          <w:trHeight w:val="365"/>
        </w:trPr>
        <w:tc>
          <w:tcPr>
            <w:tcW w:w="3580" w:type="dxa"/>
            <w:vAlign w:val="bottom"/>
            <w:gridSpan w:val="2"/>
          </w:tcPr>
          <w:p>
            <w:pPr>
              <w:spacing w:after="0"/>
              <w:rPr>
                <w:sz w:val="20"/>
                <w:szCs w:val="20"/>
                <w:color w:val="auto"/>
              </w:rPr>
            </w:pPr>
            <w:r>
              <w:rPr>
                <w:rFonts w:ascii="Arial" w:cs="Arial" w:eastAsia="Arial" w:hAnsi="Arial"/>
                <w:sz w:val="18"/>
                <w:szCs w:val="18"/>
                <w:color w:val="auto"/>
              </w:rPr>
              <w:t>Average Daily Volumes (dollars in millions):</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$346,616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$255,152</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5"/>
              </w:rPr>
              <w:t>$220,535</w:t>
            </w:r>
          </w:p>
        </w:tc>
      </w:tr>
      <w:tr>
        <w:trPr>
          <w:trHeight w:val="270"/>
        </w:trPr>
        <w:tc>
          <w:tcPr>
            <w:tcW w:w="20" w:type="dxa"/>
            <w:vAlign w:val="bottom"/>
          </w:tcPr>
          <w:p>
            <w:pPr>
              <w:spacing w:after="0"/>
              <w:rPr>
                <w:sz w:val="23"/>
                <w:szCs w:val="23"/>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Credit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12,873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7,552</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5,960</w:t>
            </w: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168,608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132,105</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94,315</w:t>
            </w:r>
          </w:p>
        </w:tc>
      </w:tr>
      <w:tr>
        <w:trPr>
          <w:trHeight w:val="270"/>
        </w:trPr>
        <w:tc>
          <w:tcPr>
            <w:tcW w:w="20" w:type="dxa"/>
            <w:vAlign w:val="bottom"/>
          </w:tcPr>
          <w:p>
            <w:pPr>
              <w:spacing w:after="0"/>
              <w:rPr>
                <w:sz w:val="23"/>
                <w:szCs w:val="23"/>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Equities</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7,615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4,817</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4,576</w:t>
            </w:r>
          </w:p>
        </w:tc>
      </w:tr>
    </w:tbl>
    <w:p>
      <w:pPr>
        <w:spacing w:after="0" w:line="337" w:lineRule="exact"/>
        <w:rPr>
          <w:sz w:val="20"/>
          <w:szCs w:val="20"/>
          <w:color w:val="auto"/>
        </w:rPr>
      </w:pPr>
    </w:p>
    <w:p>
      <w:pPr>
        <w:ind w:left="1640" w:right="1019" w:hanging="354"/>
        <w:spacing w:after="0" w:line="311"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ind w:left="1640" w:hanging="354"/>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and the years ended</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1299"/>
        <w:spacing w:after="0" w:line="277" w:lineRule="auto"/>
        <w:rPr>
          <w:sz w:val="20"/>
          <w:szCs w:val="20"/>
          <w:color w:val="auto"/>
        </w:rPr>
      </w:pPr>
      <w:r>
        <w:rPr>
          <w:rFonts w:ascii="Arial" w:cs="Arial" w:eastAsia="Arial" w:hAnsi="Arial"/>
          <w:sz w:val="18"/>
          <w:szCs w:val="18"/>
          <w:color w:val="auto"/>
        </w:rPr>
        <w:t>December 31, 2017 and 2016 include $36.9 million, $37.9 million, $50.1 million and $50.6 million, respectively, of Thomson Reuters market data fees.</w:t>
      </w:r>
    </w:p>
    <w:p>
      <w:pPr>
        <w:spacing w:after="0" w:line="76" w:lineRule="exact"/>
        <w:rPr>
          <w:sz w:val="20"/>
          <w:szCs w:val="20"/>
          <w:color w:val="auto"/>
        </w:rPr>
      </w:pPr>
    </w:p>
    <w:p>
      <w:pPr>
        <w:ind w:left="1640" w:right="819" w:hanging="354"/>
        <w:spacing w:after="0" w:line="257"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106" w:lineRule="exact"/>
        <w:rPr>
          <w:rFonts w:ascii="Arial" w:cs="Arial" w:eastAsia="Arial" w:hAnsi="Arial"/>
          <w:sz w:val="18"/>
          <w:szCs w:val="18"/>
          <w:color w:val="auto"/>
        </w:rPr>
      </w:pPr>
    </w:p>
    <w:p>
      <w:pPr>
        <w:ind w:left="1640" w:right="959" w:hanging="354"/>
        <w:spacing w:after="0" w:line="259"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40" w:right="73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40" w:right="659"/>
        <w:spacing w:after="0" w:line="254"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3" w:lineRule="exact"/>
        <w:rPr>
          <w:rFonts w:ascii="Arial" w:cs="Arial" w:eastAsia="Arial" w:hAnsi="Arial"/>
          <w:sz w:val="18"/>
          <w:szCs w:val="18"/>
          <w:color w:val="auto"/>
        </w:rPr>
      </w:pPr>
    </w:p>
    <w:p>
      <w:pPr>
        <w:ind w:left="1640" w:right="759"/>
        <w:spacing w:after="0" w:line="263"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nine months ended September 30, 2018 and 2017 and the years ended December 31, 2017 and 2016:</w:t>
      </w:r>
    </w:p>
    <w:p>
      <w:pPr>
        <w:spacing w:after="0" w:line="94"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Tradeweb Markets LLC</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Borders>
              <w:bottom w:val="single" w:sz="8" w:color="auto"/>
            </w:tcBorders>
            <w:gridSpan w:val="7"/>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r>
      <w:tr>
        <w:trPr>
          <w:trHeight w:val="211"/>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14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1"/>
        </w:trPr>
        <w:tc>
          <w:tcPr>
            <w:tcW w:w="2560" w:type="dxa"/>
            <w:vAlign w:val="bottom"/>
          </w:tcPr>
          <w:p>
            <w:pPr>
              <w:spacing w:after="0"/>
              <w:rPr>
                <w:sz w:val="18"/>
                <w:szCs w:val="18"/>
                <w:color w:val="auto"/>
              </w:rPr>
            </w:pPr>
          </w:p>
        </w:tc>
        <w:tc>
          <w:tcPr>
            <w:tcW w:w="1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8"/>
                <w:szCs w:val="18"/>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8"/>
                <w:szCs w:val="18"/>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8"/>
                <w:szCs w:val="18"/>
                <w:color w:val="auto"/>
              </w:rPr>
            </w:pPr>
          </w:p>
        </w:tc>
      </w:tr>
      <w:tr>
        <w:trPr>
          <w:trHeight w:val="25"/>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0"/>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8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flow from operating activities</w:t>
            </w:r>
          </w:p>
        </w:tc>
        <w:tc>
          <w:tcPr>
            <w:tcW w:w="15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$164,828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$141,295</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$224,580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$171,845</w:t>
            </w:r>
          </w:p>
        </w:tc>
        <w:tc>
          <w:tcPr>
            <w:tcW w:w="200" w:type="dxa"/>
            <w:vAlign w:val="bottom"/>
            <w:shd w:val="clear" w:color="auto" w:fill="CCEEFF"/>
          </w:tcPr>
          <w:p>
            <w:pPr>
              <w:spacing w:after="0"/>
              <w:rPr>
                <w:sz w:val="24"/>
                <w:szCs w:val="24"/>
                <w:color w:val="auto"/>
              </w:rPr>
            </w:pPr>
          </w:p>
        </w:tc>
      </w:tr>
      <w:tr>
        <w:trPr>
          <w:trHeight w:val="256"/>
        </w:trPr>
        <w:tc>
          <w:tcPr>
            <w:tcW w:w="256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7"/>
        </w:trPr>
        <w:tc>
          <w:tcPr>
            <w:tcW w:w="25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580" w:type="dxa"/>
            <w:vAlign w:val="bottom"/>
            <w:gridSpan w:val="4"/>
          </w:tcPr>
          <w:p>
            <w:pPr>
              <w:jc w:val="right"/>
              <w:ind w:right="460"/>
              <w:spacing w:after="0"/>
              <w:rPr>
                <w:sz w:val="20"/>
                <w:szCs w:val="20"/>
                <w:color w:val="auto"/>
              </w:rPr>
            </w:pPr>
            <w:r>
              <w:rPr>
                <w:rFonts w:ascii="Arial" w:cs="Arial" w:eastAsia="Arial" w:hAnsi="Arial"/>
                <w:sz w:val="18"/>
                <w:szCs w:val="18"/>
                <w:color w:val="auto"/>
              </w:rPr>
              <w:t>(19,523)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(20,042)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(27,157)</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(25,351)</w:t>
            </w:r>
          </w:p>
        </w:tc>
      </w:tr>
      <w:tr>
        <w:trPr>
          <w:trHeight w:val="262"/>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leasehold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380" w:type="dxa"/>
            <w:vAlign w:val="bottom"/>
            <w:tcBorders>
              <w:bottom w:val="single" w:sz="8" w:color="CCEEFF"/>
            </w:tcBorders>
            <w:gridSpan w:val="2"/>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(6,327)</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(13,461)</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(9,998)</w:t>
            </w:r>
          </w:p>
        </w:tc>
      </w:tr>
      <w:tr>
        <w:trPr>
          <w:trHeight w:val="20"/>
        </w:trPr>
        <w:tc>
          <w:tcPr>
            <w:tcW w:w="2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77"/>
        </w:trPr>
        <w:tc>
          <w:tcPr>
            <w:tcW w:w="2560" w:type="dxa"/>
            <w:vAlign w:val="bottom"/>
          </w:tcPr>
          <w:p>
            <w:pPr>
              <w:spacing w:after="0"/>
              <w:rPr>
                <w:sz w:val="20"/>
                <w:szCs w:val="20"/>
                <w:color w:val="auto"/>
              </w:rPr>
            </w:pPr>
            <w:r>
              <w:rPr>
                <w:rFonts w:ascii="Arial" w:cs="Arial" w:eastAsia="Arial" w:hAnsi="Arial"/>
                <w:sz w:val="18"/>
                <w:szCs w:val="18"/>
                <w:color w:val="auto"/>
              </w:rPr>
              <w:t>Free Cash Flow</w:t>
            </w:r>
          </w:p>
        </w:tc>
        <w:tc>
          <w:tcPr>
            <w:tcW w:w="1580" w:type="dxa"/>
            <w:vAlign w:val="bottom"/>
            <w:gridSpan w:val="4"/>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138,978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$ 111,216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183,962</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200" w:type="dxa"/>
            <w:vAlign w:val="bottom"/>
          </w:tcPr>
          <w:p>
            <w:pPr>
              <w:spacing w:after="0"/>
              <w:rPr>
                <w:sz w:val="24"/>
                <w:szCs w:val="24"/>
                <w:color w:val="auto"/>
              </w:rPr>
            </w:pPr>
          </w:p>
        </w:tc>
      </w:tr>
      <w:tr>
        <w:trPr>
          <w:trHeight w:val="20"/>
        </w:trPr>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640" w:right="799" w:hanging="354"/>
        <w:spacing w:after="0" w:line="308" w:lineRule="auto"/>
        <w:tabs>
          <w:tab w:leader="none" w:pos="1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40" w:right="659"/>
        <w:spacing w:after="0" w:line="270" w:lineRule="auto"/>
        <w:rPr>
          <w:rFonts w:ascii="Arial" w:cs="Arial" w:eastAsia="Arial" w:hAnsi="Arial"/>
          <w:sz w:val="17"/>
          <w:szCs w:val="17"/>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719"/>
        <w:spacing w:after="0" w:line="296" w:lineRule="auto"/>
        <w:rPr>
          <w:sz w:val="20"/>
          <w:szCs w:val="20"/>
          <w:color w:val="auto"/>
        </w:rPr>
      </w:pPr>
      <w:r>
        <w:rPr>
          <w:rFonts w:ascii="Arial" w:cs="Arial" w:eastAsia="Arial" w:hAnsi="Arial"/>
          <w:sz w:val="16"/>
          <w:szCs w:val="16"/>
          <w:color w:val="auto"/>
        </w:rPr>
        <w:t>Analysis of Financial Condition and Results of Operations — Critical Accounting Policies and Estimates — Stock-Based Compensation,” as well as any other stock-based compensation expense that may be incurred from time to time. We believe it will be useful to exclude stock-based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53" w:lineRule="exact"/>
        <w:rPr>
          <w:sz w:val="20"/>
          <w:szCs w:val="20"/>
          <w:color w:val="auto"/>
        </w:rPr>
      </w:pPr>
    </w:p>
    <w:p>
      <w:pPr>
        <w:ind w:left="1640" w:right="659"/>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640" w:right="1099"/>
        <w:spacing w:after="0" w:line="277" w:lineRule="auto"/>
        <w:rPr>
          <w:sz w:val="20"/>
          <w:szCs w:val="20"/>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sz w:val="20"/>
          <w:szCs w:val="20"/>
          <w:color w:val="auto"/>
        </w:rPr>
      </w:pPr>
    </w:p>
    <w:p>
      <w:pPr>
        <w:ind w:left="1640" w:right="659"/>
        <w:spacing w:after="0" w:line="287" w:lineRule="auto"/>
        <w:rPr>
          <w:sz w:val="20"/>
          <w:szCs w:val="20"/>
          <w:color w:val="auto"/>
        </w:rPr>
      </w:pPr>
      <w:r>
        <w:rPr>
          <w:rFonts w:ascii="Arial" w:cs="Arial" w:eastAsia="Arial" w:hAnsi="Arial"/>
          <w:sz w:val="16"/>
          <w:szCs w:val="16"/>
          <w:color w:val="auto"/>
        </w:rPr>
        <w:t>Adjusted Net Income is defined as net income before contingent consideration, acquisition related intangible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4" w:lineRule="exact"/>
        <w:rPr>
          <w:sz w:val="20"/>
          <w:szCs w:val="20"/>
          <w:color w:val="auto"/>
        </w:rPr>
      </w:pPr>
    </w:p>
    <w:p>
      <w:pPr>
        <w:ind w:left="1640" w:right="639"/>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59"/>
        <w:spacing w:after="0" w:line="263" w:lineRule="auto"/>
        <w:rPr>
          <w:sz w:val="20"/>
          <w:szCs w:val="20"/>
          <w:color w:val="auto"/>
        </w:rPr>
      </w:pPr>
      <w:r>
        <w:rPr>
          <w:rFonts w:ascii="Arial" w:cs="Arial" w:eastAsia="Arial" w:hAnsi="Arial"/>
          <w:sz w:val="18"/>
          <w:szCs w:val="18"/>
          <w:color w:val="auto"/>
        </w:rPr>
        <w:t>The table set forth below presents a reconciliation of net income to Adjusted EBITDA for the twelve months ended September 30, 2018 and 2017, the nine months ended September 30, 2018 and 2017 and the years ended December 31, 2017 and 2016:</w:t>
      </w:r>
    </w:p>
    <w:p>
      <w:pPr>
        <w:spacing w:after="0" w:line="108"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7"/>
              </w:rPr>
              <w:t>Tradeweb Markets LLC</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2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Twelve Months Ended</w:t>
            </w: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6"/>
                <w:szCs w:val="16"/>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r>
      <w:tr>
        <w:trPr>
          <w:trHeight w:val="186"/>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2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1"/>
                <w:szCs w:val="21"/>
                <w:b w:val="1"/>
                <w:bCs w:val="1"/>
                <w:color w:val="auto"/>
                <w:vertAlign w:val="superscript"/>
              </w:rPr>
              <w:t>(a)</w:t>
            </w:r>
          </w:p>
        </w:tc>
        <w:tc>
          <w:tcPr>
            <w:tcW w:w="6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21"/>
                <w:szCs w:val="21"/>
                <w:b w:val="1"/>
                <w:bCs w:val="1"/>
                <w:color w:val="auto"/>
                <w:vertAlign w:val="superscript"/>
              </w:rPr>
              <w:t>(a)</w:t>
            </w:r>
          </w:p>
        </w:tc>
        <w:tc>
          <w:tcPr>
            <w:tcW w:w="16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r>
      <w:tr>
        <w:trPr>
          <w:trHeight w:val="196"/>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$137,265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$101,469</w:t>
            </w:r>
          </w:p>
        </w:tc>
        <w:tc>
          <w:tcPr>
            <w:tcW w:w="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$130,160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3"/>
                <w:szCs w:val="23"/>
                <w:color w:val="auto"/>
              </w:rPr>
            </w:pP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55,815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39,201</w:t>
            </w:r>
          </w:p>
        </w:tc>
        <w:tc>
          <w:tcPr>
            <w:tcW w:w="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29,535</w:t>
            </w:r>
          </w:p>
        </w:tc>
        <w:tc>
          <w:tcPr>
            <w:tcW w:w="12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26,224</w:t>
            </w:r>
          </w:p>
        </w:tc>
      </w:tr>
      <w:tr>
        <w:trPr>
          <w:trHeight w:val="242"/>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expense,</w:t>
            </w: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1"/>
                <w:szCs w:val="21"/>
                <w:color w:val="auto"/>
              </w:rPr>
            </w:pPr>
          </w:p>
        </w:tc>
      </w:tr>
      <w:tr>
        <w:trPr>
          <w:trHeight w:val="277"/>
        </w:trPr>
        <w:tc>
          <w:tcPr>
            <w:tcW w:w="24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64,778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71,582</w:t>
            </w:r>
          </w:p>
        </w:tc>
        <w:tc>
          <w:tcPr>
            <w:tcW w:w="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48,808</w:t>
            </w: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52,645</w:t>
            </w: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r>
      <w:tr>
        <w:trPr>
          <w:trHeight w:val="29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11,900</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24"/>
                <w:szCs w:val="24"/>
                <w:color w:val="auto"/>
              </w:rPr>
            </w:pPr>
          </w:p>
        </w:tc>
      </w:tr>
      <w:tr>
        <w:trPr>
          <w:trHeight w:val="256"/>
        </w:trPr>
        <w:tc>
          <w:tcPr>
            <w:tcW w:w="2480" w:type="dxa"/>
            <w:vAlign w:val="bottom"/>
            <w:gridSpan w:val="2"/>
          </w:tcPr>
          <w:p>
            <w:pPr>
              <w:spacing w:after="0"/>
              <w:rPr>
                <w:sz w:val="20"/>
                <w:szCs w:val="20"/>
                <w:color w:val="auto"/>
              </w:rPr>
            </w:pPr>
            <w:r>
              <w:rPr>
                <w:rFonts w:ascii="Arial" w:cs="Arial" w:eastAsia="Arial" w:hAnsi="Arial"/>
                <w:sz w:val="18"/>
                <w:szCs w:val="18"/>
                <w:color w:val="auto"/>
              </w:rPr>
              <w:t>Unrealized foreign exchange</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2480" w:type="dxa"/>
            <w:vAlign w:val="bottom"/>
            <w:gridSpan w:val="2"/>
          </w:tcPr>
          <w:p>
            <w:pPr>
              <w:ind w:left="180"/>
              <w:spacing w:after="0"/>
              <w:rPr>
                <w:sz w:val="20"/>
                <w:szCs w:val="20"/>
                <w:color w:val="auto"/>
              </w:rPr>
            </w:pPr>
            <w:r>
              <w:rPr>
                <w:rFonts w:ascii="Arial" w:cs="Arial" w:eastAsia="Arial" w:hAnsi="Arial"/>
                <w:sz w:val="18"/>
                <w:szCs w:val="18"/>
                <w:color w:val="auto"/>
              </w:rPr>
              <w:t>gains/losses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r>
      <w:tr>
        <w:trPr>
          <w:trHeight w:val="27"/>
        </w:trPr>
        <w:tc>
          <w:tcPr>
            <w:tcW w:w="2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268,329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211,829</w:t>
            </w: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215,012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162,546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215,863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60" w:type="dxa"/>
            <w:vAlign w:val="bottom"/>
          </w:tcPr>
          <w:p>
            <w:pPr>
              <w:spacing w:after="0"/>
              <w:rPr>
                <w:sz w:val="24"/>
                <w:szCs w:val="24"/>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1640" w:right="799"/>
        <w:spacing w:after="0" w:line="263" w:lineRule="auto"/>
        <w:rPr>
          <w:sz w:val="20"/>
          <w:szCs w:val="20"/>
          <w:color w:val="auto"/>
        </w:rPr>
      </w:pPr>
      <w:r>
        <w:rPr>
          <w:rFonts w:ascii="Arial" w:cs="Arial" w:eastAsia="Arial" w:hAnsi="Arial"/>
          <w:sz w:val="18"/>
          <w:szCs w:val="18"/>
          <w:color w:val="auto"/>
        </w:rPr>
        <w:t>The table set forth below presents a reconciliation of net income to Adjusted Net Income for the twelve months ended September 30, 2018 and 2017, the nine months ended September 30, 2018 and 2017 and the years ended December 31, 2017 and 2016:</w:t>
      </w:r>
    </w:p>
    <w:p>
      <w:pPr>
        <w:spacing w:after="0" w:line="94"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7"/>
              </w:rPr>
              <w:t>Tradeweb Markets LLC</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Twelve Months Ended</w:t>
            </w: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5"/>
                <w:szCs w:val="15"/>
                <w:color w:val="auto"/>
              </w:rPr>
            </w:pPr>
          </w:p>
        </w:tc>
        <w:tc>
          <w:tcPr>
            <w:tcW w:w="14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4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20"/>
              <w:spacing w:after="0" w:line="237"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21"/>
                <w:szCs w:val="21"/>
                <w:b w:val="1"/>
                <w:bCs w:val="1"/>
                <w:color w:val="auto"/>
                <w:vertAlign w:val="superscript"/>
              </w:rPr>
              <w:t>(a)</w:t>
            </w:r>
          </w:p>
        </w:tc>
        <w:tc>
          <w:tcPr>
            <w:tcW w:w="680" w:type="dxa"/>
            <w:vAlign w:val="bottom"/>
            <w:tcBorders>
              <w:bottom w:val="single" w:sz="8" w:color="auto"/>
            </w:tcBorders>
          </w:tcPr>
          <w:p>
            <w:pPr>
              <w:ind w:left="140"/>
              <w:spacing w:after="0" w:line="237"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21"/>
                <w:szCs w:val="21"/>
                <w:b w:val="1"/>
                <w:bCs w:val="1"/>
                <w:color w:val="auto"/>
                <w:vertAlign w:val="superscript"/>
              </w:rPr>
              <w:t>(a)</w:t>
            </w:r>
          </w:p>
        </w:tc>
        <w:tc>
          <w:tcPr>
            <w:tcW w:w="1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$137,265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$101,469</w:t>
            </w:r>
          </w:p>
        </w:tc>
        <w:tc>
          <w:tcPr>
            <w:tcW w:w="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$130,160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55,815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39,201</w:t>
            </w:r>
          </w:p>
        </w:tc>
        <w:tc>
          <w:tcPr>
            <w:tcW w:w="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29,535</w:t>
            </w:r>
          </w:p>
        </w:tc>
        <w:tc>
          <w:tcPr>
            <w:tcW w:w="12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related intangible</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2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35,193</w:t>
            </w: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24,670</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Unrealized foreign exchange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rPr>
              <w:t>gains/losses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216,803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175,720</w:t>
            </w: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175,606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131,840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173,040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40" w:right="719" w:hanging="354"/>
        <w:spacing w:after="0" w:line="269" w:lineRule="auto"/>
        <w:tabs>
          <w:tab w:leader="none" w:pos="1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summary consolidated financial data presented for the last twelve months ended September 30, 2018 has been derived by adding the financial data for the year ended December 31, 2017 to the financial data for the nine months ended September 30, 2018, and then subtracting the financial data for the nine months ended September 30, 2017. The summary consolidated financial data presented for the last twelve months ended September 30, 2017 has been derived by adding the financial data for the year ended December 31, 2016 to the financial data for the nine months ended September 30, 2017, and then subtracting the financial data for the nine months ended September 30, 2016. We believe that the presentation of financial data for the last twelve months ended September 30, 2018 and 2017, which presentation does not comply with GAAP, is useful to investors because it presents information about how our business has performed in the twelve month period immediately preceding the date of our most recent interim financial statements, which allows investors to review our recent performance trends over a period consisting of our four most recent consecutive fiscal quarters.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electronic financial services industry is, by its nature, risky and volatile. Our business performance is impacted by a number of global and regional factors that are generally beyond our control. Any one of the following factors may cause a substantial decline in the U.S. and/or global financial markets, which could result in reduced trading volumes and profitability for our business:</w:t>
      </w:r>
    </w:p>
    <w:p>
      <w:pPr>
        <w:spacing w:after="0" w:line="92" w:lineRule="exact"/>
        <w:rPr>
          <w:sz w:val="20"/>
          <w:szCs w:val="20"/>
          <w:color w:val="auto"/>
        </w:rPr>
      </w:pPr>
    </w:p>
    <w:p>
      <w:pPr>
        <w:ind w:left="1980" w:right="1019" w:hanging="352"/>
        <w:spacing w:after="0" w:line="259"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and political conditions and uncertainties in the United States, the United Kingdom, the European Union and/or its member states, China or other major economies around the world, including, among other things, the proposed exit by the United Kingdom from the European Union (“Brexit”);</w:t>
      </w:r>
    </w:p>
    <w:p>
      <w:pPr>
        <w:spacing w:after="0" w:line="78" w:lineRule="exact"/>
        <w:rPr>
          <w:rFonts w:ascii="Arial" w:cs="Arial" w:eastAsia="Arial" w:hAnsi="Arial"/>
          <w:sz w:val="18"/>
          <w:szCs w:val="18"/>
          <w:color w:val="auto"/>
        </w:rPr>
      </w:pPr>
    </w:p>
    <w:p>
      <w:pPr>
        <w:ind w:left="1980" w:right="1319" w:hanging="352"/>
        <w:spacing w:after="0" w:line="342" w:lineRule="auto"/>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69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right="157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concerns over inflation and weakening consumer and investor confidence levels;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concerns over credit default or bankruptcy of one or more sovereign nations or corporate entities;</w:t>
      </w:r>
    </w:p>
    <w:p>
      <w:pPr>
        <w:spacing w:after="0" w:line="128" w:lineRule="exact"/>
        <w:rPr>
          <w:rFonts w:ascii="Arial" w:cs="Arial" w:eastAsia="Arial" w:hAnsi="Arial"/>
          <w:sz w:val="17"/>
          <w:szCs w:val="17"/>
          <w:color w:val="auto"/>
        </w:rPr>
      </w:pPr>
    </w:p>
    <w:p>
      <w:pPr>
        <w:ind w:left="1980" w:right="699" w:hanging="352"/>
        <w:spacing w:after="0" w:line="308" w:lineRule="auto"/>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legislative and regulatory changes, including changes to financial industry regulations and tax laws that could limit the ability of market participants to engage in a wider array of trading activities;</w:t>
      </w:r>
    </w:p>
    <w:p>
      <w:pPr>
        <w:spacing w:after="0" w:line="51"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threatened acts of war, terrorism or other armed hostilities.</w:t>
      </w:r>
    </w:p>
    <w:p>
      <w:pPr>
        <w:spacing w:after="0" w:line="117"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5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In the event of stagnant economic conditions or stability in the U.S. and/or global financial markets, we would likely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could be jeopardized, which, in turn, could further discourage clients and further accelerate the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79"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3"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We face intense competition in both the financial services industry generally and the institutional, wholesale and retail client sectors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56"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0"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trading protocols we offer our clients.</w:t>
      </w:r>
    </w:p>
    <w:p>
      <w:pPr>
        <w:spacing w:after="0" w:line="64"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recently acquired BondPoint, TMC Bonds and IDC, in an effort to expand its portfolio of fixed income products and services. In addition, in 2018, CME Group completed its acquisition of NEX Group, which expands CME Group’s</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96" w:lineRule="auto"/>
        <w:rPr>
          <w:sz w:val="20"/>
          <w:szCs w:val="20"/>
          <w:color w:val="auto"/>
        </w:rPr>
      </w:pPr>
      <w:r>
        <w:rPr>
          <w:rFonts w:ascii="Arial" w:cs="Arial" w:eastAsia="Arial" w:hAnsi="Arial"/>
          <w:sz w:val="16"/>
          <w:szCs w:val="16"/>
          <w:color w:val="auto"/>
        </w:rPr>
        <w:t>offerings to include NEX Group’s OTC foreign exchange and rates products and market data. If, as a result of industry consolidation, our competitors are able to offer lower cost (including fixed cost proceeds compared to our variable fees)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5"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0"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116" w:lineRule="exact"/>
        <w:rPr>
          <w:sz w:val="20"/>
          <w:szCs w:val="20"/>
          <w:color w:val="auto"/>
        </w:rPr>
      </w:pPr>
    </w:p>
    <w:p>
      <w:pPr>
        <w:ind w:left="1980" w:right="109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102" w:lineRule="exact"/>
        <w:rPr>
          <w:rFonts w:ascii="Arial" w:cs="Arial" w:eastAsia="Arial" w:hAnsi="Arial"/>
          <w:sz w:val="18"/>
          <w:szCs w:val="18"/>
          <w:color w:val="auto"/>
        </w:rPr>
      </w:pPr>
    </w:p>
    <w:p>
      <w:pPr>
        <w:ind w:left="1980" w:right="759" w:hanging="352"/>
        <w:spacing w:after="0" w:line="286" w:lineRule="auto"/>
        <w:tabs>
          <w:tab w:leader="none" w:pos="1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11" w:lineRule="exact"/>
        <w:rPr>
          <w:rFonts w:ascii="Arial" w:cs="Arial" w:eastAsia="Arial" w:hAnsi="Arial"/>
          <w:sz w:val="17"/>
          <w:szCs w:val="17"/>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171" w:lineRule="exact"/>
        <w:rPr>
          <w:rFonts w:ascii="Arial" w:cs="Arial" w:eastAsia="Arial" w:hAnsi="Arial"/>
          <w:sz w:val="18"/>
          <w:szCs w:val="18"/>
          <w:color w:val="auto"/>
        </w:rPr>
      </w:pPr>
    </w:p>
    <w:p>
      <w:pPr>
        <w:ind w:left="1980" w:right="779" w:hanging="352"/>
        <w:spacing w:after="0" w:line="342" w:lineRule="auto"/>
        <w:tabs>
          <w:tab w:leader="none" w:pos="1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changes on a cost-effective and timely basis;</w:t>
      </w:r>
    </w:p>
    <w:p>
      <w:pPr>
        <w:spacing w:after="0" w:line="56" w:lineRule="exact"/>
        <w:rPr>
          <w:rFonts w:ascii="Arial" w:cs="Arial" w:eastAsia="Arial" w:hAnsi="Arial"/>
          <w:sz w:val="16"/>
          <w:szCs w:val="16"/>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6"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new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7"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53"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4"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6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that are also stockholders to support our marketplaces by transacting with our other institutional, wholesale and retail clients.</w:t>
      </w:r>
    </w:p>
    <w:p>
      <w:pPr>
        <w:spacing w:after="0" w:line="75"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In particular, we have historically earned a substantial portion of our revenues from dealer clients that are also stockholders. We refer to these clients and stockholders as the “Bank Stockholders.” For the nine months ended September 30, 2018 and the years ended December 31, 2017 and 2016, 41.8%, 41.3% and 40.8%, respectively, of our revenues were generated by the Bank Stockholders and their affiliates. Market knowledge and feedback from these Bank Stockholders have been important factors in the development of many of our offerings and solutions. In addition, these Bank Stockholders also provide us with data via feeds and through the transactions they execute on our trading platforms, which is an important input for our market data offerings.</w:t>
      </w:r>
    </w:p>
    <w:p>
      <w:pPr>
        <w:spacing w:after="0" w:line="73"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There are inherent risks whenever a significant percentage of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Bank Stockholder’s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69"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0"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Bank Stockholders may reduce their engagement with us after this offering due to the reduction in the level of their equity ownership following the completion of this offering.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68" w:lineRule="exact"/>
        <w:rPr>
          <w:sz w:val="20"/>
          <w:szCs w:val="20"/>
          <w:color w:val="auto"/>
        </w:rPr>
      </w:pPr>
    </w:p>
    <w:p>
      <w:pPr>
        <w:ind w:left="1260" w:right="77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019"/>
        <w:spacing w:after="0" w:line="263" w:lineRule="auto"/>
        <w:rPr>
          <w:sz w:val="20"/>
          <w:szCs w:val="20"/>
          <w:color w:val="auto"/>
        </w:rPr>
      </w:pPr>
      <w:r>
        <w:rPr>
          <w:rFonts w:ascii="Arial" w:cs="Arial" w:eastAsia="Arial" w:hAnsi="Arial"/>
          <w:sz w:val="18"/>
          <w:szCs w:val="18"/>
          <w:color w:val="auto"/>
        </w:rPr>
        <w:t>significant reduction in their use of our platforms and solutions could have a material negative impact on our trading volumes and revenues, and materially adversely affect our business, financial condition and results of operations.</w:t>
      </w:r>
    </w:p>
    <w:p>
      <w:pPr>
        <w:spacing w:after="0" w:line="170" w:lineRule="exact"/>
        <w:rPr>
          <w:sz w:val="20"/>
          <w:szCs w:val="20"/>
          <w:color w:val="auto"/>
        </w:rPr>
      </w:pPr>
    </w:p>
    <w:p>
      <w:pPr>
        <w:ind w:left="1260" w:right="81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0"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6"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4"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58"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4" w:lineRule="exact"/>
        <w:rPr>
          <w:sz w:val="20"/>
          <w:szCs w:val="20"/>
          <w:color w:val="auto"/>
        </w:rPr>
      </w:pPr>
    </w:p>
    <w:p>
      <w:pPr>
        <w:ind w:left="1260" w:right="659" w:firstLine="360"/>
        <w:spacing w:after="0" w:line="293" w:lineRule="auto"/>
        <w:rPr>
          <w:sz w:val="20"/>
          <w:szCs w:val="20"/>
          <w:color w:val="auto"/>
        </w:rPr>
      </w:pPr>
      <w:r>
        <w:rPr>
          <w:rFonts w:ascii="Arial" w:cs="Arial" w:eastAsia="Arial" w:hAnsi="Arial"/>
          <w:sz w:val="16"/>
          <w:szCs w:val="16"/>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1" w:lineRule="exact"/>
        <w:rPr>
          <w:sz w:val="20"/>
          <w:szCs w:val="20"/>
          <w:color w:val="auto"/>
        </w:rPr>
      </w:pPr>
    </w:p>
    <w:p>
      <w:pPr>
        <w:ind w:left="1260" w:right="1279"/>
        <w:spacing w:after="0" w:line="307"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 or solution could materially harm our business and reputation.</w:t>
      </w:r>
    </w:p>
    <w:p>
      <w:pPr>
        <w:spacing w:after="0" w:line="2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Our business depends on the efficient and uninterrupted operation of our platforms, systems, networks and infrastructure. We cannot assure you that we, or our third-party providers, will not experience systems failures or business interruptions. Our systems, networks, infrastructure and other operations, in particular our trading platforms, are vulnerable to impact or interruption from a wide variety of causes, including: irregular or heavy use of our trading platforms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or terrorism;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1"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79"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swap execution facilities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8"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0"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 and infrastructure.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improperly modify or degrade our information, systems, networks and infrastructure,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or malfunctions in our operations, which could result in reputational damage, financial losses, client dissatisfaction and/or regulatory fines and penalties, which may not in all cases be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or other security vulnerabilities and to protect against damage caused by disruptions or cyber-attacks that may occur.</w:t>
      </w:r>
    </w:p>
    <w:p>
      <w:pPr>
        <w:spacing w:after="0" w:line="64"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56"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Although we have not been a victim of a cyber-attacks or other cyber incidents that have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trading platforms, security measures and reliability, which would materially harm our ability to retain clients and gain new ones.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115"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The success of our trading platforms depends in part on our pre- and post-trade data, analytics and reporting solutions. We depend upon data and information services from external sources, including data received from certain competitors, clients and self-regulatory organizations for information used on our marketplaces, as well as certain data, analytical tools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6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substantial number of our key data sources and information providers withdraw or are unable to provide us with their data or information services,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2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59" w:firstLine="360"/>
        <w:spacing w:after="0" w:line="311"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are dependent upon our trading counterparties and clearinghouses to perform their obligations to us.</w:t>
      </w:r>
    </w:p>
    <w:p>
      <w:pPr>
        <w:spacing w:after="0" w:line="127"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and futures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160" w:lineRule="exact"/>
        <w:rPr>
          <w:sz w:val="20"/>
          <w:szCs w:val="20"/>
          <w:color w:val="auto"/>
        </w:rPr>
      </w:pPr>
    </w:p>
    <w:p>
      <w:pPr>
        <w:ind w:left="1260" w:right="65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power loss, telecommunications failure, software or hardware malfunctions, theft, cyber-attacks, war or terrorist attacks. In addition, employee misconduct or error could expose us to significant liability, losses, regulatory sanctions and reputational harm. Misconduct or error by employees could include engaging in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service providers or clients. If our systems were to fail or be negatively impacted as a result of an unforeseen or catastrophic event, our business functions could be interrupted, our ability to make our trading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29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We have experienced significant growth in our operations over the years. However, we cannot assure you that our operations will continue to grow at a similar rate, if at all. In particular, we cannot assure you that the growth of electronic means of trading will continue.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6"/>
          <w:szCs w:val="16"/>
          <w:color w:val="auto"/>
        </w:rPr>
        <w:t>The success of our growth plan depends, in part, on our ability to implement our business strategies. In particular, our growth depends on our ability to maintain and expand our network of global market participants that utilize our platforms, as well as to continue to integrate them across geographies and a wide range of asset classes, trade types and trade sizes within our marketplaces. Our growth also depends on, among other things, clients increasing the use of our trading platforms and attracting new clients to increase our overall market share. Our growth may also be dependent on our ability to further diversify our revenue base. We currently derive approximately 56% of our gross revenue from our Rates asset class. Our long-term growth plan includes expanding the growth of our underlying asset classes, including the number of products we offer across those asset classes, by investing in product development, and increasing our revenues, by growing in our existing markets and entering into new markets. Although our long-term growth plan includes entering into new asset classes, we may not enter into new asset classes in the near term. We cannot assure you that we will be able to successfully execute our growth plan or be able to maintain or improve our current level of business, and we may decide to alter or discontinue certain aspects of our growth plan at any time.</w:t>
      </w:r>
    </w:p>
    <w:p>
      <w:pPr>
        <w:spacing w:after="0" w:line="52"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 adopted may extend over many months or years, if ever. Even after incurring these costs, such platform, platform feature or solution may not achieve market acceptance.</w:t>
      </w:r>
    </w:p>
    <w:p>
      <w:pPr>
        <w:spacing w:after="0" w:line="84"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35"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66"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60" w:lineRule="exact"/>
        <w:rPr>
          <w:sz w:val="20"/>
          <w:szCs w:val="20"/>
          <w:color w:val="auto"/>
        </w:rPr>
      </w:pPr>
    </w:p>
    <w:p>
      <w:pPr>
        <w:jc w:val="both"/>
        <w:ind w:left="1260" w:right="779" w:firstLine="360"/>
        <w:spacing w:after="0" w:line="311" w:lineRule="auto"/>
        <w:rPr>
          <w:sz w:val="20"/>
          <w:szCs w:val="20"/>
          <w:color w:val="auto"/>
        </w:rPr>
      </w:pPr>
      <w:r>
        <w:rPr>
          <w:rFonts w:ascii="Arial" w:cs="Arial" w:eastAsia="Arial" w:hAnsi="Arial"/>
          <w:sz w:val="16"/>
          <w:szCs w:val="16"/>
          <w:color w:val="auto"/>
        </w:rPr>
        <w:t>We cannot assure you that we will be able to successfully adapt our platforms, solutions and technology for use in any new markets. Even if we do adapt our products, services and technologies, we cannot assure you that we will be able to attract clients to our platforms and compete successfully in any such new markets.</w:t>
      </w:r>
    </w:p>
    <w:p>
      <w:pPr>
        <w:spacing w:after="0" w:line="27"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2005. There can be no assurance that we will be able to successfully maintain or grow our operations abroad.</w:t>
      </w:r>
    </w:p>
    <w:p>
      <w:pPr>
        <w:spacing w:after="0" w:line="66"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84" w:lineRule="exact"/>
        <w:rPr>
          <w:sz w:val="20"/>
          <w:szCs w:val="20"/>
          <w:color w:val="auto"/>
        </w:rPr>
      </w:pPr>
    </w:p>
    <w:p>
      <w:pPr>
        <w:ind w:left="1260" w:right="117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35"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we may further expand our international operations, including in the Netherlands, where we</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are currently seeking regulatory approval.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79" w:lineRule="exact"/>
        <w:rPr>
          <w:sz w:val="20"/>
          <w:szCs w:val="20"/>
          <w:color w:val="auto"/>
        </w:rPr>
      </w:pPr>
    </w:p>
    <w:p>
      <w:pPr>
        <w:ind w:left="1980" w:right="71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62" w:lineRule="exact"/>
        <w:rPr>
          <w:rFonts w:ascii="Arial" w:cs="Arial" w:eastAsia="Arial" w:hAnsi="Arial"/>
          <w:sz w:val="18"/>
          <w:szCs w:val="18"/>
          <w:color w:val="auto"/>
        </w:rPr>
      </w:pPr>
    </w:p>
    <w:p>
      <w:pPr>
        <w:ind w:left="1980" w:right="145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w:t>
      </w:r>
    </w:p>
    <w:p>
      <w:pPr>
        <w:spacing w:after="0" w:line="62" w:lineRule="exact"/>
        <w:rPr>
          <w:rFonts w:ascii="Arial" w:cs="Arial" w:eastAsia="Arial" w:hAnsi="Arial"/>
          <w:sz w:val="18"/>
          <w:szCs w:val="18"/>
          <w:color w:val="auto"/>
        </w:rPr>
      </w:pPr>
    </w:p>
    <w:p>
      <w:pPr>
        <w:ind w:left="1980" w:right="123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62" w:lineRule="exact"/>
        <w:rPr>
          <w:rFonts w:ascii="Arial" w:cs="Arial" w:eastAsia="Arial" w:hAnsi="Arial"/>
          <w:sz w:val="18"/>
          <w:szCs w:val="18"/>
          <w:color w:val="auto"/>
        </w:rPr>
      </w:pPr>
    </w:p>
    <w:p>
      <w:pPr>
        <w:ind w:left="1980" w:right="799" w:hanging="352"/>
        <w:spacing w:after="0" w:line="308" w:lineRule="auto"/>
        <w:tabs>
          <w:tab w:leader="none" w:pos="1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38"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other trade barriers or international trade agreements;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conversion;</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17"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62" w:lineRule="exact"/>
        <w:rPr>
          <w:rFonts w:ascii="Arial" w:cs="Arial" w:eastAsia="Arial" w:hAnsi="Arial"/>
          <w:sz w:val="18"/>
          <w:szCs w:val="18"/>
          <w:color w:val="auto"/>
        </w:rPr>
      </w:pPr>
    </w:p>
    <w:p>
      <w:pPr>
        <w:ind w:left="1980" w:right="1019" w:hanging="352"/>
        <w:spacing w:after="0" w:line="263"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30"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hyperinflationary conditions and political instability.</w:t>
      </w:r>
    </w:p>
    <w:p>
      <w:pPr>
        <w:spacing w:after="0" w:line="62"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conditions, less developed and predictable legal and regulatory regimes and increased potential for various types of adverse governmental action.</w:t>
      </w:r>
    </w:p>
    <w:p>
      <w:pPr>
        <w:spacing w:after="0" w:line="164"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919" w:firstLine="360"/>
        <w:spacing w:after="0" w:line="270" w:lineRule="auto"/>
        <w:rPr>
          <w:sz w:val="20"/>
          <w:szCs w:val="20"/>
          <w:color w:val="auto"/>
        </w:rPr>
      </w:pPr>
      <w:r>
        <w:rPr>
          <w:rFonts w:ascii="Arial" w:cs="Arial" w:eastAsia="Arial" w:hAnsi="Arial"/>
          <w:sz w:val="17"/>
          <w:szCs w:val="17"/>
          <w:color w:val="auto"/>
        </w:rPr>
        <w:t>In March 2017, the United Kingdom government invoked article 50 of the Lisbon Treaty and formally initiated the process of negotiations with the European Union regarding the United Kingdom’s exit from the European Union. As a result, the United Kingdom is currently scheduled to exit the European Union on March 29, 2019. The terms of the United Kingdom’s withdrawal continue to be subject to negotiation. Brexit, together with the protracted negotiations around the terms of the withdrawal, could significantly impact the business environment in which we and our clients operate, increase the cost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w:t>
      </w:r>
    </w:p>
    <w:p>
      <w:pPr>
        <w:sectPr>
          <w:pgSz w:w="11900" w:h="16838" w:orient="portrait"/>
          <w:cols w:equalWidth="0" w:num="1">
            <w:col w:w="10139"/>
          </w:cols>
          <w:pgMar w:left="320" w:top="132" w:right="1440" w:bottom="1440" w:gutter="0" w:footer="0" w:header="0"/>
        </w:sectPr>
      </w:pP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63" w:lineRule="auto"/>
        <w:rPr>
          <w:sz w:val="20"/>
          <w:szCs w:val="20"/>
          <w:color w:val="auto"/>
        </w:rPr>
      </w:pPr>
      <w:r>
        <w:rPr>
          <w:rFonts w:ascii="Arial" w:cs="Arial" w:eastAsia="Arial" w:hAnsi="Arial"/>
          <w:sz w:val="18"/>
          <w:szCs w:val="18"/>
          <w:color w:val="auto"/>
        </w:rPr>
        <w:t>significantly affect the fiscal, monetary and regulatory landscape in both the United Kingdom and the European Union, and may have a material impact on their respective economies. It is unclear how Brexit will affect liquidity in our marketplaces.</w:t>
      </w:r>
    </w:p>
    <w:p>
      <w:pPr>
        <w:spacing w:after="0" w:line="76"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Significantly, the effects of Brexit will depend on any agreements the United Kingdom makes to retain access to the European Union single market. Discussions between the United Kingdom and the European Union regarding a transitional period following Brexit contemplate a temporary continuation of the existing passporting rights that allow financial services firms to operate throughout the European Union. However, it is not possible to predict with any certainty whether the United Kingdom and the European Union will be able to agree on a transitional period, which laws and policies will apply during any such transitional period, whether we would be able to rely on the existing passporting regime during a transitional period or the length of such period. In the event of no political agreement on a transitional period, regulated financial services firms and trading venues based in the United Kingdom will lose such passporting rights. This potential loss of passporting rights will affect us and many of our clients. For us, it means our UK authorized subsidiary will no longer be able to provide services to EU clients other than in limited circumstances. As a result, we have started the process of establishing a new regulated subsidiary in a different member state of the European Union in order to be in a position to be able to continue to serve clients in the European Union following Brexit and any transitional period. No assurance can be given that such a subsidiary will obtain authorization before Brexit or at all. We will face regulatory and operational costs and challenges associated with the establishment of any new regulated subsidiaries in the European Union and the management of a client and employee base that is less centralized in London.</w:t>
      </w:r>
    </w:p>
    <w:p>
      <w:pPr>
        <w:spacing w:after="0" w:line="83"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Brexit may also lead to legal uncertainty and potentially divergent national laws and regulations as the United Kingdom determines which European Union laws to replace or replicate. Accordingly, the cost and complexity of operating across increasingly divergent regulatory regimes could increase following Brexit, which could have a material adverse effect on our business, financial condition, and results of operations.</w:t>
      </w:r>
    </w:p>
    <w:p>
      <w:pPr>
        <w:spacing w:after="0" w:line="63"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color w:val="auto"/>
        </w:rPr>
        <w:t>Further, although we have an international client base, we could also be materially adversely affected by reduced growth in the United Kingdom economy and increased volatility in the rate of exchange of the pound sterling.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and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increasing interest rates (particularly short-term rates), have caused, and may continue to cause, significant volatility in currency exchange rates, especially among the U.S. dollar, the pound sterling and the euro.</w:t>
      </w:r>
    </w:p>
    <w:p>
      <w:pPr>
        <w:spacing w:after="0" w:line="71"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While we engage in hedging activity to attempt to mitigate currency exchange rate risk, these hedging activities may not be effective, particularly in the event of inaccurate forecasts of the levels of our non-U.S. dollar denominated assets and liabilities. Accordingly, if there are adverse movements in exchange rates, we may suffer significant losses, which would materially adversely affect our financial condition and results of operations.</w:t>
      </w:r>
    </w:p>
    <w:p>
      <w:pPr>
        <w:spacing w:after="0" w:line="144" w:lineRule="exact"/>
        <w:rPr>
          <w:sz w:val="20"/>
          <w:szCs w:val="20"/>
          <w:color w:val="auto"/>
        </w:rPr>
      </w:pPr>
    </w:p>
    <w:p>
      <w:pPr>
        <w:ind w:left="1260" w:right="1159"/>
        <w:spacing w:after="0" w:line="274"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53"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From time to time, we may consider acquisitions, which may not be completed or, if completed, may not be ultimately beneficial to us. We have made several acquisitions in the past, including the purchase of the Hilliard Farber &amp; Co. business in 2008, the Rafferty Capital Markets business in 2011, BondDesk in</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84"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w:t>
      </w:r>
    </w:p>
    <w:p>
      <w:pPr>
        <w:spacing w:after="0" w:line="2" w:lineRule="exact"/>
        <w:rPr>
          <w:sz w:val="20"/>
          <w:szCs w:val="20"/>
          <w:color w:val="auto"/>
        </w:rPr>
      </w:pPr>
    </w:p>
    <w:p>
      <w:pPr>
        <w:ind w:left="1260" w:right="779" w:firstLine="8"/>
        <w:spacing w:after="0" w:line="268" w:lineRule="auto"/>
        <w:tabs>
          <w:tab w:leader="none" w:pos="15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In addition, it is possible that perceived or actual violations of these requirements could give rise to litigation or regulatory enforcement action or result in us not receiving the necessary approvals to complete a desired acquisition.</w:t>
      </w:r>
    </w:p>
    <w:p>
      <w:pPr>
        <w:spacing w:after="0" w:line="7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Furthermore, even if we complete an acquisition, the anticipated benefits from such acquisition may not be achieved unless the operations of the acquired business, product or technology are integrated in an efficient, cost-effective and timely manner. The integration of any acquired business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our acquisitions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employees and clients.</w:t>
      </w:r>
    </w:p>
    <w:p>
      <w:pPr>
        <w:spacing w:after="0" w:line="7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products, services or personnel; (vi) retaining future liabilities as a result of contractual indemnity obligations; and (vii) loss of, or damage to our relationships with, any of our key employees, clients, suppliers or other business partners.</w:t>
      </w:r>
    </w:p>
    <w:p>
      <w:pPr>
        <w:spacing w:after="0" w:line="57"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62"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that any strategic alliance, partnership or strategic alliance we have entered into or may enter into will be successful. In particular, these arrangements may not generate the expected number of new clients or increased trading volume or other benefits we seek. Unsuccessful strategic alliances, partnerships or joint ventures could harm our reputation and have a material adverse effect on our business, financial condition and results of operations.</w:t>
      </w:r>
    </w:p>
    <w:p>
      <w:pPr>
        <w:spacing w:after="0" w:line="164"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70"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03"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48"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service, security breaches or perceived security breaches;</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90"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and our competitors, including disruptive technology, or any other change in the competitive dynamics of our industry, including consolidation or new entrants among competitors, market participants or strategic alliances;</w:t>
      </w:r>
    </w:p>
    <w:p>
      <w:pPr>
        <w:spacing w:after="0" w:line="65"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03" w:lineRule="exact"/>
        <w:rPr>
          <w:rFonts w:ascii="Arial" w:cs="Arial" w:eastAsia="Arial" w:hAnsi="Arial"/>
          <w:sz w:val="18"/>
          <w:szCs w:val="18"/>
          <w:color w:val="auto"/>
        </w:rPr>
      </w:pPr>
    </w:p>
    <w:p>
      <w:pPr>
        <w:ind w:left="1980" w:right="819" w:hanging="352"/>
        <w:spacing w:after="0" w:line="342" w:lineRule="auto"/>
        <w:tabs>
          <w:tab w:leader="none" w:pos="1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products, services, technologies or businesses and potential future charges for impairment of goodwill from acquired companies; and</w:t>
      </w:r>
    </w:p>
    <w:p>
      <w:pPr>
        <w:spacing w:after="0" w:line="2" w:lineRule="exact"/>
        <w:rPr>
          <w:rFonts w:ascii="Arial" w:cs="Arial" w:eastAsia="Arial" w:hAnsi="Arial"/>
          <w:sz w:val="16"/>
          <w:szCs w:val="16"/>
          <w:color w:val="auto"/>
        </w:rPr>
      </w:pPr>
    </w:p>
    <w:p>
      <w:pPr>
        <w:ind w:left="1980" w:right="75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w:t>
      </w:r>
    </w:p>
    <w:p>
      <w:pPr>
        <w:spacing w:after="0" w:line="157"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3" w:lineRule="exact"/>
        <w:rPr>
          <w:sz w:val="20"/>
          <w:szCs w:val="20"/>
          <w:color w:val="auto"/>
        </w:rPr>
      </w:pPr>
    </w:p>
    <w:p>
      <w:pPr>
        <w:jc w:val="both"/>
        <w:ind w:left="1260" w:right="1239" w:firstLine="360"/>
        <w:spacing w:after="0" w:line="311" w:lineRule="auto"/>
        <w:rPr>
          <w:sz w:val="20"/>
          <w:szCs w:val="20"/>
          <w:color w:val="auto"/>
        </w:rPr>
      </w:pPr>
      <w:r>
        <w:rPr>
          <w:rFonts w:ascii="Arial" w:cs="Arial" w:eastAsia="Arial" w:hAnsi="Arial"/>
          <w:sz w:val="16"/>
          <w:szCs w:val="16"/>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0"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or manage our business effectively.</w:t>
      </w:r>
    </w:p>
    <w:p>
      <w:pPr>
        <w:spacing w:after="0" w:line="173"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62"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and any impropriety, misconduct or fraudulent activity by any personnel formerly or currently associated with us.</w:t>
      </w:r>
    </w:p>
    <w:p>
      <w:pPr>
        <w:spacing w:after="0" w:line="87"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5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personnel cannot be completely eliminated or mitigated and may materially harm our reputation, business, financial condition and results of operations.</w:t>
      </w:r>
    </w:p>
    <w:p>
      <w:pPr>
        <w:spacing w:after="0" w:line="170"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products, services or technologies that are substantially equivalent or superior to our logos, products, services or technologies.</w:t>
      </w:r>
    </w:p>
    <w:p>
      <w:pPr>
        <w:sectPr>
          <w:pgSz w:w="11900" w:h="16838" w:orient="portrait"/>
          <w:cols w:equalWidth="0" w:num="1">
            <w:col w:w="10139"/>
          </w:cols>
          <w:pgMar w:left="320" w:top="132" w:right="1440" w:bottom="1440" w:gutter="0" w:footer="0" w:header="0"/>
        </w:sect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services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8" w:lineRule="exact"/>
        <w:rPr>
          <w:sz w:val="20"/>
          <w:szCs w:val="20"/>
          <w:color w:val="auto"/>
        </w:rPr>
      </w:pPr>
    </w:p>
    <w:p>
      <w:pPr>
        <w:ind w:left="1260" w:right="81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87"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products, services, technology or practices or discontinue use of such products, services, technologies or practices. Any development efforts could require significant effort and expense and, as result, our business, results of operations, and financial condition could be materially adversely affected.</w:t>
      </w:r>
    </w:p>
    <w:p>
      <w:pPr>
        <w:spacing w:after="0" w:line="165" w:lineRule="exact"/>
        <w:rPr>
          <w:sz w:val="20"/>
          <w:szCs w:val="20"/>
          <w:color w:val="auto"/>
        </w:rPr>
      </w:pPr>
    </w:p>
    <w:p>
      <w:pPr>
        <w:ind w:left="1260" w:right="81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Financial Conduct Authority (“FCA”) in the United Kingdom, the Monetary Authority of Singapore, the Hong Kong Securities and Futures Commission, the Investment Industry Regulatory Organization of Canada and provincial regulators in Canada, the Japanese Financial Services Agency and the Japan Securities Dealers Association.</w:t>
      </w:r>
    </w:p>
    <w:p>
      <w:pPr>
        <w:spacing w:after="0" w:line="66"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7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0"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Some of our subsidiaries are subject to regulations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the composition of the board of directors or similar body or the appointment of new officers, and, may include similar changes that occur at Tradeweb Markets Inc.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57" w:lineRule="exact"/>
        <w:rPr>
          <w:sz w:val="20"/>
          <w:szCs w:val="20"/>
          <w:color w:val="auto"/>
        </w:rPr>
      </w:pPr>
    </w:p>
    <w:p>
      <w:pPr>
        <w:ind w:left="1260" w:right="659" w:firstLine="360"/>
        <w:spacing w:after="0" w:line="293" w:lineRule="auto"/>
        <w:rPr>
          <w:sz w:val="20"/>
          <w:szCs w:val="20"/>
          <w:color w:val="auto"/>
        </w:rPr>
      </w:pPr>
      <w:r>
        <w:rPr>
          <w:rFonts w:ascii="Arial" w:cs="Arial" w:eastAsia="Arial" w:hAnsi="Arial"/>
          <w:sz w:val="16"/>
          <w:szCs w:val="16"/>
          <w:color w:val="auto"/>
        </w:rPr>
        <w:t>Our ability to operate our trading platforms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6"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4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may be difficult to assess or quantify.</w:t>
      </w:r>
    </w:p>
    <w:p>
      <w:pPr>
        <w:spacing w:after="0" w:line="6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the normal course of our business, we have been, and expect in the future to continue to be,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4"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75" w:lineRule="auto"/>
        <w:rPr>
          <w:sz w:val="20"/>
          <w:szCs w:val="20"/>
          <w:color w:val="auto"/>
        </w:rPr>
      </w:pPr>
      <w:r>
        <w:rPr>
          <w:rFonts w:ascii="Arial" w:cs="Arial" w:eastAsia="Arial" w:hAnsi="Arial"/>
          <w:sz w:val="17"/>
          <w:szCs w:val="17"/>
          <w:color w:val="auto"/>
        </w:rPr>
        <w:t>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3"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initiatives, and may promulgate new or revised, or adopt changes in the interpretation and enforcement of existing,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73" w:lineRule="exact"/>
        <w:rPr>
          <w:sz w:val="20"/>
          <w:szCs w:val="20"/>
          <w:color w:val="auto"/>
        </w:rPr>
      </w:pPr>
    </w:p>
    <w:p>
      <w:pPr>
        <w:ind w:left="1260" w:right="699" w:firstLine="360"/>
        <w:spacing w:after="0" w:line="288" w:lineRule="auto"/>
        <w:rPr>
          <w:sz w:val="20"/>
          <w:szCs w:val="20"/>
          <w:color w:val="auto"/>
        </w:rPr>
      </w:pPr>
      <w:r>
        <w:rPr>
          <w:rFonts w:ascii="Arial" w:cs="Arial" w:eastAsia="Arial" w:hAnsi="Arial"/>
          <w:sz w:val="16"/>
          <w:szCs w:val="16"/>
          <w:color w:val="auto"/>
        </w:rPr>
        <w:t>Changes in legislation and in the rules and regulations promulgated by domestic and foreign regulators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the financial instruments we hold.</w:t>
      </w:r>
    </w:p>
    <w:p>
      <w:pPr>
        <w:spacing w:after="0" w:line="60"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in a manner that can successfully compete against other methods of trading.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w:t>
      </w:r>
    </w:p>
    <w:p>
      <w:pPr>
        <w:spacing w:after="0" w:line="7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73" w:lineRule="exact"/>
        <w:rPr>
          <w:sz w:val="20"/>
          <w:szCs w:val="20"/>
          <w:color w:val="auto"/>
        </w:rPr>
      </w:pPr>
    </w:p>
    <w:p>
      <w:pPr>
        <w:ind w:left="1260" w:right="135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75"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Certain types of information we collect, compile, store, use, transfer and/or publish are subject to numerous federal, state, local, and foreign laws and regulations regarding privacy, data protection and information security These laws and regulations govern the storing, sharing, use, processing, transfer, disclosure and protection of personal information and other content. The scope of these laws and regulations are changing, subject to differing interpretations, may be inconsistent among countries or conflict with other rules. We are also subject to the terms of our privacy policies and obligations to third parties related to applicable privacy, data protection, and information security.</w:t>
      </w:r>
    </w:p>
    <w:p>
      <w:pPr>
        <w:spacing w:after="0" w:line="8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regulatory framework for privacy and data protection worldwide is uncertain, and is likely to remain uncertain for the foreseeable future, and we expect that there will continue to be new laws,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73"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Our efforts to comply with privacy, data protection and information security laws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53"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7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On December 22, 2017, President Trump signed into law a comprehensive tax reform bill (the “Tax Cuts and Jobs Act,” or the “TCJA”) that significantly reforms the Internal Revenue Code of 1986, as amended. The TCJA, among other things, contains significant changes to corporate taxation, including a reduction of the corporate income tax rate, a partial limitation on the deductibility of business interest expense, limitation of the deduction for certain net operating losses to 80% of current year taxable income, an indefinite carryforward of certain net operating losses, immediate deductions for certain new investments instead of deductions for depreciation expense over time and the modification or repeal of many business deductions and credits. We continue to examine the impact of this tax reform legislation, and as its overall impact is uncertain, we note that the TCJA could adversely affect our business and financial condition. The impact of this tax reform legislation on holders of our Class A common stock is also uncertain and could be adverse.</w:t>
      </w:r>
    </w:p>
    <w:p>
      <w:pPr>
        <w:spacing w:after="0" w:line="172" w:lineRule="exact"/>
        <w:rPr>
          <w:sz w:val="20"/>
          <w:szCs w:val="20"/>
          <w:color w:val="auto"/>
        </w:rPr>
      </w:pPr>
    </w:p>
    <w:p>
      <w:pPr>
        <w:ind w:left="1260" w:right="759"/>
        <w:spacing w:after="0" w:line="274"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3" w:lineRule="exact"/>
        <w:rPr>
          <w:sz w:val="20"/>
          <w:szCs w:val="20"/>
          <w:color w:val="auto"/>
        </w:rPr>
      </w:pPr>
    </w:p>
    <w:p>
      <w:pPr>
        <w:ind w:left="1260" w:right="1059" w:firstLine="360"/>
        <w:spacing w:after="0" w:line="301" w:lineRule="auto"/>
        <w:rPr>
          <w:sz w:val="20"/>
          <w:szCs w:val="20"/>
          <w:color w:val="auto"/>
        </w:rPr>
      </w:pPr>
      <w:r>
        <w:rPr>
          <w:rFonts w:ascii="Arial" w:cs="Arial" w:eastAsia="Arial" w:hAnsi="Arial"/>
          <w:sz w:val="16"/>
          <w:szCs w:val="16"/>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risk management personnel. While we have policies and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or the lack of adequate, accurate or timely information. If our risk-management programs and efforts are ineffective, we could suffer losses that could have a material adverse effect on our financial condition and results of operations.</w:t>
      </w:r>
    </w:p>
    <w:p>
      <w:pPr>
        <w:spacing w:after="0" w:line="70"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69"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6"/>
          <w:szCs w:val="16"/>
          <w:color w:val="auto"/>
        </w:rPr>
        <w:t>We are from time to time involved in various litigation matters and claims, including lawsuits regarding employment matters, breach of contract matters and other business and commercial matters. See “Business — Legal Proceedings.”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lawsuits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0"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62" w:lineRule="exact"/>
        <w:rPr>
          <w:sz w:val="20"/>
          <w:szCs w:val="20"/>
          <w:color w:val="auto"/>
        </w:rPr>
      </w:pPr>
    </w:p>
    <w:p>
      <w:pPr>
        <w:ind w:left="1260" w:right="899" w:firstLine="360"/>
        <w:spacing w:after="0" w:line="293" w:lineRule="auto"/>
        <w:rPr>
          <w:sz w:val="20"/>
          <w:szCs w:val="20"/>
          <w:color w:val="auto"/>
        </w:rPr>
      </w:pPr>
      <w:r>
        <w:rPr>
          <w:rFonts w:ascii="Arial" w:cs="Arial" w:eastAsia="Arial" w:hAnsi="Arial"/>
          <w:sz w:val="16"/>
          <w:szCs w:val="16"/>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51"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62" w:lineRule="exact"/>
        <w:rPr>
          <w:sz w:val="20"/>
          <w:szCs w:val="20"/>
          <w:color w:val="auto"/>
        </w:rPr>
      </w:pPr>
    </w:p>
    <w:p>
      <w:pPr>
        <w:ind w:left="1260" w:right="1079" w:firstLine="360"/>
        <w:spacing w:after="0" w:line="311" w:lineRule="auto"/>
        <w:rPr>
          <w:sz w:val="20"/>
          <w:szCs w:val="20"/>
          <w:color w:val="auto"/>
        </w:rPr>
      </w:pPr>
      <w:r>
        <w:rPr>
          <w:rFonts w:ascii="Arial" w:cs="Arial" w:eastAsia="Arial" w:hAnsi="Arial"/>
          <w:sz w:val="16"/>
          <w:szCs w:val="16"/>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w:t>
      </w:r>
    </w:p>
    <w:p>
      <w:pPr>
        <w:spacing w:after="0" w:line="2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64"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75"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As of September 30, 2018, we had goodwill of $563.4 million and indefinite-lived intangible assets of $12.0 million, which relate primarily to the acquisition of Tradeweb Group LLC in 2004, our merger with Tradeweb NewMarkets LLC in 2010, the purchase of the Rafferty Capital Markets business in 2011 and the purchase of BondDesk in 2013, and we expect the amount of goodwill to increase as a result of the Refinitiv Transaction. The carrying value of goodwill represents the fair value of an acquired business in excess of identifiable assets and liabilities as of the acquisition date. The carrying value of indefinite-lived intangible assets represents the fair value of trademarks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5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202" w:lineRule="exact"/>
        <w:rPr>
          <w:sz w:val="20"/>
          <w:szCs w:val="20"/>
          <w:color w:val="auto"/>
        </w:rPr>
      </w:pPr>
    </w:p>
    <w:p>
      <w:pPr>
        <w:jc w:val="both"/>
        <w:ind w:left="1260" w:right="659"/>
        <w:spacing w:after="0" w:line="235" w:lineRule="auto"/>
        <w:rPr>
          <w:sz w:val="20"/>
          <w:szCs w:val="20"/>
          <w:color w:val="auto"/>
        </w:rPr>
      </w:pPr>
      <w:r>
        <w:rPr>
          <w:rFonts w:ascii="Arial" w:cs="Arial" w:eastAsia="Arial" w:hAnsi="Arial"/>
          <w:sz w:val="18"/>
          <w:szCs w:val="18"/>
          <w:b w:val="1"/>
          <w:bCs w:val="1"/>
          <w:i w:val="1"/>
          <w:iCs w:val="1"/>
          <w:color w:val="auto"/>
        </w:rPr>
        <w:t>Our principal asset after the completion of this offering will be our interest in TWM LLC, and, accordingly, we will depend on distributions from TWM LLC to pay our taxes and expenses, including payments under the Tax Receivable Agreement.</w:t>
      </w:r>
    </w:p>
    <w:p>
      <w:pPr>
        <w:spacing w:after="0" w:line="8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are a holding company and, upon completion of the Reorganization Transactions, including this offering, our principal asset will be our ownership of LLC Interests of TWM LLC. We will have no independent means of generating revenue or cash flow, and our ability to pay our taxes and operating expenses or declare and pay dividends in the future, if any,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87"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We will also incur expenses related to our operations, including payments under the Tax Receivable Agreement, which we expect could be significant. See “Certain Relationships and Related Party Transactions — Related Party Transactions Entered Into in Connection With This Offering — Tax Receivable Agreement.” We intend, as its sole manager, to cause TWM LLC to make cash distributions to the owners of LLC Interests in an amount sufficient to (i) fund all or part of their tax obligations in respect of taxable income allocated to them and</w:t>
      </w:r>
    </w:p>
    <w:p>
      <w:pPr>
        <w:spacing w:after="0" w:line="2" w:lineRule="exact"/>
        <w:rPr>
          <w:sz w:val="20"/>
          <w:szCs w:val="20"/>
          <w:color w:val="auto"/>
        </w:rPr>
      </w:pPr>
    </w:p>
    <w:p>
      <w:pPr>
        <w:ind w:left="1260" w:right="779" w:firstLine="8"/>
        <w:spacing w:after="0" w:line="251" w:lineRule="auto"/>
        <w:tabs>
          <w:tab w:leader="none" w:pos="15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 our operating expenses, including payments under the Tax Receivable Agreement. However,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In addition, when TWM LLC makes distributions the Continuing LLC Owners will be entitled to receive proportionate distributions based on their economic interests in TWM LLC. If we do not have sufficient funds to pay tax or other liabilities or to fund our operations, we may have to borrow funds, which could materially adversely affect our liquidity and financial condition and subject us to various restrictions imposed by any such lenders. To the extent that we are unable to make</w:t>
      </w: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89" w:lineRule="auto"/>
        <w:rPr>
          <w:sz w:val="20"/>
          <w:szCs w:val="20"/>
          <w:color w:val="auto"/>
        </w:rPr>
      </w:pPr>
      <w:r>
        <w:rPr>
          <w:rFonts w:ascii="Arial" w:cs="Arial" w:eastAsia="Arial" w:hAnsi="Arial"/>
          <w:sz w:val="16"/>
          <w:szCs w:val="16"/>
          <w:color w:val="auto"/>
        </w:rPr>
        <w:t>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This Offering — Tax Receivable Agreement” and “Certain Relationships and Related Party Transactions — Related Party Transactions Entered Into in Connection With This Offering — TWM LLC Agreement.” In addition, if TWM LLC does not have sufficient funds to make distributions, our ability to declare and pay cash dividends will also be restricted or impaired. See “— Risks Relating to This Offering and Ownership of Our Class A Common Stock” and “Dividend Policy.”</w:t>
      </w:r>
    </w:p>
    <w:p>
      <w:pPr>
        <w:spacing w:after="0" w:line="153" w:lineRule="exact"/>
        <w:rPr>
          <w:sz w:val="20"/>
          <w:szCs w:val="20"/>
          <w:color w:val="auto"/>
        </w:rPr>
      </w:pPr>
    </w:p>
    <w:p>
      <w:pPr>
        <w:ind w:left="1260" w:right="67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659" w:firstLine="360"/>
        <w:spacing w:after="0" w:line="284" w:lineRule="auto"/>
        <w:rPr>
          <w:sz w:val="20"/>
          <w:szCs w:val="20"/>
          <w:color w:val="auto"/>
        </w:rPr>
      </w:pPr>
      <w:r>
        <w:rPr>
          <w:rFonts w:ascii="Arial" w:cs="Arial" w:eastAsia="Arial" w:hAnsi="Arial"/>
          <w:sz w:val="16"/>
          <w:szCs w:val="16"/>
          <w:color w:val="auto"/>
        </w:rPr>
        <w:t>TWM LLC will continue to be treated as a partnership for U.S. federal income tax purposes and, as such, will not be subject to any entity-level U.S. federal income tax. Instead, taxable income will be allocated to holders of LLC Interests, including us. Accordingly, we will incur income taxes on our allocable share of any net taxable income of TWM LLC. Under the TWM LLC Agreement, TWM LLC will generally be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interests in TWM LLC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obligations under the Tax Receivable Agreement and the payment of other expenses. We will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us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 See “Certain Relationships and Related Party Transactions — Related Party Transactions Entered Into in Connection With This Offering — TWM LLC Agreement.”</w:t>
      </w:r>
    </w:p>
    <w:p>
      <w:pPr>
        <w:spacing w:after="0" w:line="377"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0"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Upon the closing of this offering, we will be a party to the Tax Receivable Agreement with the Continuing LLC Owners. Under the Tax Receivable Agreement, we will be required to make cash payments to a Continuing LLC Owner equal to 50% of the U.S. federal, state and local income or franchise tax savings, if any, that we actually realize, or in certain circumstances are deemed to realize, as a result of, for such Continuing LLC Owner,</w:t>
      </w:r>
    </w:p>
    <w:p>
      <w:pPr>
        <w:spacing w:after="0" w:line="1" w:lineRule="exact"/>
        <w:rPr>
          <w:sz w:val="20"/>
          <w:szCs w:val="20"/>
          <w:color w:val="auto"/>
        </w:rPr>
      </w:pPr>
    </w:p>
    <w:p>
      <w:pPr>
        <w:ind w:left="1260" w:right="759" w:firstLine="8"/>
        <w:spacing w:after="0" w:line="253" w:lineRule="auto"/>
        <w:tabs>
          <w:tab w:leader="none" w:pos="14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tax basis in TWM LLC’s assets resulting from (a) the purchase of LLC Interests from such Continuing LLC Owner using the net proceeds from this or any future offering, (b) redemptions or exchanges by such Continuing LLC Owner of LLC Interests for shares of our Class A common stock or Class B Common Stock or for cash, as applicable, as described under</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89" w:lineRule="auto"/>
        <w:rPr>
          <w:sz w:val="20"/>
          <w:szCs w:val="20"/>
          <w:color w:val="auto"/>
        </w:rPr>
      </w:pPr>
      <w:r>
        <w:rPr>
          <w:rFonts w:ascii="Arial" w:cs="Arial" w:eastAsia="Arial" w:hAnsi="Arial"/>
          <w:sz w:val="16"/>
          <w:szCs w:val="16"/>
          <w:color w:val="auto"/>
        </w:rPr>
        <w:t>“The Reorganization Transactions,” or (c) payments under the Tax Receivable Agreement and (ii) tax benefits related to imputed interest deemed to arise as a result of payments made under the Tax Receivable Agreement. We expect that the amount of the cash payments that we will be required to make under the Tax Receivable Agreement will be significant. Any payments made by us to the Continuing LLC Owners under the Tax Receivable Agreement will generally reduce the amount of overall cash flow that might have otherwise been available to us.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 — Tax Receivable Agreement.”</w:t>
      </w:r>
    </w:p>
    <w:p>
      <w:pPr>
        <w:spacing w:after="0" w:line="58" w:lineRule="exact"/>
        <w:rPr>
          <w:sz w:val="20"/>
          <w:szCs w:val="20"/>
          <w:color w:val="auto"/>
        </w:rPr>
      </w:pPr>
    </w:p>
    <w:p>
      <w:pPr>
        <w:ind w:left="1260" w:right="679" w:firstLine="360"/>
        <w:spacing w:after="0" w:line="283"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purchase, redemption or exchange,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assuming (i) that the Continuing LLC Owners redeemed or exchanged all of their LLC Interests immediately after the completion of this offering, (ii) no material changes in relevant tax law, and (iii) that we earn sufficient taxable income in each year to realize on a current basis all tax benefits that are subject to the Tax Receivable Agreement, based on the assumed initial public offering price of</w:t>
      </w:r>
    </w:p>
    <w:p>
      <w:pPr>
        <w:spacing w:after="0" w:line="2" w:lineRule="exact"/>
        <w:rPr>
          <w:sz w:val="20"/>
          <w:szCs w:val="20"/>
          <w:color w:val="auto"/>
        </w:rPr>
      </w:pPr>
    </w:p>
    <w:p>
      <w:pPr>
        <w:ind w:left="2160" w:hanging="892"/>
        <w:spacing w:after="0"/>
        <w:tabs>
          <w:tab w:leader="none" w:pos="2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 share of our Class A common stock, which is the midpoint of the price range set forth on the</w:t>
      </w:r>
    </w:p>
    <w:p>
      <w:pPr>
        <w:spacing w:after="0" w:line="20"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6"/>
          <w:szCs w:val="16"/>
          <w:color w:val="auto"/>
        </w:rPr>
        <w:t>cover page of this prospectus, we expect that the tax savings we would be deemed to realize would aggregate</w:t>
      </w:r>
    </w:p>
    <w:p>
      <w:pPr>
        <w:spacing w:after="0" w:line="222" w:lineRule="exact"/>
        <w:rPr>
          <w:sz w:val="20"/>
          <w:szCs w:val="20"/>
          <w:color w:val="auto"/>
        </w:rPr>
      </w:pPr>
    </w:p>
    <w:p>
      <w:pPr>
        <w:ind w:left="1260" w:right="959"/>
        <w:spacing w:after="0" w:line="271" w:lineRule="auto"/>
        <w:rPr>
          <w:sz w:val="20"/>
          <w:szCs w:val="20"/>
          <w:color w:val="auto"/>
        </w:rPr>
      </w:pPr>
      <w:r>
        <w:rPr>
          <w:rFonts w:ascii="Arial" w:cs="Arial" w:eastAsia="Arial" w:hAnsi="Arial"/>
          <w:sz w:val="17"/>
          <w:szCs w:val="17"/>
          <w:color w:val="auto"/>
        </w:rPr>
        <w:t>approximately $ over the 15-year period from the assumed date of such redemption or exchange, and over such period we would be required to pay the Continuing LLC Owners 50% of such amount, or approximately $ , over such period. The actual amounts we may be required to pay under the Tax</w:t>
      </w:r>
    </w:p>
    <w:p>
      <w:pPr>
        <w:ind w:left="1260" w:right="679"/>
        <w:spacing w:after="0" w:line="285" w:lineRule="auto"/>
        <w:rPr>
          <w:sz w:val="20"/>
          <w:szCs w:val="20"/>
          <w:color w:val="auto"/>
        </w:rPr>
      </w:pPr>
      <w:r>
        <w:rPr>
          <w:rFonts w:ascii="Arial" w:cs="Arial" w:eastAsia="Arial" w:hAnsi="Arial"/>
          <w:sz w:val="16"/>
          <w:szCs w:val="16"/>
          <w:color w:val="auto"/>
        </w:rPr>
        <w:t>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Tax Receivable Agreement”). Payments under the Tax Receivable Agreement are not conditioned on any Continuing LLC Owner’s continued ownership of LLC Interests or our Class A common stock after this offering.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58" w:lineRule="exact"/>
        <w:rPr>
          <w:sz w:val="20"/>
          <w:szCs w:val="20"/>
          <w:color w:val="auto"/>
        </w:rPr>
      </w:pPr>
    </w:p>
    <w:p>
      <w:pPr>
        <w:ind w:left="1260" w:right="779"/>
        <w:spacing w:after="0" w:line="25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as applicable, to the same extent as it will benefit the Continuing LLC Owners. We will enter into the Tax Receivable Agreement with TWM LLC and the Continuing LLC Owners and it will provide for the payment by us to the Continuing LLC Owners of 50% of the tax benefits, if any, that we actually realize, or in certain circumstances are deemed to realize, as a result of (i) an increase in tax basis in TWM LLC’s assets resulting from (a) the purchase of LLC Interests from the Continuing LLC Owners using the net proceeds from this or any future offering, (b) redemptions or exchanges by the Continuing LLC Owners of LLC Interests for shares of our Class A common stock or Class B Common Stock or for</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cash, as applicable, as described under “The Reorganization Transactions,” or (c) payments under the Tax Receivable Agreement and (ii) tax benefits related to imputed interest deemed to arise as a result of payments made under the Tax Receivable Agreement. Although we will retain 50% of the amount of such tax benefits, this and other aspects of our organizational structure may adversely impact the future trading market for the Class A common stock.</w:t>
      </w:r>
    </w:p>
    <w:p>
      <w:pPr>
        <w:spacing w:after="0" w:line="174"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Tax Receivable Agreement provides that upon certain mergers, asset sales, other forms of business combinations or other changes of control or if, at any time, we elect an early termination of the Tax Receivable Agreement, then our obligations, or our successor’s obligations, under the Tax Receivable Agreement to make payments thereunder would be accelerated and calculated based on certain assumptions, including an assumption that we would have sufficient taxable income to fully utilize all potential future tax benefits that are subject to the Tax Receivable Agreement.</w:t>
      </w:r>
    </w:p>
    <w:p>
      <w:pPr>
        <w:spacing w:after="0" w:line="84" w:lineRule="exact"/>
        <w:rPr>
          <w:sz w:val="20"/>
          <w:szCs w:val="20"/>
          <w:color w:val="auto"/>
        </w:rPr>
      </w:pPr>
    </w:p>
    <w:p>
      <w:pPr>
        <w:ind w:left="1260" w:right="699" w:firstLine="360"/>
        <w:spacing w:after="0" w:line="288" w:lineRule="auto"/>
        <w:rPr>
          <w:sz w:val="20"/>
          <w:szCs w:val="20"/>
          <w:color w:val="auto"/>
        </w:rPr>
      </w:pPr>
      <w:r>
        <w:rPr>
          <w:rFonts w:ascii="Arial" w:cs="Arial" w:eastAsia="Arial" w:hAnsi="Arial"/>
          <w:sz w:val="16"/>
          <w:szCs w:val="16"/>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155"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68" w:lineRule="exact"/>
        <w:rPr>
          <w:sz w:val="20"/>
          <w:szCs w:val="20"/>
          <w:color w:val="auto"/>
        </w:rPr>
      </w:pPr>
    </w:p>
    <w:p>
      <w:pPr>
        <w:ind w:left="1260" w:right="699"/>
        <w:spacing w:after="0" w:line="343"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7" w:lineRule="exact"/>
        <w:rPr>
          <w:sz w:val="20"/>
          <w:szCs w:val="20"/>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57" w:lineRule="exact"/>
        <w:rPr>
          <w:rFonts w:ascii="Arial" w:cs="Arial" w:eastAsia="Arial" w:hAnsi="Arial"/>
          <w:sz w:val="18"/>
          <w:szCs w:val="18"/>
          <w:color w:val="auto"/>
        </w:rPr>
      </w:pPr>
    </w:p>
    <w:p>
      <w:pPr>
        <w:ind w:left="1980" w:right="879" w:hanging="352"/>
        <w:spacing w:after="0" w:line="308" w:lineRule="auto"/>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future earnings being lower than anticipated in countries where we have lower statutory tax rates and higher than anticipated earnings in countries where we have higher statutory tax rates.</w:t>
      </w:r>
    </w:p>
    <w:p>
      <w:pPr>
        <w:spacing w:after="0" w:line="3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6"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Legislation that is effective for taxable years beginning after December 31, 2017 may impute liability for adjustments to a partnership’s tax return on the partnership itself in certain circumstances, absent an election to the contrary. TWM LLC may be subject to material liabilities pursuant to this legislation and related guidance if, for example, its calculations of taxable income are incorrect.</w:t>
      </w:r>
    </w:p>
    <w:p>
      <w:pPr>
        <w:spacing w:after="0" w:line="173" w:lineRule="exact"/>
        <w:rPr>
          <w:sz w:val="20"/>
          <w:szCs w:val="20"/>
          <w:color w:val="auto"/>
        </w:rPr>
      </w:pPr>
    </w:p>
    <w:p>
      <w:pPr>
        <w:ind w:left="1260" w:right="739"/>
        <w:spacing w:after="0" w:line="303" w:lineRule="auto"/>
        <w:rPr>
          <w:sz w:val="20"/>
          <w:szCs w:val="20"/>
          <w:color w:val="auto"/>
        </w:rPr>
      </w:pPr>
      <w:r>
        <w:rPr>
          <w:rFonts w:ascii="Arial" w:cs="Arial" w:eastAsia="Arial" w:hAnsi="Arial"/>
          <w:sz w:val="15"/>
          <w:szCs w:val="15"/>
          <w:b w:val="1"/>
          <w:bCs w:val="1"/>
          <w:i w:val="1"/>
          <w:iCs w:val="1"/>
          <w:color w:val="auto"/>
        </w:rPr>
        <w:t>If we were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35"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As the sole manager of TWM LLC, we will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We and TWM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40" w:lineRule="exact"/>
        <w:rPr>
          <w:sz w:val="20"/>
          <w:szCs w:val="20"/>
          <w:color w:val="auto"/>
        </w:rPr>
      </w:pPr>
    </w:p>
    <w:p>
      <w:pPr>
        <w:jc w:val="both"/>
        <w:ind w:left="1260" w:right="1719" w:firstLine="1085"/>
        <w:spacing w:after="0" w:line="500" w:lineRule="auto"/>
        <w:rPr>
          <w:sz w:val="20"/>
          <w:szCs w:val="20"/>
          <w:color w:val="auto"/>
        </w:rPr>
      </w:pPr>
      <w:r>
        <w:rPr>
          <w:rFonts w:ascii="Arial" w:cs="Arial" w:eastAsia="Arial" w:hAnsi="Arial"/>
          <w:sz w:val="15"/>
          <w:szCs w:val="15"/>
          <w:b w:val="1"/>
          <w:bCs w:val="1"/>
          <w:color w:val="auto"/>
        </w:rPr>
        <w:t xml:space="preserve">Risks Relating to This Offering and Ownership of Our Class A Common Stock </w:t>
      </w:r>
      <w:r>
        <w:rPr>
          <w:rFonts w:ascii="Arial" w:cs="Arial" w:eastAsia="Arial" w:hAnsi="Arial"/>
          <w:sz w:val="15"/>
          <w:szCs w:val="15"/>
          <w:b w:val="1"/>
          <w:bCs w:val="1"/>
          <w:i w:val="1"/>
          <w:iCs w:val="1"/>
          <w:color w:val="auto"/>
        </w:rPr>
        <w:t>The Refinitiv Owners control us and their interests may conflict with ours or yours in the future.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Immediately following this offering and the application of the net proceeds from this offering, the Refinitiv</w:t>
      </w:r>
    </w:p>
    <w:p>
      <w:pPr>
        <w:spacing w:after="0" w:line="35" w:lineRule="exact"/>
        <w:rPr>
          <w:sz w:val="20"/>
          <w:szCs w:val="20"/>
          <w:color w:val="auto"/>
        </w:rPr>
      </w:pPr>
    </w:p>
    <w:p>
      <w:pPr>
        <w:ind w:left="1260" w:right="659"/>
        <w:spacing w:after="0" w:line="268" w:lineRule="auto"/>
        <w:rPr>
          <w:sz w:val="20"/>
          <w:szCs w:val="20"/>
          <w:color w:val="auto"/>
        </w:rPr>
      </w:pPr>
      <w:r>
        <w:rPr>
          <w:rFonts w:ascii="Arial" w:cs="Arial" w:eastAsia="Arial" w:hAnsi="Arial"/>
          <w:sz w:val="17"/>
          <w:szCs w:val="17"/>
          <w:color w:val="auto"/>
        </w:rPr>
        <w:t>Owners will control approximately % of the combined voting power of our common stock as a result of their ownership of our Class B common stock and Class D common stock, each share of which is entitled to 10 votes on all matters submitted to a vote of our stockholders. Accordingly, for such period of time as the Refinitiv Owners hold a controlling interest in us, the Refinitiv Owners will have significant influence with respect to our management, business plans and policies. In particular, the Refinitiv Owners will be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73"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Refinitiv Owners and their respective affiliates engage in a broad spectrum of activities. In the ordinary course of their business activities, the Refinitiv Owners and their respective affiliates may engage in activities where their interests conflict with our interests or those of our stockholders. Our amended and restated certificate of incorporation will provide that none of the Refinitiv Owners, any of their respective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1" w:lineRule="auto"/>
        <w:rPr>
          <w:sz w:val="20"/>
          <w:szCs w:val="20"/>
          <w:color w:val="auto"/>
        </w:rPr>
      </w:pPr>
      <w:r>
        <w:rPr>
          <w:rFonts w:ascii="Arial" w:cs="Arial" w:eastAsia="Arial" w:hAnsi="Arial"/>
          <w:sz w:val="17"/>
          <w:szCs w:val="17"/>
          <w:color w:val="auto"/>
        </w:rPr>
        <w:t>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Refinitiv Owners and their respective affiliates also may pursue acquisition opportunities that may be complementary to our business, and, as a result, those acquisition opportunities may not be available to us. In addition, the Refinitiv Owners and their respective affiliates may have an interest in us pursuing acquisitions, divestitures and other transactions that, in their judgment, could enhance their investment, even though such transactions might involve risks to you.</w:t>
      </w:r>
    </w:p>
    <w:p>
      <w:pPr>
        <w:spacing w:after="0" w:line="165" w:lineRule="exact"/>
        <w:rPr>
          <w:sz w:val="20"/>
          <w:szCs w:val="20"/>
          <w:color w:val="auto"/>
        </w:rPr>
      </w:pPr>
    </w:p>
    <w:p>
      <w:pPr>
        <w:ind w:left="1260" w:right="1019"/>
        <w:spacing w:after="0" w:line="274" w:lineRule="auto"/>
        <w:rPr>
          <w:sz w:val="20"/>
          <w:szCs w:val="20"/>
          <w:color w:val="auto"/>
        </w:rPr>
      </w:pPr>
      <w:r>
        <w:rPr>
          <w:rFonts w:ascii="Arial" w:cs="Arial" w:eastAsia="Arial" w:hAnsi="Arial"/>
          <w:sz w:val="17"/>
          <w:szCs w:val="17"/>
          <w:b w:val="1"/>
          <w:bCs w:val="1"/>
          <w:i w:val="1"/>
          <w:iCs w:val="1"/>
          <w:color w:val="auto"/>
        </w:rPr>
        <w:t>Immediately following the consummation of this offering, the Refinitiv Direct Owners and the Continuing LLC Owners may require us to issue additional shares of our Class A common stock.</w:t>
      </w:r>
    </w:p>
    <w:p>
      <w:pPr>
        <w:spacing w:after="0" w:line="53"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After this offering, we will have an aggregate of more than shares of Class A common stock authorized but unissued, including approximately shares of Class A common stock (or shares, if the underwriters</w:t>
      </w:r>
    </w:p>
    <w:p>
      <w:pPr>
        <w:ind w:left="1260"/>
        <w:spacing w:after="0"/>
        <w:rPr>
          <w:sz w:val="20"/>
          <w:szCs w:val="20"/>
          <w:color w:val="auto"/>
        </w:rPr>
      </w:pPr>
      <w:r>
        <w:rPr>
          <w:rFonts w:ascii="Arial" w:cs="Arial" w:eastAsia="Arial" w:hAnsi="Arial"/>
          <w:sz w:val="16"/>
          <w:szCs w:val="16"/>
          <w:color w:val="auto"/>
        </w:rPr>
        <w:t>exercise in full their option to purchase additional shares of Class A common stock) issuable upon the redemption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 exchange of LLC Interests that will be held by the Continuing LLC Owners or the exchange of shares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that will be held by the Refinitiv Direct Owners and any other future holders of Class B</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TWM LLC will enter into the TWM LLC Agreement and, subject to certain restrictions set forth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therein and as described elsewhere in this prospectus, the Continuing LLC Owners will be entitled to have their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LLC Interests redeemed for newly issued shares of our Class A common stock or Class B common stock, in each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case, on a one-for-one basis (in which case such holders’ shares of Class C common stock or Class D common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as the case may be, will be cancelled on a one-for-one basis upon any such issuance). Shares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may also be exchanged at any time, at the option of the holder, for newly issued shares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A common stock (in which case such holders’ shares of Class B common stock will be cancelled on a one-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for-one basis upon any such issuance).</w:t>
      </w:r>
    </w:p>
    <w:p>
      <w:pPr>
        <w:spacing w:after="0" w:line="10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74" w:lineRule="exact"/>
        <w:rPr>
          <w:sz w:val="20"/>
          <w:szCs w:val="20"/>
          <w:color w:val="auto"/>
        </w:rPr>
      </w:pPr>
    </w:p>
    <w:p>
      <w:pPr>
        <w:ind w:left="1260" w:right="69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the and, as a result, will qualify for, and may rely on, exemptions from certain corporate governance requirements.</w:t>
      </w:r>
    </w:p>
    <w:p>
      <w:pPr>
        <w:spacing w:after="0" w:line="29" w:lineRule="exact"/>
        <w:rPr>
          <w:sz w:val="20"/>
          <w:szCs w:val="20"/>
          <w:color w:val="auto"/>
        </w:rPr>
      </w:pPr>
    </w:p>
    <w:p>
      <w:pPr>
        <w:ind w:left="1260" w:right="699" w:firstLine="360"/>
        <w:spacing w:after="0" w:line="274" w:lineRule="auto"/>
        <w:rPr>
          <w:sz w:val="20"/>
          <w:szCs w:val="20"/>
          <w:color w:val="auto"/>
        </w:rPr>
      </w:pPr>
      <w:r>
        <w:rPr>
          <w:rFonts w:ascii="Arial" w:cs="Arial" w:eastAsia="Arial" w:hAnsi="Arial"/>
          <w:sz w:val="17"/>
          <w:szCs w:val="17"/>
          <w:color w:val="auto"/>
        </w:rPr>
        <w:t>Following this offering, we expect to be a “controlled company” within the meaning of the corporate governance standards of . A company of which more than 50% of the voting power is held by an individual,</w:t>
      </w:r>
    </w:p>
    <w:p>
      <w:pPr>
        <w:ind w:left="1260"/>
        <w:spacing w:after="0"/>
        <w:rPr>
          <w:sz w:val="20"/>
          <w:szCs w:val="20"/>
          <w:color w:val="auto"/>
        </w:rPr>
      </w:pPr>
      <w:r>
        <w:rPr>
          <w:rFonts w:ascii="Arial" w:cs="Arial" w:eastAsia="Arial" w:hAnsi="Arial"/>
          <w:sz w:val="16"/>
          <w:szCs w:val="16"/>
          <w:color w:val="auto"/>
        </w:rPr>
        <w:t>a group or another company is a “controlled company” within the meaning of the corporate governance standards</w:t>
      </w:r>
    </w:p>
    <w:p>
      <w:pPr>
        <w:spacing w:after="0" w:line="32" w:lineRule="exact"/>
        <w:rPr>
          <w:sz w:val="20"/>
          <w:szCs w:val="20"/>
          <w:color w:val="auto"/>
        </w:rPr>
      </w:pPr>
    </w:p>
    <w:p>
      <w:pPr>
        <w:ind w:left="1260"/>
        <w:spacing w:after="0"/>
        <w:tabs>
          <w:tab w:leader="none" w:pos="1880" w:val="left"/>
          <w:tab w:leader="none" w:pos="80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and may elect not to comply with certain corporate governance requirements of</w:t>
      </w:r>
      <w:r>
        <w:rPr>
          <w:sz w:val="20"/>
          <w:szCs w:val="20"/>
          <w:color w:val="auto"/>
        </w:rPr>
        <w:tab/>
      </w:r>
      <w:r>
        <w:rPr>
          <w:rFonts w:ascii="Arial" w:cs="Arial" w:eastAsia="Arial" w:hAnsi="Arial"/>
          <w:sz w:val="17"/>
          <w:szCs w:val="17"/>
          <w:color w:val="auto"/>
        </w:rPr>
        <w:t>, including:</w:t>
      </w:r>
    </w:p>
    <w:p>
      <w:pPr>
        <w:spacing w:after="0" w:line="143" w:lineRule="exact"/>
        <w:rPr>
          <w:sz w:val="20"/>
          <w:szCs w:val="20"/>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57" w:lineRule="exact"/>
        <w:rPr>
          <w:rFonts w:ascii="Arial" w:cs="Arial" w:eastAsia="Arial" w:hAnsi="Arial"/>
          <w:sz w:val="18"/>
          <w:szCs w:val="18"/>
          <w:color w:val="auto"/>
        </w:rPr>
      </w:pPr>
    </w:p>
    <w:p>
      <w:pPr>
        <w:ind w:left="1980" w:right="699" w:hanging="352"/>
        <w:spacing w:after="0" w:line="342" w:lineRule="auto"/>
        <w:tabs>
          <w:tab w:leader="none" w:pos="1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requirement that we have a nominating/corporate governance committee that is composed entirely of independent directors with a written charter addressing the committee’s purpose and responsibilities;</w:t>
      </w:r>
    </w:p>
    <w:p>
      <w:pPr>
        <w:spacing w:after="0" w:line="56" w:lineRule="exact"/>
        <w:rPr>
          <w:rFonts w:ascii="Arial" w:cs="Arial" w:eastAsia="Arial" w:hAnsi="Arial"/>
          <w:sz w:val="16"/>
          <w:szCs w:val="16"/>
          <w:color w:val="auto"/>
        </w:rPr>
      </w:pPr>
    </w:p>
    <w:p>
      <w:pPr>
        <w:ind w:left="1980" w:right="1119" w:hanging="352"/>
        <w:spacing w:after="0" w:line="342" w:lineRule="auto"/>
        <w:tabs>
          <w:tab w:leader="none" w:pos="1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 and</w:t>
      </w:r>
    </w:p>
    <w:p>
      <w:pPr>
        <w:spacing w:after="0" w:line="56" w:lineRule="exact"/>
        <w:rPr>
          <w:rFonts w:ascii="Arial" w:cs="Arial" w:eastAsia="Arial" w:hAnsi="Arial"/>
          <w:sz w:val="16"/>
          <w:szCs w:val="16"/>
          <w:color w:val="auto"/>
        </w:rPr>
      </w:pPr>
    </w:p>
    <w:p>
      <w:pPr>
        <w:ind w:left="1980" w:right="739" w:hanging="352"/>
        <w:spacing w:after="0" w:line="277"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62"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6"/>
          <w:szCs w:val="16"/>
          <w:color w:val="auto"/>
        </w:rPr>
        <w:t>Following this offering, we intend to rely on all of the exemptions listed above. If we do utilize the exemptions, we will not have a majority of independent directors and our nominating and corporate governance and compensation committees will not consist entirely of independent directors. As a result, our board of</w:t>
      </w:r>
    </w:p>
    <w:p>
      <w:pPr>
        <w:spacing w:after="0" w:line="2" w:lineRule="exact"/>
        <w:rPr>
          <w:sz w:val="20"/>
          <w:szCs w:val="20"/>
          <w:color w:val="auto"/>
        </w:rPr>
      </w:pPr>
    </w:p>
    <w:p>
      <w:pPr>
        <w:ind w:left="1260" w:right="679"/>
        <w:spacing w:after="0" w:line="260" w:lineRule="auto"/>
        <w:rPr>
          <w:sz w:val="20"/>
          <w:szCs w:val="20"/>
          <w:color w:val="auto"/>
        </w:rPr>
      </w:pPr>
      <w:r>
        <w:rPr>
          <w:rFonts w:ascii="Arial" w:cs="Arial" w:eastAsia="Arial" w:hAnsi="Arial"/>
          <w:sz w:val="18"/>
          <w:szCs w:val="18"/>
          <w:color w:val="auto"/>
        </w:rPr>
        <w:t>directors and those committees may have more directors who do not meet independence standards than they would if those standards were to apply. The independence standards are intended to</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color w:val="auto"/>
        </w:rPr>
        <w:t>ensure that directors who meet those standards are free of any conflicting interest that could influence their actions as directors. Accordingly, you will not have the same protections afforded to stockholders of companies</w:t>
      </w:r>
    </w:p>
    <w:p>
      <w:pPr>
        <w:ind w:left="1260"/>
        <w:spacing w:after="0"/>
        <w:tabs>
          <w:tab w:leader="none" w:pos="6420" w:val="left"/>
        </w:tabs>
        <w:rPr>
          <w:sz w:val="20"/>
          <w:szCs w:val="20"/>
          <w:color w:val="auto"/>
        </w:rPr>
      </w:pPr>
      <w:r>
        <w:rPr>
          <w:rFonts w:ascii="Arial" w:cs="Arial" w:eastAsia="Arial" w:hAnsi="Arial"/>
          <w:sz w:val="17"/>
          <w:szCs w:val="17"/>
          <w:color w:val="auto"/>
        </w:rPr>
        <w:t>that are subject to all of the corporate governance requirements of</w:t>
      </w:r>
      <w:r>
        <w:rPr>
          <w:sz w:val="20"/>
          <w:szCs w:val="20"/>
          <w:color w:val="auto"/>
        </w:rPr>
        <w:tab/>
      </w:r>
      <w:r>
        <w:rPr>
          <w:rFonts w:ascii="Arial" w:cs="Arial" w:eastAsia="Arial" w:hAnsi="Arial"/>
          <w:sz w:val="13"/>
          <w:szCs w:val="13"/>
          <w:color w:val="auto"/>
        </w:rPr>
        <w:t>.</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listing standards require, among other things, that</w:t>
      </w:r>
    </w:p>
    <w:p>
      <w:pPr>
        <w:spacing w:after="0" w:line="144" w:lineRule="exact"/>
        <w:rPr>
          <w:sz w:val="20"/>
          <w:szCs w:val="20"/>
          <w:color w:val="auto"/>
        </w:rPr>
      </w:pPr>
    </w:p>
    <w:p>
      <w:pPr>
        <w:ind w:left="1980" w:right="81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committees be composed of fully independent directors, as determined pursuant to new and existing independence requirements;</w:t>
      </w:r>
    </w:p>
    <w:p>
      <w:pPr>
        <w:spacing w:after="0" w:line="89"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advisers; and</w:t>
      </w:r>
    </w:p>
    <w:p>
      <w:pPr>
        <w:spacing w:after="0" w:line="75"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committees are required to consider, when engaging compensation consultants, legal counsel or other advisers, certain independence factors, including factors that examine the relationship between the consultant or adviser’s employer and us.</w:t>
      </w:r>
    </w:p>
    <w:p>
      <w:pPr>
        <w:spacing w:after="0" w:line="76"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As a “controlled company,” we will not be subject to these compensation committee independence requirements, and accordingly, you will not have the same protections afforded to stockholders of companies that are subject to these compensation committee independence requirements.</w:t>
      </w:r>
    </w:p>
    <w:p>
      <w:pPr>
        <w:spacing w:after="0" w:line="152" w:lineRule="exact"/>
        <w:rPr>
          <w:sz w:val="20"/>
          <w:szCs w:val="20"/>
          <w:color w:val="auto"/>
        </w:rPr>
      </w:pPr>
    </w:p>
    <w:p>
      <w:pPr>
        <w:jc w:val="both"/>
        <w:ind w:left="1260" w:right="819"/>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common stock, and we do not know if one will develop to provide you with adequate liquidity to sell our Class A common stock at prices equal to or greater than the price you paid in this offering.</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Prior to this offering, there has been no public market for our Class A common stock. We cannot predict the</w:t>
      </w:r>
    </w:p>
    <w:p>
      <w:pPr>
        <w:spacing w:after="0" w:line="46" w:lineRule="exact"/>
        <w:rPr>
          <w:sz w:val="20"/>
          <w:szCs w:val="20"/>
          <w:color w:val="auto"/>
        </w:rPr>
      </w:pPr>
    </w:p>
    <w:p>
      <w:pPr>
        <w:ind w:left="1260" w:right="859"/>
        <w:spacing w:after="0" w:line="265" w:lineRule="auto"/>
        <w:rPr>
          <w:sz w:val="20"/>
          <w:szCs w:val="20"/>
          <w:color w:val="auto"/>
        </w:rPr>
      </w:pPr>
      <w:r>
        <w:rPr>
          <w:rFonts w:ascii="Arial" w:cs="Arial" w:eastAsia="Arial" w:hAnsi="Arial"/>
          <w:sz w:val="17"/>
          <w:szCs w:val="17"/>
          <w:color w:val="auto"/>
        </w:rPr>
        <w:t>extent to which investor interest in us will lead to the development of a trading market on , or otherwise or how active and liquid that market may come to be. Although we have been authorized to list our Class A common stock on , if an active trading market for our Class A common stock does not develop following</w:t>
      </w:r>
    </w:p>
    <w:p>
      <w:pPr>
        <w:ind w:left="1260" w:right="819"/>
        <w:spacing w:after="0" w:line="253" w:lineRule="auto"/>
        <w:rPr>
          <w:sz w:val="20"/>
          <w:szCs w:val="20"/>
          <w:color w:val="auto"/>
        </w:rPr>
      </w:pPr>
      <w:r>
        <w:rPr>
          <w:rFonts w:ascii="Arial" w:cs="Arial" w:eastAsia="Arial" w:hAnsi="Arial"/>
          <w:sz w:val="18"/>
          <w:szCs w:val="18"/>
          <w:color w:val="auto"/>
        </w:rPr>
        <w:t>this offering, you may not be able to sell your shares quickly or at or above the initial public offering price. The initial public offering price for our shares will be determined by negotiations between us and the representatives of the underwriters, and this price may not be indicative of prices that will prevail in the open market following this offering. Consequently, you may not be able to sell our Class A common stock at prices equal to or greater than the price you paid in this offering.</w:t>
      </w:r>
    </w:p>
    <w:p>
      <w:pPr>
        <w:spacing w:after="0" w:line="177"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of our Class A common stock:</w:t>
      </w:r>
    </w:p>
    <w:p>
      <w:pPr>
        <w:spacing w:after="0" w:line="107" w:lineRule="exact"/>
        <w:rPr>
          <w:sz w:val="20"/>
          <w:szCs w:val="20"/>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expectations or trends;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concerning our competitors or our industry in general;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67" w:lineRule="exact"/>
        <w:rPr>
          <w:rFonts w:ascii="Arial" w:cs="Arial" w:eastAsia="Arial" w:hAnsi="Arial"/>
          <w:sz w:val="16"/>
          <w:szCs w:val="16"/>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failure of securities analysts to cover the Company or changes in analysts’ financial estimates;</w:t>
      </w:r>
    </w:p>
    <w:p>
      <w:pPr>
        <w:spacing w:after="0" w:line="142" w:lineRule="exact"/>
        <w:rPr>
          <w:rFonts w:ascii="Arial" w:cs="Arial" w:eastAsia="Arial" w:hAnsi="Arial"/>
          <w:sz w:val="17"/>
          <w:szCs w:val="17"/>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political, legal and regulatory factors unrelated to our performance;</w:t>
      </w: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71"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and directors or our stockholders in the future; and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overall fluctuations in the U.S. equity markets.</w:t>
      </w:r>
    </w:p>
    <w:p>
      <w:pPr>
        <w:spacing w:after="0" w:line="117"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70"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 as a result of this offering and any future equity issuances.</w:t>
      </w:r>
    </w:p>
    <w:p>
      <w:pPr>
        <w:spacing w:after="0" w:line="75"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Dilution is the difference between the initial public offering price per share and the pro forma net tangible book value per share of our Class A common stock after this offering. If you purchase shares of Class A common stock in this offering, you will incur immediate and</w:t>
      </w:r>
    </w:p>
    <w:p>
      <w:pPr>
        <w:spacing w:after="0" w:line="1" w:lineRule="exact"/>
        <w:rPr>
          <w:sz w:val="20"/>
          <w:szCs w:val="20"/>
          <w:color w:val="auto"/>
        </w:rPr>
      </w:pPr>
    </w:p>
    <w:p>
      <w:pPr>
        <w:ind w:left="1260"/>
        <w:spacing w:after="0"/>
        <w:tabs>
          <w:tab w:leader="none" w:pos="4420" w:val="left"/>
        </w:tabs>
        <w:rPr>
          <w:sz w:val="20"/>
          <w:szCs w:val="20"/>
          <w:color w:val="auto"/>
        </w:rPr>
      </w:pPr>
      <w:r>
        <w:rPr>
          <w:rFonts w:ascii="Arial" w:cs="Arial" w:eastAsia="Arial" w:hAnsi="Arial"/>
          <w:sz w:val="18"/>
          <w:szCs w:val="18"/>
          <w:color w:val="auto"/>
        </w:rPr>
        <w:t>substantial dilution in the amount of $</w:t>
      </w:r>
      <w:r>
        <w:rPr>
          <w:sz w:val="20"/>
          <w:szCs w:val="20"/>
          <w:color w:val="auto"/>
        </w:rPr>
        <w:tab/>
      </w:r>
      <w:r>
        <w:rPr>
          <w:rFonts w:ascii="Arial" w:cs="Arial" w:eastAsia="Arial" w:hAnsi="Arial"/>
          <w:sz w:val="16"/>
          <w:szCs w:val="16"/>
          <w:color w:val="auto"/>
        </w:rPr>
        <w:t>per share based upon an assumed initial public offering price of</w:t>
      </w:r>
    </w:p>
    <w:p>
      <w:pPr>
        <w:spacing w:after="0" w:line="9" w:lineRule="exact"/>
        <w:rPr>
          <w:sz w:val="20"/>
          <w:szCs w:val="20"/>
          <w:color w:val="auto"/>
        </w:rPr>
      </w:pPr>
    </w:p>
    <w:p>
      <w:pPr>
        <w:ind w:left="1260" w:right="739" w:firstLine="8"/>
        <w:spacing w:after="0" w:line="252" w:lineRule="auto"/>
        <w:tabs>
          <w:tab w:leader="none" w:pos="17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share (the midpoint of the price range listed on the cover page of this prospectus). To the extent outstanding options are ultimately exercised, there will be further dilution to investors in this offering. In addition, if the underwriters exercise in full their option to purchase additional shares of Class A common stock, or if we issue additional equity securities in the future, including to our employees and directors under our equity incentive plans, investors purchasing shares of Class A common stock in this offering will experience additional dilution. See “Dilution.”</w:t>
      </w:r>
    </w:p>
    <w:p>
      <w:pPr>
        <w:spacing w:after="0" w:line="180"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w:t>
      </w:r>
    </w:p>
    <w:p>
      <w:pPr>
        <w:spacing w:after="0" w:line="2" w:lineRule="exact"/>
        <w:rPr>
          <w:sz w:val="20"/>
          <w:szCs w:val="20"/>
          <w:color w:val="auto"/>
        </w:rPr>
      </w:pPr>
    </w:p>
    <w:p>
      <w:pPr>
        <w:ind w:left="1260" w:right="679"/>
        <w:spacing w:after="0" w:line="250" w:lineRule="auto"/>
        <w:rPr>
          <w:sz w:val="20"/>
          <w:szCs w:val="20"/>
          <w:color w:val="auto"/>
        </w:rPr>
      </w:pPr>
      <w:r>
        <w:rPr>
          <w:rFonts w:ascii="Arial" w:cs="Arial" w:eastAsia="Arial" w:hAnsi="Arial"/>
          <w:sz w:val="18"/>
          <w:szCs w:val="18"/>
          <w:color w:val="auto"/>
        </w:rPr>
        <w:t>have outstanding shares of Class A common stock (or if the underwriters exercise in full their option to purchase additional shares of Class A common stock) and shares of Class A common stock that are</w:t>
      </w:r>
    </w:p>
    <w:p>
      <w:pPr>
        <w:spacing w:after="0" w:line="1" w:lineRule="exact"/>
        <w:rPr>
          <w:sz w:val="20"/>
          <w:szCs w:val="20"/>
          <w:color w:val="auto"/>
        </w:rPr>
      </w:pPr>
    </w:p>
    <w:p>
      <w:pPr>
        <w:ind w:left="1260" w:right="979"/>
        <w:spacing w:after="0" w:line="260" w:lineRule="auto"/>
        <w:rPr>
          <w:sz w:val="20"/>
          <w:szCs w:val="20"/>
          <w:color w:val="auto"/>
        </w:rPr>
      </w:pPr>
      <w:r>
        <w:rPr>
          <w:rFonts w:ascii="Arial" w:cs="Arial" w:eastAsia="Arial" w:hAnsi="Arial"/>
          <w:sz w:val="18"/>
          <w:szCs w:val="18"/>
          <w:color w:val="auto"/>
        </w:rPr>
        <w:t>authorized but unissued that would be issuable upon redemption or exchange of LLC Interests or exchange of shares of our Class B common stock.</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and each of our directors and executive officers and substantially all of our other stockholders, which</w:t>
      </w:r>
    </w:p>
    <w:p>
      <w:pPr>
        <w:spacing w:after="0" w:line="35" w:lineRule="exact"/>
        <w:rPr>
          <w:sz w:val="20"/>
          <w:szCs w:val="20"/>
          <w:color w:val="auto"/>
        </w:rPr>
      </w:pPr>
    </w:p>
    <w:p>
      <w:pPr>
        <w:ind w:left="1260" w:right="719"/>
        <w:spacing w:after="0" w:line="281" w:lineRule="auto"/>
        <w:rPr>
          <w:sz w:val="20"/>
          <w:szCs w:val="20"/>
          <w:color w:val="auto"/>
        </w:rPr>
      </w:pPr>
      <w:r>
        <w:rPr>
          <w:rFonts w:ascii="Arial" w:cs="Arial" w:eastAsia="Arial" w:hAnsi="Arial"/>
          <w:sz w:val="16"/>
          <w:szCs w:val="16"/>
          <w:color w:val="auto"/>
        </w:rPr>
        <w:t>collectively will hold % (or %, if the underwriters exercise in full their option to purchase additional shares of Class A common stock) of our outstanding common stock (including shares of Class A common stock issuable upon redemption or exchange of LLC Interests or exchange of shares of our Class B common stock) after giving effect to this offering, have agreed with the underwriters, subject to certain exceptions, not to dispose of or hedge any shares of Class A common stock or securities convertible into or exchangeable for (including the LLC Interests and shares of Class B common stock, Class C common stock and Class D common stock), or that represent the right to receive, shares of Class A common stock during the period from the date of this prospectus continuing through the date 180 days after the date of this prospectus, except with the prior written consent of</w:t>
      </w:r>
    </w:p>
    <w:p>
      <w:pPr>
        <w:spacing w:after="0" w:line="5" w:lineRule="exact"/>
        <w:rPr>
          <w:sz w:val="20"/>
          <w:szCs w:val="20"/>
          <w:color w:val="auto"/>
        </w:rPr>
      </w:pPr>
    </w:p>
    <w:p>
      <w:pPr>
        <w:ind w:left="1260" w:right="659" w:firstLine="368"/>
        <w:spacing w:after="0" w:line="253" w:lineRule="auto"/>
        <w:tabs>
          <w:tab w:leader="none" w:pos="17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85"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of the applicable lock-up period, subject to applicable limitations imposed under federal securities laws. In addition, shares of Class A common stock issued or issuable upon exercise of options</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86" w:lineRule="auto"/>
        <w:rPr>
          <w:sz w:val="20"/>
          <w:szCs w:val="20"/>
          <w:color w:val="auto"/>
        </w:rPr>
      </w:pPr>
      <w:r>
        <w:rPr>
          <w:rFonts w:ascii="Arial" w:cs="Arial" w:eastAsia="Arial" w:hAnsi="Arial"/>
          <w:sz w:val="17"/>
          <w:szCs w:val="17"/>
          <w:color w:val="auto"/>
        </w:rPr>
        <w:t>vested as of the expiration of the lock-up period will be eligible for sale at that time. Sales of shares of our Class A common stock following the expiration of the applicable lock-up period could have a material adverse effect on the trading price of our Class A common stock. See “Shares Eligible for Future Sale.”</w:t>
      </w:r>
    </w:p>
    <w:p>
      <w:pPr>
        <w:spacing w:after="0" w:line="57"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w:t>
      </w:r>
    </w:p>
    <w:p>
      <w:pPr>
        <w:spacing w:after="0" w:line="1" w:lineRule="exact"/>
        <w:rPr>
          <w:sz w:val="20"/>
          <w:szCs w:val="20"/>
          <w:color w:val="auto"/>
        </w:rPr>
      </w:pPr>
    </w:p>
    <w:p>
      <w:pPr>
        <w:ind w:left="1260" w:right="1239"/>
        <w:spacing w:after="0" w:line="260" w:lineRule="auto"/>
        <w:rPr>
          <w:sz w:val="20"/>
          <w:szCs w:val="20"/>
          <w:color w:val="auto"/>
        </w:rPr>
      </w:pPr>
      <w:r>
        <w:rPr>
          <w:rFonts w:ascii="Arial" w:cs="Arial" w:eastAsia="Arial" w:hAnsi="Arial"/>
          <w:sz w:val="18"/>
          <w:szCs w:val="18"/>
          <w:color w:val="auto"/>
        </w:rPr>
        <w:t>lock-up period. We expect that the initial registration statement on Form S-8 will cover shares of our Class A common stock.</w:t>
      </w:r>
    </w:p>
    <w:p>
      <w:pPr>
        <w:spacing w:after="0" w:line="77"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We also intend to enter into a Registration Rights Agreement with . See “Certain Relationships and Related Party Transactions — Related Party Transactions Entered Into in Connection With This Offering — Registration Rights Agreement.”</w:t>
      </w:r>
    </w:p>
    <w:p>
      <w:pPr>
        <w:spacing w:after="0" w:line="170" w:lineRule="exact"/>
        <w:rPr>
          <w:sz w:val="20"/>
          <w:szCs w:val="20"/>
          <w:color w:val="auto"/>
        </w:rPr>
      </w:pPr>
    </w:p>
    <w:p>
      <w:pPr>
        <w:jc w:val="both"/>
        <w:ind w:left="1260" w:right="739"/>
        <w:spacing w:after="0" w:line="276"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markets, or if they adversely change their recommendations or publish negative reports regarding our business or our stock, our stock price and trading volume could materially decline.</w:t>
      </w:r>
    </w:p>
    <w:p>
      <w:pPr>
        <w:spacing w:after="0" w:line="5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markets or our competitors. We do not have any control over these analysts and we cannot provide any assurance that analysts will cover us or provide favorable coverage. If any of the analysts who may cover us adversely change their recommendation regarding our stock, or provide more favorable relative recommendations about our competitors, our stock price could materially decline. If any analyst who may cover us were to cease coverage of our company or fail to regularly publish reports on us, we could lose visibility in the financial markets, which in turn could cause our stock price or trading volume to materially decline.</w:t>
      </w:r>
    </w:p>
    <w:p>
      <w:pPr>
        <w:spacing w:after="0" w:line="165"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b w:val="1"/>
          <w:bCs w:val="1"/>
          <w:i w:val="1"/>
          <w:iCs w:val="1"/>
          <w:color w:val="auto"/>
        </w:rPr>
        <w:t>We intend to pay regular dividends on our Class A common stock and Class B common stock, but our ability to do so may be limited.</w:t>
      </w:r>
    </w:p>
    <w:p>
      <w:pPr>
        <w:spacing w:after="0" w:line="75"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Following the completion of this offering, we intend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68"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See “The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6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23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4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to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25" w:lineRule="exact"/>
        <w:rPr>
          <w:sz w:val="20"/>
          <w:szCs w:val="20"/>
          <w:color w:val="auto"/>
        </w:rPr>
      </w:pPr>
    </w:p>
    <w:p>
      <w:pPr>
        <w:ind w:left="1980" w:right="121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8" w:lineRule="exact"/>
        <w:rPr>
          <w:rFonts w:ascii="Arial" w:cs="Arial" w:eastAsia="Arial" w:hAnsi="Arial"/>
          <w:sz w:val="18"/>
          <w:szCs w:val="18"/>
          <w:color w:val="auto"/>
        </w:rPr>
      </w:pPr>
    </w:p>
    <w:p>
      <w:pPr>
        <w:ind w:left="1980" w:right="959" w:hanging="352"/>
        <w:spacing w:after="0" w:line="299" w:lineRule="auto"/>
        <w:tabs>
          <w:tab w:leader="none" w:pos="1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would 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Arial" w:cs="Arial" w:eastAsia="Arial" w:hAnsi="Arial"/>
          <w:sz w:val="16"/>
          <w:szCs w:val="16"/>
          <w:color w:val="auto"/>
        </w:rPr>
      </w:pPr>
    </w:p>
    <w:p>
      <w:pPr>
        <w:ind w:left="1980" w:hanging="352"/>
        <w:spacing w:after="0"/>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w:t>
      </w:r>
    </w:p>
    <w:p>
      <w:pPr>
        <w:spacing w:after="0" w:line="35" w:lineRule="exact"/>
        <w:rPr>
          <w:sz w:val="20"/>
          <w:szCs w:val="20"/>
          <w:color w:val="auto"/>
        </w:rPr>
      </w:pPr>
    </w:p>
    <w:p>
      <w:pPr>
        <w:ind w:left="1980" w:right="759"/>
        <w:spacing w:after="0" w:line="260" w:lineRule="auto"/>
        <w:rPr>
          <w:sz w:val="20"/>
          <w:szCs w:val="20"/>
          <w:color w:val="auto"/>
        </w:rPr>
      </w:pPr>
      <w:r>
        <w:rPr>
          <w:rFonts w:ascii="Arial" w:cs="Arial" w:eastAsia="Arial" w:hAnsi="Arial"/>
          <w:sz w:val="18"/>
          <w:szCs w:val="18"/>
          <w:color w:val="auto"/>
        </w:rPr>
        <w:t>cease to beneficially own at least % of the total voting power of all then outstanding shares of our capital stock unless such action is recommended by all directors then in office;</w:t>
      </w:r>
    </w:p>
    <w:p>
      <w:pPr>
        <w:spacing w:after="0" w:line="23" w:lineRule="exact"/>
        <w:rPr>
          <w:sz w:val="20"/>
          <w:szCs w:val="20"/>
          <w:color w:val="auto"/>
        </w:rPr>
      </w:pPr>
    </w:p>
    <w:p>
      <w:pPr>
        <w:jc w:val="both"/>
        <w:ind w:left="1980" w:right="799" w:hanging="352"/>
        <w:spacing w:after="0" w:line="253" w:lineRule="auto"/>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 that our stockholders may only amend our bylaws with the approval of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or more in voting power of</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all outstanding shares of our capital stock, if the Refinitiv Owners and their respective affiliates</w:t>
      </w:r>
    </w:p>
    <w:p>
      <w:pPr>
        <w:spacing w:after="0" w:line="19" w:lineRule="exact"/>
        <w:rPr>
          <w:sz w:val="20"/>
          <w:szCs w:val="20"/>
          <w:color w:val="auto"/>
        </w:rPr>
      </w:pPr>
    </w:p>
    <w:p>
      <w:pPr>
        <w:ind w:left="1980" w:right="739"/>
        <w:spacing w:after="0" w:line="260" w:lineRule="auto"/>
        <w:rPr>
          <w:sz w:val="20"/>
          <w:szCs w:val="20"/>
          <w:color w:val="auto"/>
        </w:rPr>
      </w:pPr>
      <w:r>
        <w:rPr>
          <w:rFonts w:ascii="Arial" w:cs="Arial" w:eastAsia="Arial" w:hAnsi="Arial"/>
          <w:sz w:val="18"/>
          <w:szCs w:val="18"/>
          <w:color w:val="auto"/>
        </w:rPr>
        <w:t>beneficially own less than % in voting power of our stock entitled to vote generally in the election of directors; and</w:t>
      </w:r>
    </w:p>
    <w:p>
      <w:pPr>
        <w:spacing w:after="0" w:line="23" w:lineRule="exact"/>
        <w:rPr>
          <w:sz w:val="20"/>
          <w:szCs w:val="20"/>
          <w:color w:val="auto"/>
        </w:rPr>
      </w:pPr>
    </w:p>
    <w:p>
      <w:pPr>
        <w:ind w:left="1980" w:right="115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35"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5" w:lineRule="exact"/>
        <w:rPr>
          <w:sz w:val="20"/>
          <w:szCs w:val="20"/>
          <w:color w:val="auto"/>
        </w:rPr>
      </w:pPr>
    </w:p>
    <w:p>
      <w:pPr>
        <w:ind w:left="1980" w:right="89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8" w:lineRule="exact"/>
        <w:rPr>
          <w:rFonts w:ascii="Arial" w:cs="Arial" w:eastAsia="Arial" w:hAnsi="Arial"/>
          <w:sz w:val="18"/>
          <w:szCs w:val="18"/>
          <w:color w:val="auto"/>
        </w:rPr>
      </w:pPr>
    </w:p>
    <w:p>
      <w:pPr>
        <w:ind w:left="1980" w:right="839" w:hanging="352"/>
        <w:spacing w:after="0" w:line="26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1" w:lineRule="exact"/>
        <w:rPr>
          <w:rFonts w:ascii="Arial" w:cs="Arial" w:eastAsia="Arial" w:hAnsi="Arial"/>
          <w:sz w:val="18"/>
          <w:szCs w:val="18"/>
          <w:color w:val="auto"/>
        </w:rPr>
      </w:pPr>
    </w:p>
    <w:p>
      <w:pPr>
        <w:ind w:left="1980" w:right="699" w:hanging="352"/>
        <w:spacing w:after="0" w:line="271"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55"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62"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37"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54"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unless we consent to the selection of an alternative forum, any (i) derivative action or proceeding brought on behalf of our</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Our amended and restated certificate of incorporation further provides that, unless we consent in writing to the selection of an alternative forum, any proceeding or claim arising pursuant to the federal securities laws of the United States or the securities or antifraud laws of any international, national, state, provincial, territorial, local or other governmental or regulatory authority, including, in each case, the applicable rules and regulations promulgated thereunder shall, to the fullest extent permitted by law, be exclusively brought in the federal district courts of the United States of America.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382"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common stock less attractive to investors.</w:t>
      </w:r>
    </w:p>
    <w:p>
      <w:pPr>
        <w:spacing w:after="0" w:line="75"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8" w:lineRule="exact"/>
        <w:rPr>
          <w:sz w:val="20"/>
          <w:szCs w:val="20"/>
          <w:color w:val="auto"/>
        </w:rPr>
      </w:pPr>
    </w:p>
    <w:p>
      <w:pPr>
        <w:ind w:left="1980" w:right="879" w:hanging="352"/>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21"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8" w:lineRule="exact"/>
        <w:rPr>
          <w:rFonts w:ascii="Arial" w:cs="Arial" w:eastAsia="Arial" w:hAnsi="Arial"/>
          <w:sz w:val="18"/>
          <w:szCs w:val="18"/>
          <w:color w:val="auto"/>
        </w:rPr>
      </w:pPr>
    </w:p>
    <w:p>
      <w:pPr>
        <w:ind w:left="1980" w:right="799" w:hanging="352"/>
        <w:spacing w:after="0" w:line="286"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3" w:lineRule="exact"/>
        <w:rPr>
          <w:rFonts w:ascii="Arial" w:cs="Arial" w:eastAsia="Arial" w:hAnsi="Arial"/>
          <w:sz w:val="17"/>
          <w:szCs w:val="17"/>
          <w:color w:val="auto"/>
        </w:rPr>
      </w:pPr>
    </w:p>
    <w:p>
      <w:pPr>
        <w:ind w:left="1980" w:right="959" w:hanging="352"/>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6"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We currently intend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this offering. We cannot predict if investors will find our common stock less attractive if we elect to rely on these exemptions, or if taking advantage of these exemptions would result in less active trading or more volatility in the price of our Class A common stock.</w:t>
      </w:r>
    </w:p>
    <w:p>
      <w:pPr>
        <w:spacing w:after="0" w:line="173"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75"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w:t>
      </w:r>
    </w:p>
    <w:p>
      <w:pPr>
        <w:spacing w:after="0" w:line="19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87" w:lineRule="auto"/>
        <w:rPr>
          <w:sz w:val="20"/>
          <w:szCs w:val="20"/>
          <w:color w:val="auto"/>
        </w:rPr>
      </w:pPr>
      <w:r>
        <w:rPr>
          <w:rFonts w:ascii="Arial" w:cs="Arial" w:eastAsia="Arial" w:hAnsi="Arial"/>
          <w:sz w:val="16"/>
          <w:szCs w:val="16"/>
          <w:color w:val="auto"/>
        </w:rPr>
        <w:t>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60"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requirements of being a public company, including compliance with the reporting requirements of the</w:t>
      </w:r>
    </w:p>
    <w:p>
      <w:pPr>
        <w:spacing w:after="0" w:line="21" w:lineRule="exact"/>
        <w:rPr>
          <w:sz w:val="20"/>
          <w:szCs w:val="20"/>
          <w:color w:val="auto"/>
        </w:rPr>
      </w:pPr>
    </w:p>
    <w:p>
      <w:pPr>
        <w:ind w:left="1260" w:right="839"/>
        <w:spacing w:after="0" w:line="228" w:lineRule="auto"/>
        <w:rPr>
          <w:sz w:val="20"/>
          <w:szCs w:val="20"/>
          <w:color w:val="auto"/>
        </w:rPr>
      </w:pPr>
      <w:r>
        <w:rPr>
          <w:rFonts w:ascii="Arial" w:cs="Arial" w:eastAsia="Arial" w:hAnsi="Arial"/>
          <w:sz w:val="18"/>
          <w:szCs w:val="18"/>
          <w:b w:val="1"/>
          <w:bCs w:val="1"/>
          <w:i w:val="1"/>
          <w:iCs w:val="1"/>
          <w:color w:val="auto"/>
        </w:rPr>
        <w:t>Exchange Act and the requirements of the Sarbanes-Oxley Act and , may strain our resources, increase our costs and divert management’s attention, and we may be unable to comply with these requirements in a timely or cost-effective manner.</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a public company, we will be subject to the reporting requirements of the Exchange Act, and the</w:t>
      </w:r>
    </w:p>
    <w:p>
      <w:pPr>
        <w:spacing w:after="0" w:line="35" w:lineRule="exact"/>
        <w:rPr>
          <w:sz w:val="20"/>
          <w:szCs w:val="20"/>
          <w:color w:val="auto"/>
        </w:rPr>
      </w:pPr>
    </w:p>
    <w:p>
      <w:pPr>
        <w:ind w:left="1260" w:right="879"/>
        <w:spacing w:after="0" w:line="281" w:lineRule="auto"/>
        <w:rPr>
          <w:sz w:val="20"/>
          <w:szCs w:val="20"/>
          <w:color w:val="auto"/>
        </w:rPr>
      </w:pPr>
      <w:r>
        <w:rPr>
          <w:rFonts w:ascii="Arial" w:cs="Arial" w:eastAsia="Arial" w:hAnsi="Arial"/>
          <w:sz w:val="16"/>
          <w:szCs w:val="16"/>
          <w:color w:val="auto"/>
        </w:rPr>
        <w:t>corporate governance standards of the Sarbanes-Oxley Act and . These requirements will place a strain on our management, systems and resources and we will incur significant legal, accounting, insurance and other expenses that we have not incurred as a private company. The Exchange Act will require us to file annual, quarterly and current reports with respect to our business and financial condition within specified time periods and to prepare a proxy statement with respect to our annual meeting of stockholders. The Sarbanes-Oxley Act will require that we maintain effective disclosure controls and procedures and internal controls over financial</w:t>
      </w:r>
    </w:p>
    <w:p>
      <w:pPr>
        <w:spacing w:after="0" w:line="4" w:lineRule="exact"/>
        <w:rPr>
          <w:sz w:val="20"/>
          <w:szCs w:val="20"/>
          <w:color w:val="auto"/>
        </w:rPr>
      </w:pPr>
    </w:p>
    <w:p>
      <w:pPr>
        <w:ind w:left="1260" w:right="739"/>
        <w:spacing w:after="0" w:line="281" w:lineRule="auto"/>
        <w:rPr>
          <w:sz w:val="20"/>
          <w:szCs w:val="20"/>
          <w:color w:val="auto"/>
        </w:rPr>
      </w:pPr>
      <w:r>
        <w:rPr>
          <w:rFonts w:ascii="Arial" w:cs="Arial" w:eastAsia="Arial" w:hAnsi="Arial"/>
          <w:sz w:val="16"/>
          <w:szCs w:val="16"/>
          <w:color w:val="auto"/>
        </w:rPr>
        <w:t>reporting. will require that we comply with various corporate governance requirements. To maintain and improve the effectiveness of our disclosure controls and procedures and internal controls over financial reporting</w:t>
      </w:r>
    </w:p>
    <w:p>
      <w:pPr>
        <w:spacing w:after="0" w:line="1"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and comply with the Exchange Act and requirements, significant resources and management oversight will be required. This may divert management’s attention from other business concerns and lead to significant costs associated with compliance, which could have a material adverse effect on us and the price of our Class A common stock.</w:t>
      </w:r>
    </w:p>
    <w:p>
      <w:pPr>
        <w:spacing w:after="0" w:line="8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4" w:lineRule="auto"/>
        <w:rPr>
          <w:sz w:val="20"/>
          <w:szCs w:val="20"/>
          <w:color w:val="auto"/>
        </w:rPr>
      </w:pPr>
      <w:r>
        <w:rPr>
          <w:rFonts w:ascii="Arial" w:cs="Arial" w:eastAsia="Arial" w:hAnsi="Arial"/>
          <w:sz w:val="18"/>
          <w:szCs w:val="18"/>
          <w:color w:val="auto"/>
        </w:rPr>
        <w:t>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15" w:lineRule="exact"/>
        <w:rPr>
          <w:sz w:val="20"/>
          <w:szCs w:val="20"/>
          <w:color w:val="auto"/>
        </w:rPr>
      </w:pPr>
    </w:p>
    <w:p>
      <w:pPr>
        <w:ind w:left="1260" w:right="959" w:firstLine="360"/>
        <w:spacing w:after="0" w:line="296" w:lineRule="auto"/>
        <w:rPr>
          <w:sz w:val="20"/>
          <w:szCs w:val="20"/>
          <w:color w:val="auto"/>
        </w:rPr>
      </w:pPr>
      <w:r>
        <w:rPr>
          <w:rFonts w:ascii="Arial" w:cs="Arial" w:eastAsia="Arial" w:hAnsi="Arial"/>
          <w:sz w:val="16"/>
          <w:szCs w:val="16"/>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This prospectus contains forward-looking statements.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growth of our various markets and expansion into new markets, any potential tax savings we may realize as a result of our organizational structure, our expected dividend policy and our expectations, beliefs, plans, strategies, objectives, prospects, assumptions, or future events or performance, contained in this prospectus under the headings “Prospectus Summary,” “Risk Factors,” “Dividend Policy,” “Management’s Discussion and Analysis of Financial Condition and Results of Operations” and “Business” are forward-looking statements.</w:t>
      </w:r>
    </w:p>
    <w:p>
      <w:pPr>
        <w:spacing w:after="0" w:line="7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prospectus under the headings “Prospectus Summary,” “Risk Factors,” “Management’s Discussion and Analysis of Financial Condition and Results of Operations” and “Business,”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73" w:lineRule="exact"/>
        <w:rPr>
          <w:sz w:val="20"/>
          <w:szCs w:val="20"/>
          <w:color w:val="auto"/>
        </w:rPr>
      </w:pPr>
    </w:p>
    <w:p>
      <w:pPr>
        <w:ind w:left="1980" w:right="119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17"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17"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policy and to pay our taxes and expenses, including payments under the Tax Receivable Agreement;</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pacing w:after="0" w:line="117"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prospectus are not guarantees of future performance and our actual results of operations, financial condition, and liquidity,</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spacing w:after="0" w:line="301" w:lineRule="auto"/>
        <w:rPr>
          <w:sz w:val="20"/>
          <w:szCs w:val="20"/>
          <w:color w:val="auto"/>
        </w:rPr>
      </w:pPr>
      <w:r>
        <w:rPr>
          <w:rFonts w:ascii="Arial" w:cs="Arial" w:eastAsia="Arial" w:hAnsi="Arial"/>
          <w:sz w:val="16"/>
          <w:szCs w:val="16"/>
          <w:color w:val="auto"/>
        </w:rPr>
        <w:t>and the development of the industry in which we operate, may differ materially from the forward-looking statements contained in this prospectus. In addition, even if our results of operations, financial condition, and liquidity, and events in the industry in which we operate, are consistent with the forward-looking statements contained in this prospectus, they may not be predictive of results or developments in future periods.</w:t>
      </w:r>
    </w:p>
    <w:p>
      <w:pPr>
        <w:spacing w:after="0" w:line="4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0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Prior to the completion of this offering and the organizational transactions described below, the Original LLC Owners are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 Transactions</w:t>
      </w:r>
    </w:p>
    <w:p>
      <w:pPr>
        <w:spacing w:after="0" w:line="108" w:lineRule="exact"/>
        <w:rPr>
          <w:sz w:val="20"/>
          <w:szCs w:val="20"/>
          <w:color w:val="auto"/>
        </w:rPr>
      </w:pPr>
    </w:p>
    <w:p>
      <w:pPr>
        <w:ind w:left="1260" w:right="1559" w:firstLine="360"/>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 which we refer to as the “Reorganization Transactions”:</w:t>
      </w:r>
    </w:p>
    <w:p>
      <w:pPr>
        <w:spacing w:after="0" w:line="143" w:lineRule="exact"/>
        <w:rPr>
          <w:sz w:val="20"/>
          <w:szCs w:val="20"/>
          <w:color w:val="auto"/>
        </w:rPr>
      </w:pPr>
    </w:p>
    <w:p>
      <w:pPr>
        <w:ind w:left="1980" w:right="799" w:hanging="352"/>
        <w:spacing w:after="0" w:line="259"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amend and restate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146" w:lineRule="exact"/>
        <w:rPr>
          <w:rFonts w:ascii="Arial" w:cs="Arial" w:eastAsia="Arial" w:hAnsi="Arial"/>
          <w:sz w:val="18"/>
          <w:szCs w:val="18"/>
          <w:color w:val="auto"/>
        </w:rPr>
      </w:pPr>
    </w:p>
    <w:p>
      <w:pPr>
        <w:ind w:left="1980" w:right="759" w:hanging="352"/>
        <w:spacing w:after="0" w:line="270"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1" w:lineRule="exact"/>
        <w:rPr>
          <w:sz w:val="20"/>
          <w:szCs w:val="20"/>
          <w:color w:val="auto"/>
        </w:rPr>
      </w:pPr>
    </w:p>
    <w:tbl>
      <w:tblPr>
        <w:tblLayout w:type="fixed"/>
        <w:tblInd w:w="2520" w:type="dxa"/>
        <w:tblCellMar>
          <w:top w:w="0" w:type="dxa"/>
          <w:left w:w="0" w:type="dxa"/>
          <w:bottom w:w="0" w:type="dxa"/>
          <w:right w:w="0" w:type="dxa"/>
        </w:tblCellMar>
      </w:tblPr>
      <w:tr>
        <w:trPr>
          <w:trHeight w:val="186"/>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5"/>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316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6"/>
        </w:trPr>
        <w:tc>
          <w:tcPr>
            <w:tcW w:w="2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70"/>
        </w:trPr>
        <w:tc>
          <w:tcPr>
            <w:tcW w:w="316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-668020</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-668020</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980" w:right="819"/>
        <w:spacing w:after="0" w:line="311"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08" w:lineRule="exact"/>
        <w:rPr>
          <w:sz w:val="20"/>
          <w:szCs w:val="20"/>
          <w:color w:val="auto"/>
        </w:rPr>
      </w:pPr>
    </w:p>
    <w:p>
      <w:pPr>
        <w:ind w:left="1980" w:right="879" w:hanging="352"/>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assume sponsorship of the Option Plan and the PRSU Plan currently sponsored by Tradeweb Markets LLC. Accordingly, all options and PRSUs granted under such plans will be converted into economically equivalent awards of Tradeweb Markets Inc.;</w:t>
      </w:r>
    </w:p>
    <w:p>
      <w:pPr>
        <w:sectPr>
          <w:pgSz w:w="11900" w:h="16838" w:orient="portrait"/>
          <w:cols w:equalWidth="0" w:num="1">
            <w:col w:w="10139"/>
          </w:cols>
          <w:pgMar w:left="320" w:top="132" w:right="1440" w:bottom="1440" w:gutter="0" w:footer="0" w:header="0"/>
        </w:sectPr>
      </w:pP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899"/>
        <w:spacing w:after="0" w:line="277" w:lineRule="auto"/>
        <w:rPr>
          <w:sz w:val="20"/>
          <w:szCs w:val="20"/>
          <w:color w:val="auto"/>
        </w:rPr>
      </w:pPr>
      <w:r>
        <w:rPr>
          <w:rFonts w:ascii="Arial" w:cs="Arial" w:eastAsia="Arial" w:hAnsi="Arial"/>
          <w:sz w:val="18"/>
          <w:szCs w:val="18"/>
          <w:color w:val="auto"/>
        </w:rPr>
        <w:t>we will issue shares of Class D common stock to the Continuing LLC Owners, on a one-to-one basis with the number of LLC Interests they own, for nominal consideration;</w:t>
      </w:r>
    </w:p>
    <w:p>
      <w:pPr>
        <w:spacing w:after="0" w:line="143" w:lineRule="exact"/>
        <w:rPr>
          <w:sz w:val="20"/>
          <w:szCs w:val="20"/>
          <w:color w:val="auto"/>
        </w:rPr>
      </w:pPr>
    </w:p>
    <w:p>
      <w:pPr>
        <w:sectPr>
          <w:pgSz w:w="11900" w:h="16838" w:orient="portrait"/>
          <w:cols w:equalWidth="0" w:num="2">
            <w:col w:w="1700" w:space="280"/>
            <w:col w:w="8159"/>
          </w:cols>
          <w:pgMar w:left="32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39"/>
        <w:spacing w:after="0" w:line="279" w:lineRule="auto"/>
        <w:rPr>
          <w:sz w:val="20"/>
          <w:szCs w:val="20"/>
          <w:color w:val="auto"/>
        </w:rPr>
      </w:pPr>
      <w:r>
        <w:rPr>
          <w:rFonts w:ascii="Arial" w:cs="Arial" w:eastAsia="Arial" w:hAnsi="Arial"/>
          <w:sz w:val="17"/>
          <w:szCs w:val="17"/>
          <w:color w:val="auto"/>
        </w:rPr>
        <w:t>we will issue shares of our Class A common stock to the purchasers in this offering in exchange for net proceeds of approximately $ million, assuming the shares are offered at $ per share (the midpoint of the price range set forth on the cover page of this prospectus), after deducting underwriting discounts and commissions but before deducting offering expenses;</w:t>
      </w:r>
    </w:p>
    <w:p>
      <w:pPr>
        <w:spacing w:after="0" w:line="131" w:lineRule="exact"/>
        <w:rPr>
          <w:sz w:val="20"/>
          <w:szCs w:val="20"/>
          <w:color w:val="auto"/>
        </w:rPr>
      </w:pPr>
    </w:p>
    <w:p>
      <w:pPr>
        <w:sectPr>
          <w:pgSz w:w="11900" w:h="16838" w:orient="portrait"/>
          <w:cols w:equalWidth="0" w:num="2">
            <w:col w:w="1700" w:space="280"/>
            <w:col w:w="8159"/>
          </w:cols>
          <w:pgMar w:left="320" w:top="132" w:right="1440" w:bottom="1440" w:gutter="0" w:footer="0" w:header="0"/>
          <w:type w:val="continuous"/>
        </w:sectPr>
      </w:pPr>
    </w:p>
    <w:p>
      <w:pPr>
        <w:ind w:left="1980" w:right="1159" w:hanging="352"/>
        <w:spacing w:after="0" w:line="342" w:lineRule="auto"/>
        <w:tabs>
          <w:tab w:leader="none" w:pos="1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intend to use the net proceeds from the sale of Class A common stock by us in this offering to acquire an equivalent number of issued and outstanding LLC Interests from certain of the Other</w:t>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099"/>
        <w:spacing w:after="0" w:line="291" w:lineRule="auto"/>
        <w:rPr>
          <w:sz w:val="20"/>
          <w:szCs w:val="20"/>
          <w:color w:val="auto"/>
        </w:rPr>
      </w:pPr>
      <w:r>
        <w:rPr>
          <w:rFonts w:ascii="Arial" w:cs="Arial" w:eastAsia="Arial" w:hAnsi="Arial"/>
          <w:sz w:val="16"/>
          <w:szCs w:val="16"/>
          <w:color w:val="auto"/>
        </w:rPr>
        <w:t>LLC Owners at a purchase price per interest equal to the initial public offering price per share of Class A common stock (and cancel an equal number of shares of Class D common stock), less the</w:t>
      </w:r>
    </w:p>
    <w:p>
      <w:pPr>
        <w:ind w:left="1980" w:right="919"/>
        <w:spacing w:after="0" w:line="260" w:lineRule="auto"/>
        <w:rPr>
          <w:sz w:val="20"/>
          <w:szCs w:val="20"/>
          <w:color w:val="auto"/>
        </w:rPr>
      </w:pPr>
      <w:r>
        <w:rPr>
          <w:rFonts w:ascii="Arial" w:cs="Arial" w:eastAsia="Arial" w:hAnsi="Arial"/>
          <w:sz w:val="18"/>
          <w:szCs w:val="18"/>
          <w:color w:val="auto"/>
        </w:rPr>
        <w:t>underwriting discounts and commissions payable thereon, collectively representing % of TWM LLC’s outstanding LLC Interests;</w:t>
      </w:r>
    </w:p>
    <w:p>
      <w:pPr>
        <w:spacing w:after="0" w:line="145" w:lineRule="exact"/>
        <w:rPr>
          <w:sz w:val="20"/>
          <w:szCs w:val="20"/>
          <w:color w:val="auto"/>
        </w:rPr>
      </w:pPr>
    </w:p>
    <w:p>
      <w:pPr>
        <w:ind w:left="2400" w:right="1279" w:hanging="772"/>
        <w:spacing w:after="0" w:line="277" w:lineRule="auto"/>
        <w:tabs>
          <w:tab w:leader="none" w:pos="19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Refinitiv Direct Owners will exchange with us their indirect ownership of LLC Interests for shares of Class B common stock on a one-to-one basis;</w:t>
      </w:r>
    </w:p>
    <w:p>
      <w:pPr>
        <w:spacing w:after="0" w:line="116" w:lineRule="exact"/>
        <w:rPr>
          <w:rFonts w:ascii="Arial" w:cs="Arial" w:eastAsia="Arial" w:hAnsi="Arial"/>
          <w:sz w:val="18"/>
          <w:szCs w:val="18"/>
          <w:color w:val="auto"/>
        </w:rPr>
      </w:pPr>
    </w:p>
    <w:p>
      <w:pPr>
        <w:ind w:left="1980" w:right="699" w:hanging="352"/>
        <w:spacing w:after="0" w:line="301" w:lineRule="auto"/>
        <w:tabs>
          <w:tab w:leader="none" w:pos="1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received in exchange for their existing membership interests in TWM LLC and will have no economic interests in Tradeweb despite their ownership of Class D common stock (where “economic interests” means the right to receive any distributions or dividends, whether cash or stock, in connection with common stock); and</w:t>
      </w:r>
    </w:p>
    <w:p>
      <w:pPr>
        <w:spacing w:after="0" w:line="103" w:lineRule="exact"/>
        <w:rPr>
          <w:rFonts w:ascii="Arial" w:cs="Arial" w:eastAsia="Arial" w:hAnsi="Arial"/>
          <w:sz w:val="16"/>
          <w:szCs w:val="16"/>
          <w:color w:val="auto"/>
        </w:rPr>
      </w:pPr>
    </w:p>
    <w:p>
      <w:pPr>
        <w:ind w:left="1980" w:hanging="352"/>
        <w:spacing w:after="0"/>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Tradeweb will enter into (i) the Tax Receivable Agreement with the Continuing LLC Owners, (ii) the</w:t>
      </w:r>
    </w:p>
    <w:p>
      <w:pPr>
        <w:spacing w:after="0" w:line="35" w:lineRule="exact"/>
        <w:rPr>
          <w:sz w:val="20"/>
          <w:szCs w:val="20"/>
          <w:color w:val="auto"/>
        </w:rPr>
      </w:pPr>
    </w:p>
    <w:p>
      <w:pPr>
        <w:ind w:left="1980"/>
        <w:spacing w:after="0"/>
        <w:tabs>
          <w:tab w:leader="none" w:pos="5520" w:val="left"/>
        </w:tabs>
        <w:rPr>
          <w:sz w:val="20"/>
          <w:szCs w:val="20"/>
          <w:color w:val="auto"/>
        </w:rPr>
      </w:pPr>
      <w:r>
        <w:rPr>
          <w:rFonts w:ascii="Arial" w:cs="Arial" w:eastAsia="Arial" w:hAnsi="Arial"/>
          <w:sz w:val="18"/>
          <w:szCs w:val="18"/>
          <w:color w:val="auto"/>
        </w:rPr>
        <w:t>Stockholders Agreement with</w:t>
      </w:r>
      <w:r>
        <w:rPr>
          <w:sz w:val="20"/>
          <w:szCs w:val="20"/>
          <w:color w:val="auto"/>
        </w:rPr>
        <w:tab/>
      </w:r>
      <w:r>
        <w:rPr>
          <w:rFonts w:ascii="Arial" w:cs="Arial" w:eastAsia="Arial" w:hAnsi="Arial"/>
          <w:sz w:val="16"/>
          <w:szCs w:val="16"/>
          <w:color w:val="auto"/>
        </w:rPr>
        <w:t>, and (iii) the Registration Rights Agreement with</w:t>
      </w:r>
    </w:p>
    <w:p>
      <w:pPr>
        <w:spacing w:after="0" w:line="9" w:lineRule="exact"/>
        <w:rPr>
          <w:sz w:val="20"/>
          <w:szCs w:val="20"/>
          <w:color w:val="auto"/>
        </w:rPr>
      </w:pPr>
    </w:p>
    <w:p>
      <w:pPr>
        <w:ind w:left="1980" w:right="839" w:firstLine="1357"/>
        <w:spacing w:after="0" w:line="255" w:lineRule="auto"/>
        <w:tabs>
          <w:tab w:leader="none" w:pos="34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a description of the terms of the Tax Receivable Agreement, the Stockholders Agreement and the Registration Rights Agreement, see “Certain Relationships and Related Party Transactions.”</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Immediately following the completion of the Reorganization Transactions, including this offering:</w:t>
      </w:r>
    </w:p>
    <w:p>
      <w:pPr>
        <w:spacing w:after="0" w:line="185" w:lineRule="exact"/>
        <w:rPr>
          <w:sz w:val="20"/>
          <w:szCs w:val="20"/>
          <w:color w:val="auto"/>
        </w:rPr>
      </w:pPr>
    </w:p>
    <w:p>
      <w:pPr>
        <w:ind w:left="1980" w:right="779" w:hanging="352"/>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Tradeweb will be a holding company whose principal asset will be LLC Interests of TWM LLC that it acquires from certain of the Other LLC Owners using the net proceeds from this offering and the LLC Interests that it receives from the Refinitiv Direct Owners in exchange for shares of Class B common stock issued by Tradeweb;</w:t>
      </w:r>
    </w:p>
    <w:p>
      <w:pPr>
        <w:spacing w:after="0" w:line="132"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Tradeweb will be the sole manager of TWM LLC and will operate and control all of the business and affairs of TWM LLC and its subsidiaries;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and the TWM LLC Agreement will require that</w:t>
      </w:r>
    </w:p>
    <w:p>
      <w:pPr>
        <w:spacing w:after="0" w:line="46" w:lineRule="exact"/>
        <w:rPr>
          <w:rFonts w:ascii="Arial" w:cs="Arial" w:eastAsia="Arial" w:hAnsi="Arial"/>
          <w:sz w:val="16"/>
          <w:szCs w:val="16"/>
          <w:color w:val="auto"/>
        </w:rPr>
      </w:pPr>
    </w:p>
    <w:p>
      <w:pPr>
        <w:ind w:left="1980" w:right="779"/>
        <w:spacing w:after="0" w:line="251" w:lineRule="auto"/>
        <w:rPr>
          <w:rFonts w:ascii="Arial" w:cs="Arial" w:eastAsia="Arial" w:hAnsi="Arial"/>
          <w:sz w:val="16"/>
          <w:szCs w:val="16"/>
          <w:color w:val="auto"/>
        </w:rPr>
      </w:pPr>
      <w:r>
        <w:rPr>
          <w:rFonts w:ascii="Arial" w:cs="Arial" w:eastAsia="Arial" w:hAnsi="Arial"/>
          <w:sz w:val="18"/>
          <w:szCs w:val="18"/>
          <w:color w:val="auto"/>
        </w:rPr>
        <w:t>(i) we at all times maintain a ratio of one LLC Interest owned by us for each 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gridSpan w:val="4"/>
          </w:tcPr>
          <w:p>
            <w:pPr>
              <w:ind w:left="140"/>
              <w:spacing w:after="0"/>
              <w:rPr>
                <w:sz w:val="20"/>
                <w:szCs w:val="20"/>
                <w:color w:val="auto"/>
              </w:rPr>
            </w:pPr>
            <w:r>
              <w:rPr>
                <w:rFonts w:ascii="Arial" w:cs="Arial" w:eastAsia="Arial" w:hAnsi="Arial"/>
                <w:sz w:val="18"/>
                <w:szCs w:val="18"/>
                <w:color w:val="auto"/>
                <w:w w:val="91"/>
              </w:rPr>
              <w:t>Tradeweb will own LLC Interests representing a</w:t>
            </w:r>
          </w:p>
        </w:tc>
        <w:tc>
          <w:tcPr>
            <w:tcW w:w="3460" w:type="dxa"/>
            <w:vAlign w:val="bottom"/>
            <w:gridSpan w:val="2"/>
          </w:tcPr>
          <w:p>
            <w:pPr>
              <w:ind w:left="400"/>
              <w:spacing w:after="0"/>
              <w:rPr>
                <w:sz w:val="20"/>
                <w:szCs w:val="20"/>
                <w:color w:val="auto"/>
              </w:rPr>
            </w:pPr>
            <w:r>
              <w:rPr>
                <w:rFonts w:ascii="Arial" w:cs="Arial" w:eastAsia="Arial" w:hAnsi="Arial"/>
                <w:sz w:val="18"/>
                <w:szCs w:val="18"/>
                <w:color w:val="auto"/>
              </w:rPr>
              <w:t>% economic interest in TWM LLC (or</w:t>
            </w:r>
          </w:p>
        </w:tc>
        <w:tc>
          <w:tcPr>
            <w:tcW w:w="460" w:type="dxa"/>
            <w:vAlign w:val="bottom"/>
          </w:tcPr>
          <w:p>
            <w:pPr>
              <w:ind w:left="120"/>
              <w:spacing w:after="0"/>
              <w:rPr>
                <w:sz w:val="20"/>
                <w:szCs w:val="20"/>
                <w:color w:val="auto"/>
              </w:rPr>
            </w:pPr>
            <w:r>
              <w:rPr>
                <w:rFonts w:ascii="Arial" w:cs="Arial" w:eastAsia="Arial" w:hAnsi="Arial"/>
                <w:sz w:val="18"/>
                <w:szCs w:val="18"/>
                <w:color w:val="auto"/>
                <w:w w:val="96"/>
              </w:rPr>
              <w:t>LLC</w:t>
            </w:r>
          </w:p>
        </w:tc>
      </w:tr>
      <w:tr>
        <w:trPr>
          <w:trHeight w:val="216"/>
        </w:trPr>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w w:val="97"/>
              </w:rPr>
              <w:t>Interests, representing a</w:t>
            </w:r>
          </w:p>
        </w:tc>
        <w:tc>
          <w:tcPr>
            <w:tcW w:w="5500" w:type="dxa"/>
            <w:vAlign w:val="bottom"/>
            <w:gridSpan w:val="5"/>
          </w:tcPr>
          <w:p>
            <w:pPr>
              <w:jc w:val="center"/>
              <w:spacing w:after="0"/>
              <w:rPr>
                <w:sz w:val="20"/>
                <w:szCs w:val="20"/>
                <w:color w:val="auto"/>
              </w:rPr>
            </w:pPr>
            <w:r>
              <w:rPr>
                <w:rFonts w:ascii="Arial" w:cs="Arial" w:eastAsia="Arial" w:hAnsi="Arial"/>
                <w:sz w:val="18"/>
                <w:szCs w:val="18"/>
                <w:color w:val="auto"/>
                <w:w w:val="93"/>
              </w:rPr>
              <w:t>% economic interest in TWM LLC, if the underwriters exercise in full</w:t>
            </w:r>
          </w:p>
        </w:tc>
      </w:tr>
      <w:tr>
        <w:trPr>
          <w:trHeight w:val="230"/>
        </w:trPr>
        <w:tc>
          <w:tcPr>
            <w:tcW w:w="220" w:type="dxa"/>
            <w:vAlign w:val="bottom"/>
          </w:tcPr>
          <w:p>
            <w:pPr>
              <w:spacing w:after="0"/>
              <w:rPr>
                <w:sz w:val="20"/>
                <w:szCs w:val="20"/>
                <w:color w:val="auto"/>
              </w:rPr>
            </w:pPr>
          </w:p>
        </w:tc>
        <w:tc>
          <w:tcPr>
            <w:tcW w:w="6580" w:type="dxa"/>
            <w:vAlign w:val="bottom"/>
            <w:gridSpan w:val="5"/>
          </w:tcPr>
          <w:p>
            <w:pPr>
              <w:ind w:left="140"/>
              <w:spacing w:after="0"/>
              <w:rPr>
                <w:sz w:val="20"/>
                <w:szCs w:val="20"/>
                <w:color w:val="auto"/>
              </w:rPr>
            </w:pPr>
            <w:r>
              <w:rPr>
                <w:rFonts w:ascii="Arial" w:cs="Arial" w:eastAsia="Arial" w:hAnsi="Arial"/>
                <w:sz w:val="18"/>
                <w:szCs w:val="18"/>
                <w:color w:val="auto"/>
              </w:rPr>
              <w:t>their option to purchase additional shares of Class A common stock);</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7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3"/>
          </w:tcPr>
          <w:p>
            <w:pPr>
              <w:ind w:left="140"/>
              <w:spacing w:after="0"/>
              <w:rPr>
                <w:sz w:val="20"/>
                <w:szCs w:val="20"/>
                <w:color w:val="auto"/>
              </w:rPr>
            </w:pPr>
            <w:r>
              <w:rPr>
                <w:rFonts w:ascii="Arial" w:cs="Arial" w:eastAsia="Arial" w:hAnsi="Arial"/>
                <w:sz w:val="18"/>
                <w:szCs w:val="18"/>
                <w:color w:val="auto"/>
                <w:w w:val="94"/>
              </w:rPr>
              <w:t>the purchasers in this offering (i) will own</w:t>
            </w:r>
          </w:p>
        </w:tc>
        <w:tc>
          <w:tcPr>
            <w:tcW w:w="4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2"/>
              </w:rPr>
              <w:t>shares of Class A common stock, representing</w:t>
            </w:r>
          </w:p>
        </w:tc>
        <w:tc>
          <w:tcPr>
            <w:tcW w:w="46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5720" w:type="dxa"/>
            <w:vAlign w:val="bottom"/>
            <w:gridSpan w:val="5"/>
          </w:tcPr>
          <w:p>
            <w:pPr>
              <w:ind w:left="220"/>
              <w:spacing w:after="0"/>
              <w:rPr>
                <w:sz w:val="20"/>
                <w:szCs w:val="20"/>
                <w:color w:val="auto"/>
              </w:rPr>
            </w:pPr>
            <w:r>
              <w:rPr>
                <w:rFonts w:ascii="Arial" w:cs="Arial" w:eastAsia="Arial" w:hAnsi="Arial"/>
                <w:sz w:val="18"/>
                <w:szCs w:val="18"/>
                <w:color w:val="auto"/>
                <w:w w:val="96"/>
              </w:rPr>
              <w:t>% of the combined voting power of all of Tradeweb’s common stock (or</w:t>
            </w:r>
          </w:p>
        </w:tc>
        <w:tc>
          <w:tcPr>
            <w:tcW w:w="4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6180" w:type="dxa"/>
            <w:vAlign w:val="bottom"/>
            <w:gridSpan w:val="6"/>
          </w:tcPr>
          <w:p>
            <w:pPr>
              <w:ind w:left="220"/>
              <w:spacing w:after="0"/>
              <w:rPr>
                <w:sz w:val="20"/>
                <w:szCs w:val="20"/>
                <w:color w:val="auto"/>
              </w:rPr>
            </w:pPr>
            <w:r>
              <w:rPr>
                <w:rFonts w:ascii="Arial" w:cs="Arial" w:eastAsia="Arial" w:hAnsi="Arial"/>
                <w:sz w:val="18"/>
                <w:szCs w:val="18"/>
                <w:color w:val="auto"/>
                <w:w w:val="93"/>
              </w:rPr>
              <w:t>% if the underwriters exercise in full their option to purchase additional shares of</w:t>
            </w:r>
          </w:p>
        </w:tc>
      </w:tr>
      <w:tr>
        <w:trPr>
          <w:trHeight w:val="216"/>
        </w:trPr>
        <w:tc>
          <w:tcPr>
            <w:tcW w:w="220" w:type="dxa"/>
            <w:vAlign w:val="bottom"/>
          </w:tcPr>
          <w:p>
            <w:pPr>
              <w:spacing w:after="0"/>
              <w:rPr>
                <w:sz w:val="18"/>
                <w:szCs w:val="18"/>
                <w:color w:val="auto"/>
              </w:rPr>
            </w:pPr>
          </w:p>
        </w:tc>
        <w:tc>
          <w:tcPr>
            <w:tcW w:w="3220" w:type="dxa"/>
            <w:vAlign w:val="bottom"/>
            <w:gridSpan w:val="3"/>
          </w:tcPr>
          <w:p>
            <w:pPr>
              <w:ind w:left="140"/>
              <w:spacing w:after="0"/>
              <w:rPr>
                <w:sz w:val="20"/>
                <w:szCs w:val="20"/>
                <w:color w:val="auto"/>
              </w:rPr>
            </w:pPr>
            <w:r>
              <w:rPr>
                <w:rFonts w:ascii="Arial" w:cs="Arial" w:eastAsia="Arial" w:hAnsi="Arial"/>
                <w:sz w:val="18"/>
                <w:szCs w:val="18"/>
                <w:color w:val="auto"/>
              </w:rPr>
              <w:t>Class A common stock), (ii) will own</w:t>
            </w:r>
          </w:p>
        </w:tc>
        <w:tc>
          <w:tcPr>
            <w:tcW w:w="336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 of the economic interest in Tradeweb (or</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 if the</w:t>
            </w:r>
          </w:p>
        </w:tc>
      </w:tr>
      <w:tr>
        <w:trPr>
          <w:trHeight w:val="230"/>
        </w:trPr>
        <w:tc>
          <w:tcPr>
            <w:tcW w:w="220" w:type="dxa"/>
            <w:vAlign w:val="bottom"/>
          </w:tcPr>
          <w:p>
            <w:pPr>
              <w:spacing w:after="0"/>
              <w:rPr>
                <w:sz w:val="20"/>
                <w:szCs w:val="20"/>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w w:val="92"/>
              </w:rPr>
              <w:t>underwriters exercise in full their option to purchase additional shares of Class A common stock) and</w:t>
            </w:r>
          </w:p>
        </w:tc>
      </w:tr>
    </w:tbl>
    <w:p>
      <w:pPr>
        <w:ind w:left="1980" w:right="819" w:firstLine="8"/>
        <w:spacing w:after="0" w:line="281" w:lineRule="auto"/>
        <w:tabs>
          <w:tab w:leader="none" w:pos="22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through Tradeweb’s ownership of LLC Interests, indirectly will hold (applying the percentages in the preceding clause (ii) to Tradeweb’s percentage economic interest in TWM LLC) approximately</w:t>
      </w:r>
    </w:p>
    <w:p>
      <w:pPr>
        <w:sectPr>
          <w:pgSz w:w="11900" w:h="16838" w:orient="portrait"/>
          <w:cols w:equalWidth="0" w:num="1">
            <w:col w:w="10139"/>
          </w:cols>
          <w:pgMar w:left="320" w:top="132" w:right="1440" w:bottom="1440" w:gutter="0" w:footer="0" w:header="0"/>
        </w:sectPr>
      </w:pPr>
    </w:p>
    <w:p>
      <w:pPr>
        <w:spacing w:after="0" w:line="1" w:lineRule="exact"/>
        <w:rPr>
          <w:sz w:val="20"/>
          <w:szCs w:val="20"/>
          <w:color w:val="auto"/>
        </w:rPr>
      </w:pPr>
    </w:p>
    <w:p>
      <w:pPr>
        <w:ind w:left="1980" w:right="1139" w:firstLine="360"/>
        <w:spacing w:after="0" w:line="260" w:lineRule="auto"/>
        <w:rPr>
          <w:sz w:val="20"/>
          <w:szCs w:val="20"/>
          <w:color w:val="auto"/>
        </w:rPr>
      </w:pPr>
      <w:r>
        <w:rPr>
          <w:rFonts w:ascii="Arial" w:cs="Arial" w:eastAsia="Arial" w:hAnsi="Arial"/>
          <w:sz w:val="18"/>
          <w:szCs w:val="18"/>
          <w:color w:val="auto"/>
        </w:rPr>
        <w:t>% of the economic interest in TWM LLC (or % if the underwriters exercise in full their option to purchase additional shares of Class A common stock);</w:t>
      </w:r>
    </w:p>
    <w:p>
      <w:pPr>
        <w:sectPr>
          <w:pgSz w:w="11900" w:h="16838" w:orient="portrait"/>
          <w:cols w:equalWidth="0" w:num="1">
            <w:col w:w="10139"/>
          </w:cols>
          <w:pgMar w:left="320" w:top="132" w:right="1440" w:bottom="1440" w:gutter="0" w:footer="0" w:header="0"/>
          <w:type w:val="continuous"/>
        </w:sectPr>
      </w:pP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Refinitiv Direct Owners (i) will own shares of Class B common stock representing approximately % of the combined voting power of all of Tradeweb’s common stock and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 of</w:t>
      </w:r>
    </w:p>
    <w:p>
      <w:pPr>
        <w:spacing w:after="0" w:line="47" w:lineRule="exact"/>
        <w:rPr>
          <w:sz w:val="20"/>
          <w:szCs w:val="20"/>
          <w:color w:val="auto"/>
        </w:rPr>
      </w:pPr>
    </w:p>
    <w:p>
      <w:pPr>
        <w:sectPr>
          <w:pgSz w:w="11900" w:h="16838" w:orient="portrait"/>
          <w:cols w:equalWidth="0" w:num="3">
            <w:col w:w="1700" w:space="280"/>
            <w:col w:w="6720" w:space="400"/>
            <w:col w:w="1039"/>
          </w:cols>
          <w:pgMar w:left="320" w:top="132" w:right="1440" w:bottom="1440" w:gutter="0" w:footer="0" w:header="0"/>
          <w:type w:val="continuous"/>
        </w:sectPr>
      </w:pPr>
    </w:p>
    <w:p>
      <w:pPr>
        <w:ind w:left="5280" w:right="2239" w:hanging="3293"/>
        <w:spacing w:after="0" w:line="573" w:lineRule="auto"/>
        <w:rPr>
          <w:sz w:val="20"/>
          <w:szCs w:val="20"/>
          <w:color w:val="auto"/>
        </w:rPr>
      </w:pPr>
      <w:r>
        <w:rPr>
          <w:rFonts w:ascii="Arial" w:cs="Arial" w:eastAsia="Arial" w:hAnsi="Arial"/>
          <w:sz w:val="18"/>
          <w:szCs w:val="18"/>
          <w:color w:val="auto"/>
        </w:rPr>
        <w:t>the economic interest in Tradeweb and (ii) through Tradeweb’s ownership of LLC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Interests, indirectly will hold (applying the percentages in the preceding clause (i) to</w:t>
      </w:r>
    </w:p>
    <w:p>
      <w:pPr>
        <w:spacing w:after="0" w:line="1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560" w:type="dxa"/>
            <w:vAlign w:val="bottom"/>
            <w:gridSpan w:val="5"/>
          </w:tcPr>
          <w:p>
            <w:pPr>
              <w:ind w:left="360"/>
              <w:spacing w:after="0"/>
              <w:rPr>
                <w:sz w:val="20"/>
                <w:szCs w:val="20"/>
                <w:color w:val="auto"/>
              </w:rPr>
            </w:pPr>
            <w:r>
              <w:rPr>
                <w:rFonts w:ascii="Arial" w:cs="Arial" w:eastAsia="Arial" w:hAnsi="Arial"/>
                <w:sz w:val="18"/>
                <w:szCs w:val="18"/>
                <w:color w:val="auto"/>
                <w:w w:val="92"/>
              </w:rPr>
              <w:t>Tradeweb’s percentage economic interest in TWM LLC) approximately</w:t>
            </w: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 of the economic</w:t>
            </w:r>
          </w:p>
        </w:tc>
      </w:tr>
      <w:tr>
        <w:trPr>
          <w:trHeight w:val="216"/>
        </w:trPr>
        <w:tc>
          <w:tcPr>
            <w:tcW w:w="2400" w:type="dxa"/>
            <w:vAlign w:val="bottom"/>
            <w:gridSpan w:val="2"/>
          </w:tcPr>
          <w:p>
            <w:pPr>
              <w:ind w:left="360"/>
              <w:spacing w:after="0"/>
              <w:rPr>
                <w:sz w:val="20"/>
                <w:szCs w:val="20"/>
                <w:color w:val="auto"/>
              </w:rPr>
            </w:pPr>
            <w:r>
              <w:rPr>
                <w:rFonts w:ascii="Arial" w:cs="Arial" w:eastAsia="Arial" w:hAnsi="Arial"/>
                <w:sz w:val="18"/>
                <w:szCs w:val="18"/>
                <w:color w:val="auto"/>
              </w:rPr>
              <w:t>interest in TWM LLC (or</w:t>
            </w:r>
          </w:p>
        </w:tc>
        <w:tc>
          <w:tcPr>
            <w:tcW w:w="5360" w:type="dxa"/>
            <w:vAlign w:val="bottom"/>
            <w:gridSpan w:val="4"/>
          </w:tcPr>
          <w:p>
            <w:pPr>
              <w:jc w:val="right"/>
              <w:spacing w:after="0"/>
              <w:rPr>
                <w:sz w:val="20"/>
                <w:szCs w:val="20"/>
                <w:color w:val="auto"/>
              </w:rPr>
            </w:pPr>
            <w:r>
              <w:rPr>
                <w:rFonts w:ascii="Arial" w:cs="Arial" w:eastAsia="Arial" w:hAnsi="Arial"/>
                <w:sz w:val="18"/>
                <w:szCs w:val="18"/>
                <w:color w:val="auto"/>
                <w:w w:val="95"/>
              </w:rPr>
              <w:t>% if the underwriters exercise in full their option to purchase additional</w:t>
            </w:r>
          </w:p>
        </w:tc>
      </w:tr>
      <w:tr>
        <w:trPr>
          <w:trHeight w:val="230"/>
        </w:trPr>
        <w:tc>
          <w:tcPr>
            <w:tcW w:w="5020" w:type="dxa"/>
            <w:vAlign w:val="bottom"/>
            <w:gridSpan w:val="3"/>
          </w:tcPr>
          <w:p>
            <w:pPr>
              <w:ind w:left="360"/>
              <w:spacing w:after="0"/>
              <w:rPr>
                <w:sz w:val="20"/>
                <w:szCs w:val="20"/>
                <w:color w:val="auto"/>
              </w:rPr>
            </w:pPr>
            <w:r>
              <w:rPr>
                <w:rFonts w:ascii="Arial" w:cs="Arial" w:eastAsia="Arial" w:hAnsi="Arial"/>
                <w:sz w:val="18"/>
                <w:szCs w:val="18"/>
                <w:color w:val="auto"/>
              </w:rPr>
              <w:t>shares of Class A common stock);</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50"/>
        </w:trPr>
        <w:tc>
          <w:tcPr>
            <w:tcW w:w="5260" w:type="dxa"/>
            <w:vAlign w:val="bottom"/>
            <w:gridSpan w:val="4"/>
          </w:tcPr>
          <w:p>
            <w:pPr>
              <w:spacing w:after="0"/>
              <w:rPr>
                <w:sz w:val="20"/>
                <w:szCs w:val="20"/>
                <w:color w:val="auto"/>
              </w:rPr>
            </w:pPr>
            <w:r>
              <w:rPr>
                <w:rFonts w:ascii="Arial" w:cs="Arial" w:eastAsia="Arial" w:hAnsi="Arial"/>
                <w:sz w:val="18"/>
                <w:szCs w:val="18"/>
                <w:color w:val="auto"/>
                <w:w w:val="97"/>
              </w:rPr>
              <w:t>•    the Refinitiv LLC Owners will own (i) LLC Interests, representing</w:t>
            </w:r>
          </w:p>
        </w:tc>
        <w:tc>
          <w:tcPr>
            <w:tcW w:w="3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w w:val="91"/>
              </w:rPr>
              <w:t>% of the economic interest in</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TWM LLC (or</w:t>
            </w:r>
          </w:p>
        </w:tc>
        <w:tc>
          <w:tcPr>
            <w:tcW w:w="6140" w:type="dxa"/>
            <w:vAlign w:val="bottom"/>
            <w:gridSpan w:val="5"/>
          </w:tcPr>
          <w:p>
            <w:pPr>
              <w:jc w:val="right"/>
              <w:spacing w:after="0"/>
              <w:rPr>
                <w:sz w:val="20"/>
                <w:szCs w:val="20"/>
                <w:color w:val="auto"/>
              </w:rPr>
            </w:pPr>
            <w:r>
              <w:rPr>
                <w:rFonts w:ascii="Arial" w:cs="Arial" w:eastAsia="Arial" w:hAnsi="Arial"/>
                <w:sz w:val="18"/>
                <w:szCs w:val="18"/>
                <w:color w:val="auto"/>
                <w:w w:val="95"/>
              </w:rPr>
              <w:t>% if the underwriters exercise in full their option to purchase additional shares of</w:t>
            </w:r>
          </w:p>
        </w:tc>
      </w:tr>
      <w:tr>
        <w:trPr>
          <w:trHeight w:val="216"/>
        </w:trPr>
        <w:tc>
          <w:tcPr>
            <w:tcW w:w="7760" w:type="dxa"/>
            <w:vAlign w:val="bottom"/>
            <w:gridSpan w:val="6"/>
          </w:tcPr>
          <w:p>
            <w:pPr>
              <w:ind w:left="360"/>
              <w:spacing w:after="0"/>
              <w:rPr>
                <w:sz w:val="20"/>
                <w:szCs w:val="20"/>
                <w:color w:val="auto"/>
              </w:rPr>
            </w:pPr>
            <w:r>
              <w:rPr>
                <w:rFonts w:ascii="Arial" w:cs="Arial" w:eastAsia="Arial" w:hAnsi="Arial"/>
                <w:sz w:val="18"/>
                <w:szCs w:val="18"/>
                <w:color w:val="auto"/>
              </w:rPr>
              <w:t>Class A common stock) and (ii) through their ownership of shares of Class D common stock,</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approximately</w:t>
            </w:r>
          </w:p>
        </w:tc>
        <w:tc>
          <w:tcPr>
            <w:tcW w:w="6140" w:type="dxa"/>
            <w:vAlign w:val="bottom"/>
            <w:gridSpan w:val="5"/>
          </w:tcPr>
          <w:p>
            <w:pPr>
              <w:ind w:left="200"/>
              <w:spacing w:after="0"/>
              <w:rPr>
                <w:sz w:val="20"/>
                <w:szCs w:val="20"/>
                <w:color w:val="auto"/>
              </w:rPr>
            </w:pPr>
            <w:r>
              <w:rPr>
                <w:rFonts w:ascii="Arial" w:cs="Arial" w:eastAsia="Arial" w:hAnsi="Arial"/>
                <w:sz w:val="18"/>
                <w:szCs w:val="18"/>
                <w:color w:val="auto"/>
              </w:rPr>
              <w:t>% of the combined voting power of all of Tradeweb’s common stock (or</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approximately</w:t>
            </w:r>
          </w:p>
        </w:tc>
        <w:tc>
          <w:tcPr>
            <w:tcW w:w="6140" w:type="dxa"/>
            <w:vAlign w:val="bottom"/>
            <w:gridSpan w:val="5"/>
          </w:tcPr>
          <w:p>
            <w:pPr>
              <w:ind w:left="200"/>
              <w:spacing w:after="0"/>
              <w:rPr>
                <w:sz w:val="20"/>
                <w:szCs w:val="20"/>
                <w:color w:val="auto"/>
              </w:rPr>
            </w:pPr>
            <w:r>
              <w:rPr>
                <w:rFonts w:ascii="Arial" w:cs="Arial" w:eastAsia="Arial" w:hAnsi="Arial"/>
                <w:sz w:val="18"/>
                <w:szCs w:val="18"/>
                <w:color w:val="auto"/>
                <w:w w:val="92"/>
              </w:rPr>
              <w:t>% if the underwriters exercise in full their option to purchase additional shares of</w:t>
            </w:r>
          </w:p>
        </w:tc>
      </w:tr>
      <w:tr>
        <w:trPr>
          <w:trHeight w:val="230"/>
        </w:trPr>
        <w:tc>
          <w:tcPr>
            <w:tcW w:w="2400" w:type="dxa"/>
            <w:vAlign w:val="bottom"/>
            <w:gridSpan w:val="2"/>
          </w:tcPr>
          <w:p>
            <w:pPr>
              <w:ind w:left="360"/>
              <w:spacing w:after="0"/>
              <w:rPr>
                <w:sz w:val="20"/>
                <w:szCs w:val="20"/>
                <w:color w:val="auto"/>
              </w:rPr>
            </w:pPr>
            <w:r>
              <w:rPr>
                <w:rFonts w:ascii="Arial" w:cs="Arial" w:eastAsia="Arial" w:hAnsi="Arial"/>
                <w:sz w:val="18"/>
                <w:szCs w:val="18"/>
                <w:color w:val="auto"/>
              </w:rPr>
              <w:t>Class A common stock);</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37"/>
        </w:trPr>
        <w:tc>
          <w:tcPr>
            <w:tcW w:w="5020" w:type="dxa"/>
            <w:vAlign w:val="bottom"/>
            <w:gridSpan w:val="3"/>
          </w:tcPr>
          <w:p>
            <w:pPr>
              <w:spacing w:after="0"/>
              <w:rPr>
                <w:sz w:val="20"/>
                <w:szCs w:val="20"/>
                <w:color w:val="auto"/>
              </w:rPr>
            </w:pPr>
            <w:r>
              <w:rPr>
                <w:rFonts w:ascii="Arial" w:cs="Arial" w:eastAsia="Arial" w:hAnsi="Arial"/>
                <w:sz w:val="18"/>
                <w:szCs w:val="18"/>
                <w:color w:val="auto"/>
                <w:w w:val="96"/>
              </w:rPr>
              <w:t>•    the Other LLC Owners will own (i) LLC Interests, representing</w:t>
            </w:r>
          </w:p>
        </w:tc>
        <w:tc>
          <w:tcPr>
            <w:tcW w:w="240" w:type="dxa"/>
            <w:vAlign w:val="bottom"/>
          </w:tcPr>
          <w:p>
            <w:pPr>
              <w:spacing w:after="0"/>
              <w:rPr>
                <w:sz w:val="24"/>
                <w:szCs w:val="24"/>
                <w:color w:val="auto"/>
              </w:rPr>
            </w:pPr>
          </w:p>
        </w:tc>
        <w:tc>
          <w:tcPr>
            <w:tcW w:w="2500" w:type="dxa"/>
            <w:vAlign w:val="bottom"/>
            <w:gridSpan w:val="2"/>
          </w:tcPr>
          <w:p>
            <w:pPr>
              <w:jc w:val="right"/>
              <w:ind w:right="210"/>
              <w:spacing w:after="0"/>
              <w:rPr>
                <w:sz w:val="20"/>
                <w:szCs w:val="20"/>
                <w:color w:val="auto"/>
              </w:rPr>
            </w:pPr>
            <w:r>
              <w:rPr>
                <w:rFonts w:ascii="Arial" w:cs="Arial" w:eastAsia="Arial" w:hAnsi="Arial"/>
                <w:sz w:val="18"/>
                <w:szCs w:val="18"/>
                <w:color w:val="auto"/>
                <w:w w:val="94"/>
              </w:rPr>
              <w:t>% of the economic interest in</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TWM LLC (or</w:t>
            </w:r>
          </w:p>
        </w:tc>
        <w:tc>
          <w:tcPr>
            <w:tcW w:w="6140" w:type="dxa"/>
            <w:vAlign w:val="bottom"/>
            <w:gridSpan w:val="5"/>
          </w:tcPr>
          <w:p>
            <w:pPr>
              <w:jc w:val="right"/>
              <w:spacing w:after="0"/>
              <w:rPr>
                <w:sz w:val="20"/>
                <w:szCs w:val="20"/>
                <w:color w:val="auto"/>
              </w:rPr>
            </w:pPr>
            <w:r>
              <w:rPr>
                <w:rFonts w:ascii="Arial" w:cs="Arial" w:eastAsia="Arial" w:hAnsi="Arial"/>
                <w:sz w:val="18"/>
                <w:szCs w:val="18"/>
                <w:color w:val="auto"/>
                <w:w w:val="95"/>
              </w:rPr>
              <w:t>% if the underwriters exercise in full their option to purchase additional shares of</w:t>
            </w:r>
          </w:p>
        </w:tc>
      </w:tr>
      <w:tr>
        <w:trPr>
          <w:trHeight w:val="216"/>
        </w:trPr>
        <w:tc>
          <w:tcPr>
            <w:tcW w:w="5020" w:type="dxa"/>
            <w:vAlign w:val="bottom"/>
            <w:gridSpan w:val="3"/>
          </w:tcPr>
          <w:p>
            <w:pPr>
              <w:ind w:left="360"/>
              <w:spacing w:after="0"/>
              <w:rPr>
                <w:sz w:val="20"/>
                <w:szCs w:val="20"/>
                <w:color w:val="auto"/>
              </w:rPr>
            </w:pPr>
            <w:r>
              <w:rPr>
                <w:rFonts w:ascii="Arial" w:cs="Arial" w:eastAsia="Arial" w:hAnsi="Arial"/>
                <w:sz w:val="18"/>
                <w:szCs w:val="18"/>
                <w:color w:val="auto"/>
              </w:rPr>
              <w:t>Class A common stock) and (ii) through their ownership of</w:t>
            </w:r>
          </w:p>
        </w:tc>
        <w:tc>
          <w:tcPr>
            <w:tcW w:w="2740" w:type="dxa"/>
            <w:vAlign w:val="bottom"/>
            <w:gridSpan w:val="3"/>
          </w:tcPr>
          <w:p>
            <w:pPr>
              <w:jc w:val="right"/>
              <w:ind w:right="170"/>
              <w:spacing w:after="0"/>
              <w:rPr>
                <w:sz w:val="20"/>
                <w:szCs w:val="20"/>
                <w:color w:val="auto"/>
              </w:rPr>
            </w:pPr>
            <w:r>
              <w:rPr>
                <w:rFonts w:ascii="Arial" w:cs="Arial" w:eastAsia="Arial" w:hAnsi="Arial"/>
                <w:sz w:val="18"/>
                <w:szCs w:val="18"/>
                <w:color w:val="auto"/>
                <w:w w:val="91"/>
              </w:rPr>
              <w:t>shares of Class D common stock,</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approximately</w:t>
            </w:r>
          </w:p>
        </w:tc>
        <w:tc>
          <w:tcPr>
            <w:tcW w:w="6140" w:type="dxa"/>
            <w:vAlign w:val="bottom"/>
            <w:gridSpan w:val="5"/>
          </w:tcPr>
          <w:p>
            <w:pPr>
              <w:ind w:left="200"/>
              <w:spacing w:after="0"/>
              <w:rPr>
                <w:sz w:val="20"/>
                <w:szCs w:val="20"/>
                <w:color w:val="auto"/>
              </w:rPr>
            </w:pPr>
            <w:r>
              <w:rPr>
                <w:rFonts w:ascii="Arial" w:cs="Arial" w:eastAsia="Arial" w:hAnsi="Arial"/>
                <w:sz w:val="18"/>
                <w:szCs w:val="18"/>
                <w:color w:val="auto"/>
              </w:rPr>
              <w:t>% of the combined voting power of all of Tradeweb’s common stock (or</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approximately</w:t>
            </w:r>
          </w:p>
        </w:tc>
        <w:tc>
          <w:tcPr>
            <w:tcW w:w="6140" w:type="dxa"/>
            <w:vAlign w:val="bottom"/>
            <w:gridSpan w:val="5"/>
          </w:tcPr>
          <w:p>
            <w:pPr>
              <w:ind w:left="200"/>
              <w:spacing w:after="0"/>
              <w:rPr>
                <w:sz w:val="20"/>
                <w:szCs w:val="20"/>
                <w:color w:val="auto"/>
              </w:rPr>
            </w:pPr>
            <w:r>
              <w:rPr>
                <w:rFonts w:ascii="Arial" w:cs="Arial" w:eastAsia="Arial" w:hAnsi="Arial"/>
                <w:sz w:val="18"/>
                <w:szCs w:val="18"/>
                <w:color w:val="auto"/>
                <w:w w:val="92"/>
              </w:rPr>
              <w:t>% if the underwriters exercise in full their option to purchase additional shares of</w:t>
            </w:r>
          </w:p>
        </w:tc>
      </w:tr>
    </w:tbl>
    <w:p>
      <w:pPr>
        <w:ind w:left="1980"/>
        <w:spacing w:after="0"/>
        <w:rPr>
          <w:sz w:val="20"/>
          <w:szCs w:val="20"/>
          <w:color w:val="auto"/>
        </w:rPr>
      </w:pPr>
      <w:r>
        <w:rPr>
          <w:rFonts w:ascii="Arial" w:cs="Arial" w:eastAsia="Arial" w:hAnsi="Arial"/>
          <w:sz w:val="18"/>
          <w:szCs w:val="18"/>
          <w:color w:val="auto"/>
        </w:rPr>
        <w:t>Class A common stock);</w:t>
      </w:r>
    </w:p>
    <w:p>
      <w:pPr>
        <w:spacing w:after="0" w:line="130" w:lineRule="exact"/>
        <w:rPr>
          <w:sz w:val="20"/>
          <w:szCs w:val="20"/>
          <w:color w:val="auto"/>
        </w:rPr>
      </w:pPr>
    </w:p>
    <w:p>
      <w:pPr>
        <w:ind w:left="1980" w:right="819" w:hanging="352"/>
        <w:spacing w:after="0" w:line="254"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124" w:lineRule="exact"/>
        <w:rPr>
          <w:rFonts w:ascii="Arial" w:cs="Arial" w:eastAsia="Arial" w:hAnsi="Arial"/>
          <w:sz w:val="18"/>
          <w:szCs w:val="18"/>
          <w:color w:val="auto"/>
        </w:rPr>
      </w:pPr>
    </w:p>
    <w:p>
      <w:pPr>
        <w:ind w:left="1980" w:right="699" w:hanging="352"/>
        <w:spacing w:after="0" w:line="254"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110" w:lineRule="exact"/>
        <w:rPr>
          <w:rFonts w:ascii="Arial" w:cs="Arial" w:eastAsia="Arial" w:hAnsi="Arial"/>
          <w:sz w:val="18"/>
          <w:szCs w:val="18"/>
          <w:color w:val="auto"/>
        </w:rPr>
      </w:pPr>
    </w:p>
    <w:p>
      <w:pPr>
        <w:ind w:left="1980" w:right="679" w:hanging="352"/>
        <w:spacing w:after="0" w:line="259"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Refinitiv Direct Owners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19" w:lineRule="exact"/>
        <w:rPr>
          <w:rFonts w:ascii="Arial" w:cs="Arial" w:eastAsia="Arial" w:hAnsi="Arial"/>
          <w:sz w:val="18"/>
          <w:szCs w:val="18"/>
          <w:color w:val="auto"/>
        </w:rPr>
      </w:pPr>
    </w:p>
    <w:p>
      <w:pPr>
        <w:ind w:left="1980" w:right="679" w:hanging="352"/>
        <w:spacing w:after="0" w:line="269"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any of its affiliates or permitted transferees or (ii) once the Refinitiv Owners and their affiliates together no longer beneficially own a number of shares of our common stock and LLC Interests that together entitle them to at least 10% of our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77"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Immediately following this offering, Tradeweb will be a holding company whose principal asset will be the LLC Interests it acquires from certain of the Other LLC Owners using the net procceds from this offering and the LLC Interests it receives from the Refinitiv Direct Owners in exchange for shares of Class B common stock issued by us. As the sole manager of TWM LLC, we will operate and control all of the business and affairs of TWM LLC and, through TWM LLC and its subsidiaries, conduct our business. We</w:t>
      </w:r>
    </w:p>
    <w:p>
      <w:pPr>
        <w:sectPr>
          <w:pgSz w:w="11900" w:h="16838" w:orient="portrait"/>
          <w:cols w:equalWidth="0" w:num="1">
            <w:col w:w="10139"/>
          </w:cols>
          <w:pgMar w:left="320" w:top="132" w:right="1440" w:bottom="1440" w:gutter="0" w:footer="0" w:header="0"/>
        </w:sectPr>
      </w:pP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5" w:lineRule="auto"/>
        <w:rPr>
          <w:sz w:val="20"/>
          <w:szCs w:val="20"/>
          <w:color w:val="auto"/>
        </w:rPr>
      </w:pPr>
      <w:r>
        <w:rPr>
          <w:rFonts w:ascii="Arial" w:cs="Arial" w:eastAsia="Arial" w:hAnsi="Arial"/>
          <w:sz w:val="17"/>
          <w:szCs w:val="17"/>
          <w:color w:val="auto"/>
        </w:rPr>
        <w:t>will have the sole voting interest in, and control the management of, TWM LLC. As a result, we will consolidate TWM LLC in our consolidated financial statements and will report a non-controlling interest related to the LLC Interests held by the Continuing LLC Owners on our consolidated financial statements. Tradeweb will have a board of directors and executive officers, but will have no employees. The functions of all of our employees are expected to reside at TWM LLC and its subsidiaries.</w:t>
      </w:r>
    </w:p>
    <w:p>
      <w:pPr>
        <w:spacing w:after="0" w:line="68"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The following diagram shows our organizational structure after giving effect to the Reorganization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65405</wp:posOffset>
            </wp:positionV>
            <wp:extent cx="4800600" cy="5581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00600" cy="558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20" w:right="779" w:hanging="352"/>
        <w:spacing w:after="0" w:line="275"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Included among the Continuing LLC Owners is a holding vehicle to which certain members of the Company’s management team contributed the LLC Interests that they held immediately prior to this offering, and through which such members currently hold such LLC Interests. To facilitate a member’s sale of LLC Interests, a member may cause the holding vehicle to distribute to that member some or all of the LLC Interests that the member contributed to the holding vehicle prior to this offering.</w:t>
      </w: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979" w:firstLine="360"/>
        <w:spacing w:after="0" w:line="274" w:lineRule="auto"/>
        <w:rPr>
          <w:sz w:val="20"/>
          <w:szCs w:val="20"/>
          <w:color w:val="auto"/>
        </w:rPr>
      </w:pPr>
      <w:r>
        <w:rPr>
          <w:rFonts w:ascii="Arial" w:cs="Arial" w:eastAsia="Arial" w:hAnsi="Arial"/>
          <w:sz w:val="17"/>
          <w:szCs w:val="17"/>
          <w:color w:val="auto"/>
        </w:rPr>
        <w:t>We estimate that the net proceeds to us from our sale of shares of Class A common stock in this offering will be approximately $ million, based on the assumed initial public offering price of $ per</w:t>
      </w:r>
    </w:p>
    <w:p>
      <w:pPr>
        <w:ind w:left="1260" w:right="779"/>
        <w:spacing w:after="0" w:line="187" w:lineRule="auto"/>
        <w:rPr>
          <w:sz w:val="20"/>
          <w:szCs w:val="20"/>
          <w:color w:val="auto"/>
        </w:rPr>
      </w:pPr>
      <w:r>
        <w:rPr>
          <w:rFonts w:ascii="Arial" w:cs="Arial" w:eastAsia="Arial" w:hAnsi="Arial"/>
          <w:sz w:val="16"/>
          <w:szCs w:val="16"/>
          <w:color w:val="auto"/>
        </w:rPr>
        <w:t>share, which is the midpoint of the price range set forth on the cover page of this prospectus, and after deducting underwriting discounts and commissions and estimated offering expenses payable by us. If the underwriters exercise in full their option to purchase additional shares of Class A common stock, we expect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60"/>
        <w:spacing w:after="0"/>
        <w:tabs>
          <w:tab w:leader="none" w:pos="28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of net proceeds.</w:t>
      </w:r>
    </w:p>
    <w:p>
      <w:pPr>
        <w:spacing w:after="0" w:line="117"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7"/>
          <w:szCs w:val="17"/>
          <w:color w:val="auto"/>
        </w:rPr>
        <w:t>We intend to use the net proceeds to us from this offering to purchase issued and outstanding LLC Interests from certain of the Other LLC Owners (or LLC Interests if the underwriters exercise in full their</w:t>
      </w:r>
    </w:p>
    <w:p>
      <w:pPr>
        <w:ind w:left="1260" w:right="699"/>
        <w:spacing w:after="0" w:line="255" w:lineRule="auto"/>
        <w:rPr>
          <w:sz w:val="20"/>
          <w:szCs w:val="20"/>
          <w:color w:val="auto"/>
        </w:rPr>
      </w:pPr>
      <w:r>
        <w:rPr>
          <w:rFonts w:ascii="Arial" w:cs="Arial" w:eastAsia="Arial" w:hAnsi="Arial"/>
          <w:sz w:val="18"/>
          <w:szCs w:val="18"/>
          <w:color w:val="auto"/>
        </w:rPr>
        <w:t>option to purchase additional shares of Class A common stock), at a purchase price per interest equal to the initial public offering price per share of Class A common stock, less the underwriting discounts and commissions payable thereon.</w:t>
      </w:r>
    </w:p>
    <w:p>
      <w:pPr>
        <w:spacing w:after="0" w:line="82"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w:t>
      </w:r>
    </w:p>
    <w:p>
      <w:pPr>
        <w:ind w:left="1260" w:right="699"/>
        <w:spacing w:after="0" w:line="281" w:lineRule="auto"/>
        <w:rPr>
          <w:sz w:val="20"/>
          <w:szCs w:val="20"/>
          <w:color w:val="auto"/>
        </w:rPr>
      </w:pPr>
      <w:r>
        <w:rPr>
          <w:rFonts w:ascii="Arial" w:cs="Arial" w:eastAsia="Arial" w:hAnsi="Arial"/>
          <w:sz w:val="16"/>
          <w:szCs w:val="16"/>
          <w:color w:val="auto"/>
        </w:rPr>
        <w:t>from this offering by approximately $ million, assuming the number of shares offered by us, as set forth on the cover page of this prospectus, remains the same, and after deducting underwriting discounts and commissions payable by us. Each increase (decrease) of 1.0 million shares in the number of shares sold by us in this offering, as set forth on the cover page of this prospectus, would increase (decrease) the net proceeds to us from this</w:t>
      </w:r>
    </w:p>
    <w:p>
      <w:pPr>
        <w:spacing w:after="0" w:line="2"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offering by approximately $ million, assuming the assumed initial public offering price of $ per share, the midpoint of the price range set forth on the cover page of this prospectus, remains the same, and after deducting underwriting discounts and commissions payable by us. The information discussed above is illustrative only and will adjust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Following the completion of this offering and subject to legally available funds, we intend to pay quarterly</w:t>
      </w:r>
    </w:p>
    <w:p>
      <w:pPr>
        <w:spacing w:after="0" w:line="35" w:lineRule="exact"/>
        <w:rPr>
          <w:sz w:val="20"/>
          <w:szCs w:val="20"/>
          <w:color w:val="auto"/>
        </w:rPr>
      </w:pPr>
    </w:p>
    <w:p>
      <w:pPr>
        <w:ind w:left="1260" w:right="819"/>
        <w:spacing w:after="0" w:line="265" w:lineRule="auto"/>
        <w:rPr>
          <w:sz w:val="20"/>
          <w:szCs w:val="20"/>
          <w:color w:val="auto"/>
        </w:rPr>
      </w:pPr>
      <w:r>
        <w:rPr>
          <w:rFonts w:ascii="Arial" w:cs="Arial" w:eastAsia="Arial" w:hAnsi="Arial"/>
          <w:sz w:val="17"/>
          <w:szCs w:val="17"/>
          <w:color w:val="auto"/>
        </w:rPr>
        <w:t>cash dividends on our Class A common stock and Class B common stock initially equal to $ per share, commencing with the quarter of . The declaration, amount and payment of any future dividends will</w:t>
      </w:r>
    </w:p>
    <w:p>
      <w:pPr>
        <w:ind w:left="1260" w:right="1079"/>
        <w:spacing w:after="0" w:line="277" w:lineRule="auto"/>
        <w:rPr>
          <w:sz w:val="20"/>
          <w:szCs w:val="20"/>
          <w:color w:val="auto"/>
        </w:rPr>
      </w:pPr>
      <w:r>
        <w:rPr>
          <w:rFonts w:ascii="Arial" w:cs="Arial" w:eastAsia="Arial" w:hAnsi="Arial"/>
          <w:sz w:val="17"/>
          <w:szCs w:val="17"/>
          <w:color w:val="auto"/>
        </w:rPr>
        <w:t>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w:t>
      </w:r>
    </w:p>
    <w:p>
      <w:pPr>
        <w:spacing w:after="0" w:line="65"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76" w:lineRule="exact"/>
        <w:rPr>
          <w:sz w:val="20"/>
          <w:szCs w:val="20"/>
          <w:color w:val="auto"/>
        </w:rPr>
      </w:pPr>
    </w:p>
    <w:p>
      <w:pPr>
        <w:ind w:left="1260" w:right="1179" w:firstLine="360"/>
        <w:spacing w:after="0" w:line="296"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53"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color w:val="auto"/>
        </w:rPr>
        <w:t>See “Risk Factors — Risks Relating to the Company and Our Organizational Structure — Our principal asset after the completion of this offering will be our interest in TWM LLC, and, accordingly, we will depend on distributions from TWM LLC to pay our taxes and expenses, including payments under the Tax Receivable Agreement” and “Risk Factors — Risks Relating to This Offering and Ownership of our Class A Common Stock</w:t>
      </w:r>
    </w:p>
    <w:p>
      <w:pPr>
        <w:spacing w:after="0" w:line="1" w:lineRule="exact"/>
        <w:rPr>
          <w:sz w:val="20"/>
          <w:szCs w:val="20"/>
          <w:color w:val="auto"/>
        </w:rPr>
      </w:pPr>
    </w:p>
    <w:p>
      <w:pPr>
        <w:ind w:left="1260" w:right="799"/>
        <w:spacing w:after="0" w:line="260" w:lineRule="auto"/>
        <w:rPr>
          <w:sz w:val="20"/>
          <w:szCs w:val="20"/>
          <w:color w:val="auto"/>
        </w:rPr>
      </w:pPr>
      <w:r>
        <w:rPr>
          <w:rFonts w:ascii="Arial" w:cs="Arial" w:eastAsia="Arial" w:hAnsi="Arial"/>
          <w:sz w:val="18"/>
          <w:szCs w:val="18"/>
          <w:color w:val="auto"/>
        </w:rPr>
        <w:t>— We intend to pay regular dividends on our Class A common stock and Class B common stock, but our ability to do so may be limited.”</w:t>
      </w:r>
    </w:p>
    <w:p>
      <w:pPr>
        <w:spacing w:after="0" w:line="77"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In February, June, September and December 2018, Tradeweb Markets LLC made cash distributions to its equityholders in aggregate amounts of $25.0 million, $55.0 million, $59.4 million and $36.0 million, respectively.</w:t>
      </w:r>
    </w:p>
    <w:p>
      <w:pPr>
        <w:spacing w:after="0" w:line="76" w:lineRule="exact"/>
        <w:rPr>
          <w:sz w:val="20"/>
          <w:szCs w:val="20"/>
          <w:color w:val="auto"/>
        </w:rPr>
      </w:pPr>
    </w:p>
    <w:p>
      <w:pPr>
        <w:ind w:left="1260" w:right="1339" w:firstLine="360"/>
        <w:spacing w:after="0" w:line="263" w:lineRule="auto"/>
        <w:rPr>
          <w:sz w:val="20"/>
          <w:szCs w:val="20"/>
          <w:color w:val="auto"/>
        </w:rPr>
      </w:pPr>
      <w:r>
        <w:rPr>
          <w:rFonts w:ascii="Arial" w:cs="Arial" w:eastAsia="Arial" w:hAnsi="Arial"/>
          <w:sz w:val="18"/>
          <w:szCs w:val="18"/>
          <w:color w:val="auto"/>
        </w:rPr>
        <w:t>In March, June, August and November 2017, Tradeweb Markets LLC made cash distributions to its equityholders in aggregate amounts of $20.0 million, $50.0 million, $45.0 million and $37.0 million, respectively.</w:t>
      </w:r>
    </w:p>
    <w:p>
      <w:pPr>
        <w:spacing w:after="0" w:line="76" w:lineRule="exact"/>
        <w:rPr>
          <w:sz w:val="20"/>
          <w:szCs w:val="20"/>
          <w:color w:val="auto"/>
        </w:rPr>
      </w:pPr>
    </w:p>
    <w:p>
      <w:pPr>
        <w:ind w:left="1260" w:right="1259" w:firstLine="360"/>
        <w:spacing w:after="0" w:line="263" w:lineRule="auto"/>
        <w:rPr>
          <w:sz w:val="20"/>
          <w:szCs w:val="20"/>
          <w:color w:val="auto"/>
        </w:rPr>
      </w:pPr>
      <w:r>
        <w:rPr>
          <w:rFonts w:ascii="Arial" w:cs="Arial" w:eastAsia="Arial" w:hAnsi="Arial"/>
          <w:sz w:val="18"/>
          <w:szCs w:val="18"/>
          <w:color w:val="auto"/>
        </w:rPr>
        <w:t>In February, May, August and November 2016, Tradeweb Markets LLC made cash distribution to its equityholders in aggregate amounts of $20.0 million, $45.0 million, $35.0 million and $30.0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following table sets forth the cash and cash equivalents and the total capitalization as of September 30, 2018:</w:t>
      </w:r>
    </w:p>
    <w:p>
      <w:pPr>
        <w:spacing w:after="0" w:line="103" w:lineRule="exact"/>
        <w:rPr>
          <w:sz w:val="20"/>
          <w:szCs w:val="20"/>
          <w:color w:val="auto"/>
        </w:rPr>
      </w:pPr>
    </w:p>
    <w:p>
      <w:pPr>
        <w:ind w:left="1980" w:hanging="352"/>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of Tradeweb Markets LLC and its subsidiaries on an actual basis; and</w:t>
      </w:r>
    </w:p>
    <w:p>
      <w:pPr>
        <w:spacing w:after="0" w:line="157" w:lineRule="exact"/>
        <w:rPr>
          <w:rFonts w:ascii="Arial" w:cs="Arial" w:eastAsia="Arial" w:hAnsi="Arial"/>
          <w:sz w:val="18"/>
          <w:szCs w:val="18"/>
          <w:color w:val="auto"/>
        </w:rPr>
      </w:pPr>
    </w:p>
    <w:p>
      <w:pPr>
        <w:jc w:val="both"/>
        <w:ind w:left="1980" w:right="779" w:hanging="352"/>
        <w:spacing w:after="0" w:line="291" w:lineRule="auto"/>
        <w:tabs>
          <w:tab w:leader="none" w:pos="1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of Tradeweb Markets Inc. and its subsidiaries on a pro forma basis to give effect to the Reorganization Transactions, including our issuance and sale of shares of Class A common stock in this offering at an</w:t>
      </w:r>
    </w:p>
    <w:p>
      <w:pPr>
        <w:ind w:left="1980" w:right="679"/>
        <w:spacing w:after="0" w:line="253" w:lineRule="auto"/>
        <w:rPr>
          <w:rFonts w:ascii="Arial" w:cs="Arial" w:eastAsia="Arial" w:hAnsi="Arial"/>
          <w:sz w:val="16"/>
          <w:szCs w:val="16"/>
          <w:color w:val="auto"/>
        </w:rPr>
      </w:pPr>
      <w:r>
        <w:rPr>
          <w:rFonts w:ascii="Arial" w:cs="Arial" w:eastAsia="Arial" w:hAnsi="Arial"/>
          <w:sz w:val="18"/>
          <w:szCs w:val="18"/>
          <w:color w:val="auto"/>
        </w:rPr>
        <w:t>assumed initial public offering price of $ per share, the midpoint of the price range set forth on the cover page of this prospectus, after (i) deducting the estimated underwriting discounts and commissions and estimated offering expenses payable by us and (ii) the application of the proceeds from this offering, each as described under “Use of Proceeds.”</w:t>
      </w:r>
    </w:p>
    <w:p>
      <w:pPr>
        <w:spacing w:after="0" w:line="85"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7"/>
          <w:szCs w:val="17"/>
          <w:color w:val="auto"/>
        </w:rPr>
        <w:t>For more information, please see “The Reorganization Transactions,” “Use of Proceeds” and “Unaudited Pro Forma Consolidated Financial Information.” You should read this information in conjunction with our consolidated financial statements and related notes thereto included elsewhere in this prospectus and the “Management’s Discussion and Analysis of Financial Condition and Results of Operations” section and other financial information contained in this prospectus.</w:t>
      </w: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As of September 30, 2018</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7"/>
              </w:rPr>
              <w:t>Historical</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Tradeweb</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Tradeweb</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640"/>
              <w:spacing w:after="0" w:line="158" w:lineRule="exact"/>
              <w:rPr>
                <w:sz w:val="20"/>
                <w:szCs w:val="20"/>
                <w:color w:val="auto"/>
              </w:rPr>
            </w:pPr>
            <w:r>
              <w:rPr>
                <w:rFonts w:ascii="Arial" w:cs="Arial" w:eastAsia="Arial" w:hAnsi="Arial"/>
                <w:sz w:val="14"/>
                <w:szCs w:val="14"/>
                <w:b w:val="1"/>
                <w:bCs w:val="1"/>
                <w:color w:val="auto"/>
                <w:w w:val="98"/>
              </w:rPr>
              <w:t>Markets</w:t>
            </w:r>
          </w:p>
        </w:tc>
        <w:tc>
          <w:tcPr>
            <w:tcW w:w="126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8"/>
              </w:rPr>
              <w:t>Markets</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LLC</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right="360"/>
              <w:spacing w:after="0" w:line="230" w:lineRule="exact"/>
              <w:rPr>
                <w:sz w:val="20"/>
                <w:szCs w:val="20"/>
                <w:color w:val="auto"/>
              </w:rPr>
            </w:pPr>
            <w:r>
              <w:rPr>
                <w:rFonts w:ascii="Arial" w:cs="Arial" w:eastAsia="Arial" w:hAnsi="Arial"/>
                <w:sz w:val="14"/>
                <w:szCs w:val="14"/>
                <w:b w:val="1"/>
                <w:bCs w:val="1"/>
                <w:color w:val="auto"/>
                <w:w w:val="87"/>
              </w:rPr>
              <w:t>Inc.</w:t>
            </w:r>
            <w:r>
              <w:rPr>
                <w:rFonts w:ascii="Arial" w:cs="Arial" w:eastAsia="Arial" w:hAnsi="Arial"/>
                <w:sz w:val="21"/>
                <w:szCs w:val="21"/>
                <w:b w:val="1"/>
                <w:bCs w:val="1"/>
                <w:color w:val="auto"/>
                <w:w w:val="87"/>
                <w:vertAlign w:val="superscript"/>
              </w:rPr>
              <w:t>(1)</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0" w:type="dxa"/>
            <w:vAlign w:val="bottom"/>
          </w:tcPr>
          <w:p>
            <w:pPr>
              <w:spacing w:after="0"/>
              <w:rPr>
                <w:sz w:val="1"/>
                <w:szCs w:val="1"/>
                <w:color w:val="auto"/>
              </w:rPr>
            </w:pPr>
          </w:p>
        </w:tc>
      </w:tr>
      <w:tr>
        <w:trPr>
          <w:trHeight w:val="277"/>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350,183</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Members’ capital/stockholders’ equity:</w:t>
            </w: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80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Members’ capital</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1,141,496</w:t>
            </w:r>
          </w:p>
        </w:tc>
        <w:tc>
          <w:tcPr>
            <w:tcW w:w="2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(16,331)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Class A common stock, par value $0.01 per share; no shares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3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Class B common stock, par value $0.01 per share; no shares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tcPr>
          <w:p>
            <w:pPr>
              <w:ind w:left="26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rPr>
              <w:t>issued and outstanding, pro forma</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Class C common stock, par value $0.01 per share; no shares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authorized, no shares issued and outstanding, pro forma</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Class D common stock, par value $0.01 per share; no shares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tcPr>
          <w:p>
            <w:pPr>
              <w:ind w:left="26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rPr>
              <w:t>issued and outstanding, pro forma</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Total stockholders’ equity attributable to Tradeweb Markets Inc.</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r>
              <w:rPr>
                <w:rFonts w:ascii="Arial" w:cs="Arial" w:eastAsia="Arial" w:hAnsi="Arial"/>
                <w:sz w:val="26"/>
                <w:szCs w:val="26"/>
                <w:color w:val="auto"/>
                <w:vertAlign w:val="superscript"/>
              </w:rPr>
              <w:t>(2)</w:t>
            </w:r>
          </w:p>
        </w:tc>
        <w:tc>
          <w:tcPr>
            <w:tcW w:w="1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800" w:type="dxa"/>
            <w:vAlign w:val="bottom"/>
            <w:gridSpan w:val="3"/>
          </w:tcPr>
          <w:p>
            <w:pPr>
              <w:ind w:left="360"/>
              <w:spacing w:after="0"/>
              <w:rPr>
                <w:sz w:val="20"/>
                <w:szCs w:val="20"/>
                <w:color w:val="auto"/>
              </w:rPr>
            </w:pPr>
            <w:r>
              <w:rPr>
                <w:rFonts w:ascii="Arial" w:cs="Arial" w:eastAsia="Arial" w:hAnsi="Arial"/>
                <w:sz w:val="18"/>
                <w:szCs w:val="18"/>
                <w:color w:val="auto"/>
                <w:w w:val="99"/>
              </w:rPr>
              <w:t>Total members’ capital/stockholders’ equity</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1,125,165</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1,125,165</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-384810</wp:posOffset>
            </wp:positionV>
            <wp:extent cx="2489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-384810</wp:posOffset>
            </wp:positionV>
            <wp:extent cx="4663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-3805555</wp:posOffset>
            </wp:positionV>
            <wp:extent cx="171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41" w:lineRule="exact"/>
        <w:rPr>
          <w:sz w:val="20"/>
          <w:szCs w:val="20"/>
          <w:color w:val="auto"/>
        </w:rPr>
      </w:pPr>
    </w:p>
    <w:p>
      <w:pPr>
        <w:jc w:val="both"/>
        <w:ind w:left="1620" w:right="679" w:hanging="359"/>
        <w:spacing w:after="0" w:line="287" w:lineRule="auto"/>
        <w:tabs>
          <w:tab w:leader="none" w:pos="160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additional paid-in-capital, total stockholders’ equity and total capitalization on a pro forma basis by approximately</w:t>
      </w:r>
    </w:p>
    <w:p>
      <w:pPr>
        <w:spacing w:after="0" w:line="2" w:lineRule="exact"/>
        <w:rPr>
          <w:sz w:val="20"/>
          <w:szCs w:val="20"/>
          <w:color w:val="auto"/>
        </w:rPr>
      </w:pPr>
    </w:p>
    <w:p>
      <w:pPr>
        <w:ind w:left="2080" w:hanging="452"/>
        <w:spacing w:after="0"/>
        <w:tabs>
          <w:tab w:leader="none" w:pos="2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assuming the number of shares of common stock offered by us, as set</w:t>
      </w:r>
    </w:p>
    <w:p>
      <w:pPr>
        <w:sectPr>
          <w:pgSz w:w="11900" w:h="16838" w:orient="portrait"/>
          <w:cols w:equalWidth="0" w:num="1">
            <w:col w:w="10139"/>
          </w:cols>
          <w:pgMar w:left="320" w:top="132" w:right="1440" w:bottom="1440" w:gutter="0" w:footer="0" w:header="0"/>
        </w:sect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699"/>
        <w:spacing w:after="0" w:line="286" w:lineRule="auto"/>
        <w:rPr>
          <w:sz w:val="20"/>
          <w:szCs w:val="20"/>
          <w:color w:val="auto"/>
        </w:rPr>
      </w:pPr>
      <w:r>
        <w:rPr>
          <w:rFonts w:ascii="Arial" w:cs="Arial" w:eastAsia="Arial" w:hAnsi="Arial"/>
          <w:sz w:val="16"/>
          <w:szCs w:val="16"/>
          <w:color w:val="auto"/>
        </w:rPr>
        <w:t>forth on the cover page of this prospectus, remains the same, and after deducting underwriting discounts and commissions payable by us. Each increase (decrease) of 1.0 million shares in the number of shares of common stock sold in this offering by us, as set forth on the cover page of this prospectus, would increase (decrease) each of additional paid-in-capital, total stockholders’ equity and total capitalization on a</w:t>
      </w:r>
    </w:p>
    <w:p>
      <w:pPr>
        <w:spacing w:after="0" w:line="1" w:lineRule="exact"/>
        <w:rPr>
          <w:sz w:val="20"/>
          <w:szCs w:val="20"/>
          <w:color w:val="auto"/>
        </w:rPr>
      </w:pPr>
    </w:p>
    <w:p>
      <w:pPr>
        <w:ind w:left="1620" w:right="919"/>
        <w:spacing w:after="0" w:line="255" w:lineRule="auto"/>
        <w:rPr>
          <w:sz w:val="20"/>
          <w:szCs w:val="20"/>
          <w:color w:val="auto"/>
        </w:rPr>
      </w:pPr>
      <w:r>
        <w:rPr>
          <w:rFonts w:ascii="Arial" w:cs="Arial" w:eastAsia="Arial" w:hAnsi="Arial"/>
          <w:sz w:val="18"/>
          <w:szCs w:val="18"/>
          <w:color w:val="auto"/>
        </w:rPr>
        <w:t>pro forma basis by approximately $ , assuming an initial public offering price of $ per share, the midpoint of the price range set forth on the cover page of this prospectus, remains the same, and after deducting underwriting discounts and commissions payable by us.</w:t>
      </w:r>
    </w:p>
    <w:p>
      <w:pPr>
        <w:spacing w:after="0" w:line="163" w:lineRule="exact"/>
        <w:rPr>
          <w:sz w:val="20"/>
          <w:szCs w:val="20"/>
          <w:color w:val="auto"/>
        </w:rPr>
      </w:pPr>
    </w:p>
    <w:p>
      <w:pPr>
        <w:ind w:left="1620" w:right="699" w:hanging="359"/>
        <w:spacing w:after="0" w:line="255" w:lineRule="auto"/>
        <w:tabs>
          <w:tab w:leader="none" w:pos="1600" w:val="left"/>
        </w:tabs>
        <w:rPr>
          <w:sz w:val="20"/>
          <w:szCs w:val="20"/>
          <w:color w:val="auto"/>
        </w:rPr>
      </w:pPr>
      <w:r>
        <w:rPr>
          <w:rFonts w:ascii="Arial" w:cs="Arial" w:eastAsia="Arial" w:hAnsi="Arial"/>
          <w:sz w:val="18"/>
          <w:szCs w:val="18"/>
          <w:color w:val="auto"/>
        </w:rPr>
        <w:t>(2)</w:t>
        <w:tab/>
        <w:t>On a pro forma basis, includes the LLC Interests not owned by us, which represents % (or % if the underwriters exercise in full their option to purchase additional shares of Class A common stock) of TWM LLC’s outstanding common equity. The Refinitiv LLC Owners and the Other LLC Owners will hold the non-controlling interests in TWM LLC. Tradeweb will hold % of the economic interests in TWM LLC, the Refinitiv LLC Owners will hold % of the economic interests in TWM LLC and the Other LLC Owners will hold % of the economic interests in TWM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The Continuing LLC Owners will maintain their LLC Interests in TWM LLC after the Reorganization Transactions. Because the Continuing LLC Owners do not own any Class A common stock or have any right to receive distributions from Tradeweb, we have presented dilution in pro forma net tangible book value per share assuming that all of the holders of LLC Interests (other than Tradeweb) had their LLC Interests redeemed for newly issued shares of Class A common stock or Class B common stock on a one-for-one basis (rather than for cash) and the cancellation for no consideration of all of their shares of Class D common stock (which are not entitled to receive distributions or dividends, whether cash or stock, from Tradeweb) in order to more meaningfully present the dilutive impact on the investors in this offering. We refer to the assumed redemption of all LLC Interests as described in the previous sentence as the “Assumed Redemption.”</w:t>
      </w:r>
    </w:p>
    <w:p>
      <w:pPr>
        <w:spacing w:after="0" w:line="58"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57"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6"/>
          <w:szCs w:val="16"/>
          <w:color w:val="auto"/>
        </w:rPr>
        <w:t>Pro forma net tangible book value per share is determined at any date by dividing our pro forma net tangible book value, which is total tangible assets less total liabilities, by the number of shares of common stock outstanding, after giving effect to the Reorganization Transactions, including this offering, and the Assumed Redemption. Our pro forma net tangible book value as of September 30, 2018 after this offering, would have</w:t>
      </w:r>
    </w:p>
    <w:p>
      <w:pPr>
        <w:spacing w:after="0" w:line="1" w:lineRule="exact"/>
        <w:rPr>
          <w:sz w:val="20"/>
          <w:szCs w:val="20"/>
          <w:color w:val="auto"/>
        </w:rPr>
      </w:pPr>
    </w:p>
    <w:p>
      <w:pPr>
        <w:ind w:left="1260"/>
        <w:spacing w:after="0"/>
        <w:tabs>
          <w:tab w:leader="none" w:pos="3220" w:val="left"/>
          <w:tab w:leader="none" w:pos="4520" w:val="left"/>
        </w:tabs>
        <w:rPr>
          <w:sz w:val="20"/>
          <w:szCs w:val="20"/>
          <w:color w:val="auto"/>
        </w:rPr>
      </w:pPr>
      <w:r>
        <w:rPr>
          <w:rFonts w:ascii="Arial" w:cs="Arial" w:eastAsia="Arial" w:hAnsi="Arial"/>
          <w:sz w:val="18"/>
          <w:szCs w:val="18"/>
          <w:color w:val="auto"/>
        </w:rPr>
        <w:t>been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5"/>
          <w:szCs w:val="15"/>
          <w:color w:val="auto"/>
        </w:rPr>
        <w:t>per share. This amount represents an immediate increase in</w:t>
      </w:r>
    </w:p>
    <w:p>
      <w:pPr>
        <w:spacing w:after="0" w:line="9" w:lineRule="exact"/>
        <w:rPr>
          <w:sz w:val="20"/>
          <w:szCs w:val="20"/>
          <w:color w:val="auto"/>
        </w:rPr>
      </w:pPr>
    </w:p>
    <w:p>
      <w:pPr>
        <w:ind w:left="1260"/>
        <w:spacing w:after="0"/>
        <w:tabs>
          <w:tab w:leader="none" w:pos="4460" w:val="left"/>
        </w:tabs>
        <w:rPr>
          <w:sz w:val="20"/>
          <w:szCs w:val="20"/>
          <w:color w:val="auto"/>
        </w:rPr>
      </w:pPr>
      <w:r>
        <w:rPr>
          <w:rFonts w:ascii="Arial" w:cs="Arial" w:eastAsia="Arial" w:hAnsi="Arial"/>
          <w:sz w:val="18"/>
          <w:szCs w:val="18"/>
          <w:color w:val="auto"/>
        </w:rPr>
        <w:t>pro forma net tangible book value of $</w:t>
      </w:r>
      <w:r>
        <w:rPr>
          <w:sz w:val="20"/>
          <w:szCs w:val="20"/>
          <w:color w:val="auto"/>
        </w:rPr>
        <w:tab/>
      </w:r>
      <w:r>
        <w:rPr>
          <w:rFonts w:ascii="Arial" w:cs="Arial" w:eastAsia="Arial" w:hAnsi="Arial"/>
          <w:sz w:val="16"/>
          <w:szCs w:val="16"/>
          <w:color w:val="auto"/>
        </w:rPr>
        <w:t>per share to our existing stockholders and an immediate dilution in</w:t>
      </w:r>
    </w:p>
    <w:p>
      <w:pPr>
        <w:spacing w:after="0" w:line="9" w:lineRule="exact"/>
        <w:rPr>
          <w:sz w:val="20"/>
          <w:szCs w:val="20"/>
          <w:color w:val="auto"/>
        </w:rPr>
      </w:pPr>
    </w:p>
    <w:p>
      <w:pPr>
        <w:ind w:left="1260"/>
        <w:spacing w:after="0"/>
        <w:tabs>
          <w:tab w:leader="none" w:pos="5520" w:val="left"/>
        </w:tabs>
        <w:rPr>
          <w:sz w:val="20"/>
          <w:szCs w:val="20"/>
          <w:color w:val="auto"/>
        </w:rPr>
      </w:pPr>
      <w:r>
        <w:rPr>
          <w:rFonts w:ascii="Arial" w:cs="Arial" w:eastAsia="Arial" w:hAnsi="Arial"/>
          <w:sz w:val="18"/>
          <w:szCs w:val="18"/>
          <w:color w:val="auto"/>
        </w:rPr>
        <w:t>pro forma net tangible book value of approximately $</w:t>
      </w:r>
      <w:r>
        <w:rPr>
          <w:sz w:val="20"/>
          <w:szCs w:val="20"/>
          <w:color w:val="auto"/>
        </w:rPr>
        <w:tab/>
      </w:r>
      <w:r>
        <w:rPr>
          <w:rFonts w:ascii="Arial" w:cs="Arial" w:eastAsia="Arial" w:hAnsi="Arial"/>
          <w:sz w:val="15"/>
          <w:szCs w:val="15"/>
          <w:color w:val="auto"/>
        </w:rPr>
        <w:t>per share to new investors purchasing shares of</w:t>
      </w:r>
    </w:p>
    <w:p>
      <w:pPr>
        <w:spacing w:after="0" w:line="9" w:lineRule="exact"/>
        <w:rPr>
          <w:sz w:val="20"/>
          <w:szCs w:val="20"/>
          <w:color w:val="auto"/>
        </w:rPr>
      </w:pPr>
    </w:p>
    <w:p>
      <w:pPr>
        <w:ind w:left="1260" w:right="1019"/>
        <w:spacing w:after="0" w:line="255" w:lineRule="auto"/>
        <w:rPr>
          <w:sz w:val="20"/>
          <w:szCs w:val="20"/>
          <w:color w:val="auto"/>
        </w:rPr>
      </w:pPr>
      <w:r>
        <w:rPr>
          <w:rFonts w:ascii="Arial" w:cs="Arial" w:eastAsia="Arial" w:hAnsi="Arial"/>
          <w:sz w:val="18"/>
          <w:szCs w:val="18"/>
          <w:color w:val="auto"/>
        </w:rPr>
        <w:t>Class A common stock in this offering. We determine dilution by subtracting the pro forma net tangible book value per share after this offering from the amount of cash that a new investor paid for a share of Class A common stock.</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Assumed initial public offering price per share</w:t>
            </w:r>
          </w:p>
        </w:tc>
        <w:tc>
          <w:tcPr>
            <w:tcW w:w="11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060" w:type="dxa"/>
            <w:vAlign w:val="bottom"/>
            <w:gridSpan w:val="2"/>
          </w:tcPr>
          <w:p>
            <w:pPr>
              <w:ind w:left="180"/>
              <w:spacing w:after="0" w:line="192" w:lineRule="exact"/>
              <w:rPr>
                <w:sz w:val="20"/>
                <w:szCs w:val="20"/>
                <w:color w:val="auto"/>
              </w:rPr>
            </w:pPr>
            <w:r>
              <w:rPr>
                <w:rFonts w:ascii="Arial" w:cs="Arial" w:eastAsia="Arial" w:hAnsi="Arial"/>
                <w:sz w:val="18"/>
                <w:szCs w:val="18"/>
                <w:color w:val="auto"/>
              </w:rPr>
              <w:t>Pro forma net tangible book value per share as of September 30, 2018 before this</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7060" w:type="dxa"/>
            <w:vAlign w:val="bottom"/>
            <w:gridSpan w:val="2"/>
          </w:tcPr>
          <w:p>
            <w:pPr>
              <w:ind w:left="360"/>
              <w:spacing w:after="0" w:line="281" w:lineRule="exact"/>
              <w:rPr>
                <w:sz w:val="20"/>
                <w:szCs w:val="20"/>
                <w:color w:val="auto"/>
              </w:rPr>
            </w:pPr>
            <w:r>
              <w:rPr>
                <w:rFonts w:ascii="Arial" w:cs="Arial" w:eastAsia="Arial" w:hAnsi="Arial"/>
                <w:sz w:val="18"/>
                <w:szCs w:val="18"/>
                <w:color w:val="auto"/>
              </w:rPr>
              <w:t>offering</w:t>
            </w:r>
            <w:r>
              <w:rPr>
                <w:rFonts w:ascii="Arial" w:cs="Arial" w:eastAsia="Arial" w:hAnsi="Arial"/>
                <w:sz w:val="26"/>
                <w:szCs w:val="26"/>
                <w:color w:val="auto"/>
                <w:vertAlign w:val="superscript"/>
              </w:rPr>
              <w:t>(1)</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in this offering</w:t>
            </w:r>
          </w:p>
        </w:tc>
        <w:tc>
          <w:tcPr>
            <w:tcW w:w="4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 forma net tangible book value per share after this offering</w:t>
            </w:r>
          </w:p>
        </w:tc>
        <w:tc>
          <w:tcPr>
            <w:tcW w:w="4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auto"/>
            </w:tcBorders>
          </w:tcPr>
          <w:p>
            <w:pPr>
              <w:spacing w:after="0"/>
              <w:rPr>
                <w:sz w:val="21"/>
                <w:szCs w:val="21"/>
                <w:color w:val="auto"/>
              </w:rPr>
            </w:pPr>
          </w:p>
        </w:tc>
        <w:tc>
          <w:tcPr>
            <w:tcW w:w="5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-367665</wp:posOffset>
            </wp:positionV>
            <wp:extent cx="4946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spacing w:after="0" w:line="182" w:lineRule="exact"/>
        <w:rPr>
          <w:sz w:val="20"/>
          <w:szCs w:val="20"/>
          <w:color w:val="auto"/>
        </w:rPr>
      </w:pPr>
    </w:p>
    <w:p>
      <w:pPr>
        <w:ind w:left="1620" w:right="1219" w:hanging="352"/>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September 30, 2018 before this offering is set forth below:</w:t>
      </w:r>
    </w:p>
    <w:p>
      <w:pPr>
        <w:spacing w:after="0" w:line="81"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23495</wp:posOffset>
            </wp:positionV>
            <wp:extent cx="429450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94505" cy="154305"/>
                    </a:xfrm>
                    <a:prstGeom prst="rect">
                      <a:avLst/>
                    </a:prstGeom>
                    <a:noFill/>
                  </pic:spPr>
                </pic:pic>
              </a:graphicData>
            </a:graphic>
          </wp:anchor>
        </w:drawing>
      </w:r>
    </w:p>
    <w:p>
      <w:pPr>
        <w:spacing w:after="0" w:line="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Numerator</w:t>
      </w:r>
    </w:p>
    <w:p>
      <w:pPr>
        <w:spacing w:after="0" w:line="36" w:lineRule="exact"/>
        <w:rPr>
          <w:sz w:val="20"/>
          <w:szCs w:val="20"/>
          <w:color w:val="auto"/>
        </w:rPr>
      </w:pPr>
    </w:p>
    <w:tbl>
      <w:tblPr>
        <w:tblLayout w:type="fixed"/>
        <w:tblInd w:w="19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Book value of tangible assets</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r>
      <w:tr>
        <w:trPr>
          <w:trHeight w:val="256"/>
        </w:trPr>
        <w:tc>
          <w:tcPr>
            <w:tcW w:w="20" w:type="dxa"/>
            <w:vAlign w:val="bottom"/>
          </w:tcPr>
          <w:p>
            <w:pPr>
              <w:spacing w:after="0"/>
              <w:rPr>
                <w:sz w:val="22"/>
                <w:szCs w:val="22"/>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total liabilities</w:t>
            </w:r>
          </w:p>
        </w:tc>
        <w:tc>
          <w:tcPr>
            <w:tcW w:w="460" w:type="dxa"/>
            <w:vAlign w:val="bottom"/>
            <w:tcBorders>
              <w:bottom w:val="single" w:sz="8" w:color="auto"/>
            </w:tcBorders>
            <w:shd w:val="clear" w:color="auto" w:fill="CCEEFF"/>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6300" w:type="dxa"/>
            <w:vAlign w:val="bottom"/>
            <w:tcBorders>
              <w:bottom w:val="single" w:sz="8" w:color="CCEEFF"/>
            </w:tcBorders>
            <w:gridSpan w:val="2"/>
          </w:tcPr>
          <w:p>
            <w:pPr>
              <w:ind w:left="340"/>
              <w:spacing w:after="0" w:line="250" w:lineRule="exact"/>
              <w:rPr>
                <w:sz w:val="20"/>
                <w:szCs w:val="20"/>
                <w:color w:val="auto"/>
              </w:rPr>
            </w:pPr>
            <w:r>
              <w:rPr>
                <w:rFonts w:ascii="Arial" w:cs="Arial" w:eastAsia="Arial" w:hAnsi="Arial"/>
                <w:sz w:val="18"/>
                <w:szCs w:val="18"/>
                <w:color w:val="auto"/>
              </w:rPr>
              <w:t>Pro forma net tangible book value</w:t>
            </w:r>
            <w:r>
              <w:rPr>
                <w:rFonts w:ascii="Arial" w:cs="Arial" w:eastAsia="Arial" w:hAnsi="Arial"/>
                <w:sz w:val="26"/>
                <w:szCs w:val="26"/>
                <w:color w:val="auto"/>
                <w:vertAlign w:val="superscript"/>
              </w:rPr>
              <w:t>(a)</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r>
      <w:tr>
        <w:trPr>
          <w:trHeight w:val="183"/>
        </w:trPr>
        <w:tc>
          <w:tcPr>
            <w:tcW w:w="20" w:type="dxa"/>
            <w:vAlign w:val="bottom"/>
          </w:tcPr>
          <w:p>
            <w:pPr>
              <w:spacing w:after="0"/>
              <w:rPr>
                <w:sz w:val="15"/>
                <w:szCs w:val="15"/>
                <w:color w:val="auto"/>
              </w:rPr>
            </w:pPr>
          </w:p>
        </w:tc>
        <w:tc>
          <w:tcPr>
            <w:tcW w:w="63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Shares of common stock to be outstanding after this offering</w:t>
            </w:r>
          </w:p>
        </w:tc>
        <w:tc>
          <w:tcPr>
            <w:tcW w:w="46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Assumed Redemption</w:t>
            </w:r>
          </w:p>
        </w:tc>
        <w:tc>
          <w:tcPr>
            <w:tcW w:w="460" w:type="dxa"/>
            <w:vAlign w:val="bottom"/>
            <w:tcBorders>
              <w:bottom w:val="single" w:sz="8" w:color="auto"/>
            </w:tcBorders>
            <w:shd w:val="clear" w:color="auto" w:fill="CCEEFF"/>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6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net tangible book value per share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436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2" w:lineRule="exact"/>
        <w:rPr>
          <w:sz w:val="20"/>
          <w:szCs w:val="20"/>
          <w:color w:val="auto"/>
        </w:rPr>
      </w:pPr>
    </w:p>
    <w:p>
      <w:pPr>
        <w:ind w:left="2340" w:right="1219" w:hanging="352"/>
        <w:spacing w:after="0" w:line="277" w:lineRule="auto"/>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Gives pro forma effect to the Reorganization Transactions (other than this offering) and the Assumed Redemption.</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affect our pro forma net tangible book value</w:t>
      </w:r>
    </w:p>
    <w:p>
      <w:pPr>
        <w:ind w:left="1260" w:right="679"/>
        <w:spacing w:after="0" w:line="265" w:lineRule="auto"/>
        <w:rPr>
          <w:sz w:val="20"/>
          <w:szCs w:val="20"/>
          <w:color w:val="auto"/>
        </w:rPr>
      </w:pPr>
      <w:r>
        <w:rPr>
          <w:rFonts w:ascii="Arial" w:cs="Arial" w:eastAsia="Arial" w:hAnsi="Arial"/>
          <w:sz w:val="17"/>
          <w:szCs w:val="17"/>
          <w:color w:val="auto"/>
        </w:rPr>
        <w:t>after this offering by approximately $ million, the pro forma net tangible book value per share after this offering by $ per share, and the dilution per share to new investors by $ per share, assuming the number</w:t>
      </w:r>
    </w:p>
    <w:p>
      <w:pPr>
        <w:ind w:left="1260" w:right="899"/>
        <w:spacing w:after="0" w:line="281" w:lineRule="auto"/>
        <w:rPr>
          <w:sz w:val="20"/>
          <w:szCs w:val="20"/>
          <w:color w:val="auto"/>
        </w:rPr>
      </w:pPr>
      <w:r>
        <w:rPr>
          <w:rFonts w:ascii="Arial" w:cs="Arial" w:eastAsia="Arial" w:hAnsi="Arial"/>
          <w:sz w:val="16"/>
          <w:szCs w:val="16"/>
          <w:color w:val="auto"/>
        </w:rPr>
        <w:t>of shares offered by us, as set forth on the cover page of this prospectus, remains the same, and after deducting underwriting discounts and commissions payable by us. Each increase (decrease) of 1.0 million shares in the number of shares sold by us in this offering, as set forth on the cover page of this prospectus, would affect our</w:t>
      </w:r>
    </w:p>
    <w:p>
      <w:pPr>
        <w:spacing w:after="0" w:line="2" w:lineRule="exact"/>
        <w:rPr>
          <w:sz w:val="20"/>
          <w:szCs w:val="20"/>
          <w:color w:val="auto"/>
        </w:rPr>
      </w:pPr>
    </w:p>
    <w:p>
      <w:pPr>
        <w:ind w:left="1260"/>
        <w:spacing w:after="0"/>
        <w:tabs>
          <w:tab w:leader="none" w:pos="6840" w:val="left"/>
        </w:tabs>
        <w:rPr>
          <w:sz w:val="20"/>
          <w:szCs w:val="20"/>
          <w:color w:val="auto"/>
        </w:rPr>
      </w:pPr>
      <w:r>
        <w:rPr>
          <w:rFonts w:ascii="Arial" w:cs="Arial" w:eastAsia="Arial" w:hAnsi="Arial"/>
          <w:sz w:val="18"/>
          <w:szCs w:val="18"/>
          <w:color w:val="auto"/>
        </w:rPr>
        <w:t>pro forma net tangible book value after this offering by approximately $</w:t>
      </w:r>
      <w:r>
        <w:rPr>
          <w:sz w:val="20"/>
          <w:szCs w:val="20"/>
          <w:color w:val="auto"/>
        </w:rPr>
        <w:tab/>
      </w:r>
      <w:r>
        <w:rPr>
          <w:rFonts w:ascii="Arial" w:cs="Arial" w:eastAsia="Arial" w:hAnsi="Arial"/>
          <w:sz w:val="16"/>
          <w:szCs w:val="16"/>
          <w:color w:val="auto"/>
        </w:rPr>
        <w:t>million, the pro forma net tangible</w:t>
      </w:r>
    </w:p>
    <w:p>
      <w:pPr>
        <w:spacing w:after="0" w:line="9" w:lineRule="exact"/>
        <w:rPr>
          <w:sz w:val="20"/>
          <w:szCs w:val="20"/>
          <w:color w:val="auto"/>
        </w:rPr>
      </w:pPr>
    </w:p>
    <w:p>
      <w:pPr>
        <w:ind w:left="1260"/>
        <w:spacing w:after="0"/>
        <w:tabs>
          <w:tab w:leader="none" w:pos="4800" w:val="left"/>
        </w:tabs>
        <w:rPr>
          <w:sz w:val="20"/>
          <w:szCs w:val="20"/>
          <w:color w:val="auto"/>
        </w:rPr>
      </w:pPr>
      <w:r>
        <w:rPr>
          <w:rFonts w:ascii="Arial" w:cs="Arial" w:eastAsia="Arial" w:hAnsi="Arial"/>
          <w:sz w:val="18"/>
          <w:szCs w:val="18"/>
          <w:color w:val="auto"/>
        </w:rPr>
        <w:t>book value per share after this offering by $</w:t>
      </w:r>
      <w:r>
        <w:rPr>
          <w:sz w:val="20"/>
          <w:szCs w:val="20"/>
          <w:color w:val="auto"/>
        </w:rPr>
        <w:tab/>
      </w:r>
      <w:r>
        <w:rPr>
          <w:rFonts w:ascii="Arial" w:cs="Arial" w:eastAsia="Arial" w:hAnsi="Arial"/>
          <w:sz w:val="16"/>
          <w:szCs w:val="16"/>
          <w:color w:val="auto"/>
        </w:rPr>
        <w:t>per share, and the dilution per share to new investors by $</w:t>
      </w:r>
    </w:p>
    <w:p>
      <w:pPr>
        <w:spacing w:after="0" w:line="9" w:lineRule="exact"/>
        <w:rPr>
          <w:sz w:val="20"/>
          <w:szCs w:val="20"/>
          <w:color w:val="auto"/>
        </w:rPr>
      </w:pPr>
    </w:p>
    <w:p>
      <w:pPr>
        <w:ind w:left="1260"/>
        <w:spacing w:after="0"/>
        <w:tabs>
          <w:tab w:leader="none" w:pos="6360" w:val="left"/>
        </w:tabs>
        <w:rPr>
          <w:sz w:val="20"/>
          <w:szCs w:val="20"/>
          <w:color w:val="auto"/>
        </w:rPr>
      </w:pPr>
      <w:r>
        <w:rPr>
          <w:rFonts w:ascii="Arial" w:cs="Arial" w:eastAsia="Arial" w:hAnsi="Arial"/>
          <w:sz w:val="18"/>
          <w:szCs w:val="18"/>
          <w:color w:val="auto"/>
        </w:rPr>
        <w:t>per share, assuming the assumed initial public offering price of $</w:t>
      </w:r>
      <w:r>
        <w:rPr>
          <w:sz w:val="20"/>
          <w:szCs w:val="20"/>
          <w:color w:val="auto"/>
        </w:rPr>
        <w:tab/>
      </w:r>
      <w:r>
        <w:rPr>
          <w:rFonts w:ascii="Arial" w:cs="Arial" w:eastAsia="Arial" w:hAnsi="Arial"/>
          <w:sz w:val="16"/>
          <w:szCs w:val="16"/>
          <w:color w:val="auto"/>
        </w:rPr>
        <w:t>per share, the midpoint of the price range</w:t>
      </w:r>
    </w:p>
    <w:p>
      <w:pPr>
        <w:spacing w:after="0" w:line="9" w:lineRule="exact"/>
        <w:rPr>
          <w:sz w:val="20"/>
          <w:szCs w:val="20"/>
          <w:color w:val="auto"/>
        </w:rPr>
      </w:pPr>
    </w:p>
    <w:p>
      <w:pPr>
        <w:ind w:left="1260" w:right="819"/>
        <w:spacing w:after="0" w:line="260" w:lineRule="auto"/>
        <w:rPr>
          <w:sz w:val="20"/>
          <w:szCs w:val="20"/>
          <w:color w:val="auto"/>
        </w:rPr>
      </w:pPr>
      <w:r>
        <w:rPr>
          <w:rFonts w:ascii="Arial" w:cs="Arial" w:eastAsia="Arial" w:hAnsi="Arial"/>
          <w:sz w:val="18"/>
          <w:szCs w:val="18"/>
          <w:color w:val="auto"/>
        </w:rPr>
        <w:t>set forth on the cover page of this prospectus, remains the same, and after deducting underwriting discounts and commissions payable by us.</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the</w:t>
      </w:r>
    </w:p>
    <w:p>
      <w:pPr>
        <w:spacing w:after="0" w:line="46" w:lineRule="exact"/>
        <w:rPr>
          <w:sz w:val="20"/>
          <w:szCs w:val="20"/>
          <w:color w:val="auto"/>
        </w:rPr>
      </w:pPr>
    </w:p>
    <w:p>
      <w:pPr>
        <w:ind w:left="1260" w:right="699"/>
        <w:spacing w:after="0" w:line="265" w:lineRule="auto"/>
        <w:rPr>
          <w:sz w:val="20"/>
          <w:szCs w:val="20"/>
          <w:color w:val="auto"/>
        </w:rPr>
      </w:pPr>
      <w:r>
        <w:rPr>
          <w:rFonts w:ascii="Arial" w:cs="Arial" w:eastAsia="Arial" w:hAnsi="Arial"/>
          <w:sz w:val="17"/>
          <w:szCs w:val="17"/>
          <w:color w:val="auto"/>
        </w:rPr>
        <w:t>pro forma net tangible book value after the offering would be $ per share, the increase in pro forma net tangible book value per share to existing stockholders would be $ and the dilution per share to new investors would be $ per share, in each case assuming an initial public offering price of $ per share, which is the</w:t>
      </w:r>
    </w:p>
    <w:p>
      <w:pPr>
        <w:ind w:left="1260"/>
        <w:spacing w:after="0"/>
        <w:rPr>
          <w:sz w:val="20"/>
          <w:szCs w:val="20"/>
          <w:color w:val="auto"/>
        </w:rPr>
      </w:pPr>
      <w:r>
        <w:rPr>
          <w:rFonts w:ascii="Arial" w:cs="Arial" w:eastAsia="Arial" w:hAnsi="Arial"/>
          <w:sz w:val="18"/>
          <w:szCs w:val="18"/>
          <w:color w:val="auto"/>
        </w:rPr>
        <w:t>midpoint of the price range listed on the cover page of this prospectus.</w:t>
      </w:r>
    </w:p>
    <w:p>
      <w:pPr>
        <w:spacing w:after="0" w:line="103" w:lineRule="exact"/>
        <w:rPr>
          <w:sz w:val="20"/>
          <w:szCs w:val="20"/>
          <w:color w:val="auto"/>
        </w:rPr>
      </w:pPr>
    </w:p>
    <w:p>
      <w:pPr>
        <w:ind w:left="1260" w:right="1459" w:firstLine="360"/>
        <w:spacing w:after="0" w:line="308" w:lineRule="auto"/>
        <w:rPr>
          <w:sz w:val="20"/>
          <w:szCs w:val="20"/>
          <w:color w:val="auto"/>
        </w:rPr>
      </w:pPr>
      <w:r>
        <w:rPr>
          <w:rFonts w:ascii="Arial" w:cs="Arial" w:eastAsia="Arial" w:hAnsi="Arial"/>
          <w:sz w:val="17"/>
          <w:szCs w:val="17"/>
          <w:color w:val="auto"/>
        </w:rPr>
        <w:t>The following table summarizes, as of September 30, 2018, after giving effect to this offering, the differences between the Original LLC Owners and new investors in this offering with regard to:</w:t>
      </w:r>
    </w:p>
    <w:p>
      <w:pPr>
        <w:spacing w:after="0" w:line="119" w:lineRule="exact"/>
        <w:rPr>
          <w:sz w:val="20"/>
          <w:szCs w:val="20"/>
          <w:color w:val="auto"/>
        </w:rPr>
      </w:pPr>
    </w:p>
    <w:p>
      <w:pPr>
        <w:ind w:left="1980" w:right="779" w:hanging="352"/>
        <w:spacing w:after="0" w:line="342" w:lineRule="auto"/>
        <w:tabs>
          <w:tab w:leader="none" w:pos="1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number of shares of Class A common stock purchased from us by investors in this offering and the number of shares issued to the Original LLC Owners after giving effect to the Assumed Redemption;</w:t>
      </w:r>
    </w:p>
    <w:p>
      <w:pPr>
        <w:spacing w:after="0" w:line="83" w:lineRule="exact"/>
        <w:rPr>
          <w:rFonts w:ascii="Arial" w:cs="Arial" w:eastAsia="Arial" w:hAnsi="Arial"/>
          <w:sz w:val="16"/>
          <w:szCs w:val="16"/>
          <w:color w:val="auto"/>
        </w:rPr>
      </w:pPr>
    </w:p>
    <w:p>
      <w:pPr>
        <w:ind w:left="1980" w:right="939" w:hanging="352"/>
        <w:spacing w:after="0" w:line="308" w:lineRule="auto"/>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total consideration paid to us in cash by investors purchasing shares of Class A common stock in this offering and by the Original LLC Owners including historical cash contributions; and</w:t>
      </w:r>
    </w:p>
    <w:p>
      <w:pPr>
        <w:spacing w:after="0" w:line="105" w:lineRule="exact"/>
        <w:rPr>
          <w:rFonts w:ascii="Arial" w:cs="Arial" w:eastAsia="Arial" w:hAnsi="Arial"/>
          <w:sz w:val="17"/>
          <w:szCs w:val="17"/>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average price per share that such Original LLC Owners and new investors paid.</w:t>
      </w:r>
    </w:p>
    <w:p>
      <w:pPr>
        <w:spacing w:after="0" w:line="149"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Average Price</w:t>
            </w: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Shares Purchased</w:t>
            </w:r>
          </w:p>
        </w:tc>
        <w:tc>
          <w:tcPr>
            <w:tcW w:w="13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Consideration</w:t>
            </w: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Per Share</w:t>
            </w:r>
          </w:p>
        </w:tc>
      </w:tr>
      <w:tr>
        <w:trPr>
          <w:trHeight w:val="25"/>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90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r>
      <w:tr>
        <w:trPr>
          <w:trHeight w:val="263"/>
        </w:trPr>
        <w:tc>
          <w:tcPr>
            <w:tcW w:w="354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-196215</wp:posOffset>
            </wp:positionV>
            <wp:extent cx="42691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-539115</wp:posOffset>
            </wp:positionV>
            <wp:extent cx="6858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-539115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-539115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-539115</wp:posOffset>
            </wp:positionV>
            <wp:extent cx="23831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2"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increase (decrease) total consideration paid by new investors, total consideration paid by all stockholders and average price per share paid by all stockholders by</w:t>
      </w:r>
    </w:p>
    <w:p>
      <w:pPr>
        <w:spacing w:after="0" w:line="2" w:lineRule="exact"/>
        <w:rPr>
          <w:sz w:val="20"/>
          <w:szCs w:val="20"/>
          <w:color w:val="auto"/>
        </w:rPr>
      </w:pPr>
    </w:p>
    <w:p>
      <w:pPr>
        <w:ind w:left="1260" w:right="819"/>
        <w:spacing w:after="0" w:line="281" w:lineRule="auto"/>
        <w:rPr>
          <w:sz w:val="20"/>
          <w:szCs w:val="20"/>
          <w:color w:val="auto"/>
        </w:rPr>
      </w:pPr>
      <w:r>
        <w:rPr>
          <w:rFonts w:ascii="Arial" w:cs="Arial" w:eastAsia="Arial" w:hAnsi="Arial"/>
          <w:sz w:val="16"/>
          <w:szCs w:val="16"/>
          <w:color w:val="auto"/>
        </w:rPr>
        <w:t>$ , $ and $ per share, respectively, assuming the number of shares offered by us, as set forth on the cover page of this prospectus, remains the same, and after deducting underwriting discounts and commissions payable by us. Each increase (decrease) of 1.0 million shares in the number of shares sold in this offering, as set forth on the cover page of this prospectus, would increase (decrease) total consideration paid by new investors, total consideration paid by all stockholders and average price per share paid by all stockholders by $ ,</w:t>
      </w:r>
    </w:p>
    <w:p>
      <w:pPr>
        <w:spacing w:after="0" w:line="3" w:lineRule="exact"/>
        <w:rPr>
          <w:sz w:val="20"/>
          <w:szCs w:val="20"/>
          <w:color w:val="auto"/>
        </w:rPr>
      </w:pPr>
    </w:p>
    <w:p>
      <w:pPr>
        <w:ind w:left="1260"/>
        <w:spacing w:after="0"/>
        <w:tabs>
          <w:tab w:leader="none" w:pos="1700" w:val="left"/>
          <w:tab w:leader="none" w:pos="2460" w:val="left"/>
          <w:tab w:leader="none" w:pos="8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respectively, assuming the assumed initial public offering price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ind w:left="1260" w:right="1319"/>
        <w:spacing w:after="0" w:line="260" w:lineRule="auto"/>
        <w:rPr>
          <w:sz w:val="20"/>
          <w:szCs w:val="20"/>
          <w:color w:val="auto"/>
        </w:rPr>
      </w:pPr>
      <w:r>
        <w:rPr>
          <w:rFonts w:ascii="Arial" w:cs="Arial" w:eastAsia="Arial" w:hAnsi="Arial"/>
          <w:sz w:val="18"/>
          <w:szCs w:val="18"/>
          <w:color w:val="auto"/>
        </w:rPr>
        <w:t>the midpoint of the price range set forth on the cover page of this prospectus, remains the same, and after deducting underwriting discounts and commissions payable by us.</w:t>
      </w:r>
    </w:p>
    <w:p>
      <w:pPr>
        <w:spacing w:after="0" w:line="77"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there will be further dilution to investors in this offering.</w:t>
      </w:r>
    </w:p>
    <w:p>
      <w:pPr>
        <w:spacing w:after="0" w:line="62"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Except as otherwise indicated, the discussion and the tables above assume no exercise of the underwriters’ option to purchase additional shares of Class A common stock. In addition, the discussion and tables above exclude shares of Class C common stock and Class D common stock, because holders of the Class C common stock and Class D common stock are not entitled to distributions or dividends,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whether cash or stock, from Tradeweb. The number of shares of our Class A common stock to be outstanding</w:t>
      </w:r>
    </w:p>
    <w:p>
      <w:pPr>
        <w:spacing w:after="0" w:line="46" w:lineRule="exact"/>
        <w:rPr>
          <w:sz w:val="20"/>
          <w:szCs w:val="20"/>
          <w:color w:val="auto"/>
        </w:rPr>
      </w:pPr>
    </w:p>
    <w:p>
      <w:pPr>
        <w:ind w:left="1260" w:right="739"/>
        <w:spacing w:after="0" w:line="260" w:lineRule="auto"/>
        <w:rPr>
          <w:sz w:val="20"/>
          <w:szCs w:val="20"/>
          <w:color w:val="auto"/>
        </w:rPr>
      </w:pPr>
      <w:r>
        <w:rPr>
          <w:rFonts w:ascii="Arial" w:cs="Arial" w:eastAsia="Arial" w:hAnsi="Arial"/>
          <w:sz w:val="18"/>
          <w:szCs w:val="18"/>
          <w:color w:val="auto"/>
        </w:rPr>
        <w:t>after this offering is based on the membership interests of TWM LLC outstanding as of , 2019, after giving effect to the Reorganization Transactions and the Assumed Redemption, and excludes:</w:t>
      </w:r>
    </w:p>
    <w:p>
      <w:pPr>
        <w:spacing w:after="0" w:line="158" w:lineRule="exact"/>
        <w:rPr>
          <w:sz w:val="20"/>
          <w:szCs w:val="20"/>
          <w:color w:val="auto"/>
        </w:rPr>
      </w:pPr>
    </w:p>
    <w:p>
      <w:pPr>
        <w:ind w:left="2400" w:hanging="772"/>
        <w:spacing w:after="0"/>
        <w:tabs>
          <w:tab w:leader="none" w:pos="24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shares of Class A common stock issuable upon the exercise of outstanding options (of which</w:t>
      </w:r>
    </w:p>
    <w:p>
      <w:pPr>
        <w:sectPr>
          <w:pgSz w:w="11900" w:h="16838" w:orient="portrait"/>
          <w:cols w:equalWidth="0" w:num="1">
            <w:col w:w="10139"/>
          </w:cols>
          <w:pgMar w:left="320" w:top="131" w:right="1440" w:bottom="1440" w:gutter="0" w:footer="0" w:header="0"/>
        </w:sectPr>
      </w:pPr>
    </w:p>
    <w:p>
      <w:pPr>
        <w:spacing w:after="0" w:line="35" w:lineRule="exact"/>
        <w:rPr>
          <w:sz w:val="20"/>
          <w:szCs w:val="20"/>
          <w:color w:val="auto"/>
        </w:rPr>
      </w:pPr>
    </w:p>
    <w:p>
      <w:pPr>
        <w:ind w:left="1980" w:right="1059"/>
        <w:spacing w:after="0" w:line="260" w:lineRule="auto"/>
        <w:rPr>
          <w:sz w:val="20"/>
          <w:szCs w:val="20"/>
          <w:color w:val="auto"/>
        </w:rPr>
      </w:pPr>
      <w:r>
        <w:rPr>
          <w:rFonts w:ascii="Arial" w:cs="Arial" w:eastAsia="Arial" w:hAnsi="Arial"/>
          <w:sz w:val="18"/>
          <w:szCs w:val="18"/>
          <w:color w:val="auto"/>
        </w:rPr>
        <w:t>are vested) under our Option Plan as of , 2019 at an exercise price of $ per share, which options may be exercised on a cashless or net settlement basis;</w:t>
      </w:r>
    </w:p>
    <w:p>
      <w:pPr>
        <w:sectPr>
          <w:pgSz w:w="11900" w:h="16838" w:orient="portrait"/>
          <w:cols w:equalWidth="0" w:num="1">
            <w:col w:w="10139"/>
          </w:cols>
          <w:pgMar w:left="320" w:top="131" w:right="1440" w:bottom="1440" w:gutter="0" w:footer="0" w:header="0"/>
          <w:type w:val="continuous"/>
        </w:sectPr>
      </w:pPr>
    </w:p>
    <w:p>
      <w:pPr>
        <w:spacing w:after="0" w:line="145" w:lineRule="exact"/>
        <w:rPr>
          <w:sz w:val="20"/>
          <w:szCs w:val="20"/>
          <w:color w:val="auto"/>
        </w:rPr>
      </w:pPr>
    </w:p>
    <w:p>
      <w:pPr>
        <w:ind w:left="1980" w:right="679" w:hanging="352"/>
        <w:spacing w:after="0" w:line="277" w:lineRule="auto"/>
        <w:tabs>
          <w:tab w:leader="none" w:pos="23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Class A common stock underlying performance based restricted share units issued under our PRSU Plan;</w:t>
      </w:r>
    </w:p>
    <w:p>
      <w:pPr>
        <w:spacing w:after="0" w:line="129" w:lineRule="exact"/>
        <w:rPr>
          <w:rFonts w:ascii="Arial" w:cs="Arial" w:eastAsia="Arial" w:hAnsi="Arial"/>
          <w:sz w:val="18"/>
          <w:szCs w:val="18"/>
          <w:color w:val="auto"/>
        </w:rPr>
      </w:pPr>
    </w:p>
    <w:p>
      <w:pPr>
        <w:ind w:left="1980" w:right="719" w:hanging="352"/>
        <w:spacing w:after="0" w:line="277" w:lineRule="auto"/>
        <w:tabs>
          <w:tab w:leader="none" w:pos="23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 and</w:t>
      </w:r>
    </w:p>
    <w:p>
      <w:pPr>
        <w:spacing w:after="0" w:line="143" w:lineRule="exact"/>
        <w:rPr>
          <w:rFonts w:ascii="Arial" w:cs="Arial" w:eastAsia="Arial" w:hAnsi="Arial"/>
          <w:sz w:val="18"/>
          <w:szCs w:val="18"/>
          <w:color w:val="auto"/>
        </w:rPr>
      </w:pPr>
    </w:p>
    <w:p>
      <w:pPr>
        <w:jc w:val="both"/>
        <w:ind w:left="1980" w:right="679" w:hanging="352"/>
        <w:spacing w:after="0" w:line="259" w:lineRule="auto"/>
        <w:tabs>
          <w:tab w:leader="none" w:pos="23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(i) exchange of Class B common stock by the Refinitiv Direct Owners and other future holders of Class B common stock, (ii) redemption or exchange of LLC interests by the Continuing LLC Owners or (iii) conversion of the Class B common stock.</w:t>
      </w:r>
    </w:p>
    <w:p>
      <w:pPr>
        <w:spacing w:after="0" w:line="79" w:lineRule="exact"/>
        <w:rPr>
          <w:sz w:val="20"/>
          <w:szCs w:val="20"/>
          <w:color w:val="auto"/>
        </w:rPr>
      </w:pPr>
    </w:p>
    <w:p>
      <w:pPr>
        <w:jc w:val="both"/>
        <w:ind w:left="1260" w:right="839" w:firstLine="360"/>
        <w:spacing w:after="0" w:line="277" w:lineRule="auto"/>
        <w:rPr>
          <w:sz w:val="20"/>
          <w:szCs w:val="20"/>
          <w:color w:val="auto"/>
        </w:rPr>
      </w:pPr>
      <w:r>
        <w:rPr>
          <w:rFonts w:ascii="Arial" w:cs="Arial" w:eastAsia="Arial" w:hAnsi="Arial"/>
          <w:sz w:val="18"/>
          <w:szCs w:val="18"/>
          <w:color w:val="auto"/>
        </w:rPr>
        <w:t>To the extent any options are granted and exercised, or any restricted stock units are granted and settled, in the future, there may be additional economic dilution to new investors.</w:t>
      </w:r>
    </w:p>
    <w:p>
      <w:pPr>
        <w:spacing w:after="0" w:line="62"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08"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The following table presents the selected historical consolidated financial data for Tradeweb Markets LLC and its subsidiaries. Tradeweb Markets LLC is the predecessor of the issuer, Tradeweb Markets Inc., for financial reporting purposes. The selected consolidated statement of operations data for the nine months ended September 30, 2018 and 2017 and each of the years in the two-year period ended December 31, 2017 and the selected consolidated statement of financial condition data as of September 30, 2018 and 2017 and as of December 31, 2017 and 2016 are derived from the consolidated financial statements of Tradeweb Markets LLC and its subsidiaries included elsewhere in this prospectus. In the opinion of our management, the unaudited financial statements for and as of the nine months ended September 30, 2017 reflect all adjustments, consisting of normal recurring adjustments, necessary for a fair presentation of the results operations for such period.</w:t>
      </w:r>
    </w:p>
    <w:p>
      <w:pPr>
        <w:spacing w:after="0" w:line="5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related notes thereto included elsewhere in this prospectus.</w:t>
      </w:r>
    </w:p>
    <w:p>
      <w:pPr>
        <w:spacing w:after="0" w:line="63" w:lineRule="exact"/>
        <w:rPr>
          <w:sz w:val="20"/>
          <w:szCs w:val="20"/>
          <w:color w:val="auto"/>
        </w:rPr>
      </w:pPr>
    </w:p>
    <w:p>
      <w:pPr>
        <w:ind w:left="1260" w:right="1119" w:firstLine="360"/>
        <w:spacing w:after="0" w:line="263" w:lineRule="auto"/>
        <w:rPr>
          <w:sz w:val="20"/>
          <w:szCs w:val="20"/>
          <w:color w:val="auto"/>
        </w:rPr>
      </w:pPr>
      <w:r>
        <w:rPr>
          <w:rFonts w:ascii="Arial" w:cs="Arial" w:eastAsia="Arial" w:hAnsi="Arial"/>
          <w:sz w:val="18"/>
          <w:szCs w:val="18"/>
          <w:color w:val="auto"/>
        </w:rPr>
        <w:t>The selected historical financial data of Tradeweb Markets Inc. have not been presented as Tradeweb Markets Inc. is a newly incorporated entity, has had no business transactions or activities to date and had no assets or liabilities during the periods presented in this section.</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96"/>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3320" w:type="dxa"/>
            <w:vAlign w:val="bottom"/>
          </w:tcPr>
          <w:p>
            <w:pPr>
              <w:spacing w:after="0"/>
              <w:rPr>
                <w:sz w:val="17"/>
                <w:szCs w:val="17"/>
                <w:color w:val="auto"/>
              </w:rPr>
            </w:pPr>
          </w:p>
        </w:tc>
        <w:tc>
          <w:tcPr>
            <w:tcW w:w="11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r>
      <w:tr>
        <w:trPr>
          <w:trHeight w:val="175"/>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$273,751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198,562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267,020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230,171</w:t>
            </w:r>
          </w:p>
        </w:tc>
      </w:tr>
      <w:tr>
        <w:trPr>
          <w:trHeight w:val="257"/>
        </w:trPr>
        <w:tc>
          <w:tcPr>
            <w:tcW w:w="3320" w:type="dxa"/>
            <w:vAlign w:val="bottom"/>
          </w:tcPr>
          <w:p>
            <w:pPr>
              <w:spacing w:after="0" w:line="256"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143,981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145,887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194,534</w:t>
            </w: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191,983</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71,616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96,745</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91,663</w:t>
            </w: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gridSpan w:val="2"/>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8,209</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4,669</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4,587</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3"/>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340" w:type="dxa"/>
            <w:vAlign w:val="bottom"/>
            <w:gridSpan w:val="2"/>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505,771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419,569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518,404</w:t>
            </w:r>
          </w:p>
        </w:tc>
      </w:tr>
      <w:tr>
        <w:trPr>
          <w:trHeight w:val="270"/>
        </w:trPr>
        <w:tc>
          <w:tcPr>
            <w:tcW w:w="3320" w:type="dxa"/>
            <w:vAlign w:val="bottom"/>
          </w:tcPr>
          <w:p>
            <w:pPr>
              <w:spacing w:after="0" w:line="27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6"/>
                <w:szCs w:val="26"/>
                <w:color w:val="auto"/>
                <w:vertAlign w:val="superscript"/>
              </w:rPr>
              <w:t>(2)</w:t>
            </w:r>
          </w:p>
        </w:tc>
        <w:tc>
          <w:tcPr>
            <w:tcW w:w="340" w:type="dxa"/>
            <w:vAlign w:val="bottom"/>
            <w:gridSpan w:val="2"/>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(29,535)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(58,520)</w:t>
            </w:r>
          </w:p>
        </w:tc>
        <w:tc>
          <w:tcPr>
            <w:tcW w:w="10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(26,224)</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40" w:type="dxa"/>
            <w:vAlign w:val="bottom"/>
            <w:gridSpan w:val="2"/>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390,034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492,180</w:t>
            </w:r>
          </w:p>
        </w:tc>
      </w:tr>
      <w:tr>
        <w:trPr>
          <w:trHeight w:val="223"/>
        </w:trPr>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209,053</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185,727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248,963</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228,584</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48,808</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52,645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80,859</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25,416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33,973</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27,392</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26,598</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22,390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30,013</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28,239</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19,351</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18,158</w:t>
            </w: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Occupancy</w:t>
            </w:r>
          </w:p>
        </w:tc>
        <w:tc>
          <w:tcPr>
            <w:tcW w:w="340" w:type="dxa"/>
            <w:vAlign w:val="bottom"/>
            <w:gridSpan w:val="2"/>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10,732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11,322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14,441</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15,817</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340" w:type="dxa"/>
            <w:vAlign w:val="bottom"/>
            <w:gridSpan w:val="2"/>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338,607</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310,762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399,049</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gridSpan w:val="2"/>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140,334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79,272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93,131</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gridSpan w:val="2"/>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(1,339)</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taxes</w:t>
            </w:r>
          </w:p>
        </w:tc>
        <w:tc>
          <w:tcPr>
            <w:tcW w:w="340" w:type="dxa"/>
            <w:vAlign w:val="bottom"/>
            <w:gridSpan w:val="2"/>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142,060</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92,436</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gridSpan w:val="2"/>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(3,159)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130,160</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93,161</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-196850</wp:posOffset>
            </wp:positionV>
            <wp:extent cx="1289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-196850</wp:posOffset>
            </wp:positionV>
            <wp:extent cx="3600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-196850</wp:posOffset>
            </wp:positionV>
            <wp:extent cx="325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30861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861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-530860</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-530860</wp:posOffset>
            </wp:positionV>
            <wp:extent cx="3600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3257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-530860</wp:posOffset>
            </wp:positionV>
            <wp:extent cx="30861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-865505</wp:posOffset>
            </wp:positionV>
            <wp:extent cx="1289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-865505</wp:posOffset>
            </wp:positionV>
            <wp:extent cx="3600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-865505</wp:posOffset>
            </wp:positionV>
            <wp:extent cx="325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-865505</wp:posOffset>
            </wp:positionV>
            <wp:extent cx="30861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861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-1190625</wp:posOffset>
            </wp:positionV>
            <wp:extent cx="1289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-1190625</wp:posOffset>
            </wp:positionV>
            <wp:extent cx="3600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-1190625</wp:posOffset>
            </wp:positionV>
            <wp:extent cx="3257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-1190625</wp:posOffset>
            </wp:positionV>
            <wp:extent cx="30861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861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-2442210</wp:posOffset>
            </wp:positionV>
            <wp:extent cx="1289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-2442210</wp:posOffset>
            </wp:positionV>
            <wp:extent cx="3600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-2442210</wp:posOffset>
            </wp:positionV>
            <wp:extent cx="3257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-2442210</wp:posOffset>
            </wp:positionV>
            <wp:extent cx="30861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861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-2767965</wp:posOffset>
            </wp:positionV>
            <wp:extent cx="1289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-2767965</wp:posOffset>
            </wp:positionV>
            <wp:extent cx="3600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-2767965</wp:posOffset>
            </wp:positionV>
            <wp:extent cx="325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-2767965</wp:posOffset>
            </wp:positionV>
            <wp:extent cx="30861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861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-3830955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-3830955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-3830955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Tradeweb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23495</wp:posOffset>
            </wp:positionV>
            <wp:extent cx="29229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5"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5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2"/>
              </w:rPr>
              <w:t>Nine Months Ended September 30,</w:t>
            </w:r>
          </w:p>
        </w:tc>
        <w:tc>
          <w:tcPr>
            <w:tcW w:w="21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360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r>
      <w:tr>
        <w:trPr>
          <w:trHeight w:val="188"/>
        </w:trPr>
        <w:tc>
          <w:tcPr>
            <w:tcW w:w="3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7"/>
          </w:tcPr>
          <w:p>
            <w:pPr>
              <w:jc w:val="right"/>
              <w:spacing w:after="0"/>
              <w:rPr>
                <w:sz w:val="20"/>
                <w:szCs w:val="20"/>
                <w:color w:val="auto"/>
              </w:rPr>
            </w:pPr>
            <w:r>
              <w:rPr>
                <w:rFonts w:ascii="Arial" w:cs="Arial" w:eastAsia="Arial" w:hAnsi="Arial"/>
                <w:sz w:val="14"/>
                <w:szCs w:val="14"/>
                <w:b w:val="1"/>
                <w:bCs w:val="1"/>
                <w:color w:val="auto"/>
                <w:w w:val="94"/>
              </w:rPr>
              <w:t>(in thousands, except share and per share data)</w:t>
            </w:r>
          </w:p>
        </w:tc>
        <w:tc>
          <w:tcPr>
            <w:tcW w:w="840" w:type="dxa"/>
            <w:vAlign w:val="bottom"/>
          </w:tcPr>
          <w:p>
            <w:pPr>
              <w:spacing w:after="0"/>
              <w:rPr>
                <w:sz w:val="16"/>
                <w:szCs w:val="16"/>
                <w:color w:val="auto"/>
              </w:rPr>
            </w:pPr>
          </w:p>
        </w:tc>
      </w:tr>
      <w:tr>
        <w:trPr>
          <w:trHeight w:val="257"/>
        </w:trPr>
        <w:tc>
          <w:tcPr>
            <w:tcW w:w="3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 forma net income per share data</w:t>
            </w:r>
            <w:r>
              <w:rPr>
                <w:rFonts w:ascii="Arial" w:cs="Arial" w:eastAsia="Arial" w:hAnsi="Arial"/>
                <w:sz w:val="26"/>
                <w:szCs w:val="26"/>
                <w:color w:val="auto"/>
                <w:vertAlign w:val="superscript"/>
              </w:rPr>
              <w:t>(3)</w:t>
            </w: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w w:val="96"/>
              </w:rPr>
              <w:t>Pro forma weighted average shares of Class A</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common stock outstanding</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7"/>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6"/>
        </w:trPr>
        <w:tc>
          <w:tcPr>
            <w:tcW w:w="3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2"/>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to Class A</w:t>
            </w: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per share</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7"/>
        </w:trPr>
        <w:tc>
          <w:tcPr>
            <w:tcW w:w="3600" w:type="dxa"/>
            <w:vAlign w:val="bottom"/>
          </w:tcPr>
          <w:p>
            <w:pPr>
              <w:ind w:left="180"/>
              <w:spacing w:after="0"/>
              <w:rPr>
                <w:sz w:val="20"/>
                <w:szCs w:val="20"/>
                <w:color w:val="auto"/>
              </w:rPr>
            </w:pPr>
            <w:r>
              <w:rPr>
                <w:rFonts w:ascii="Arial" w:cs="Arial" w:eastAsia="Arial" w:hAnsi="Arial"/>
                <w:sz w:val="18"/>
                <w:szCs w:val="18"/>
                <w:color w:val="auto"/>
              </w:rPr>
              <w:t>Basic</w:t>
            </w:r>
          </w:p>
        </w:tc>
        <w:tc>
          <w:tcPr>
            <w:tcW w:w="62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353"/>
        </w:trPr>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gridSpan w:val="6"/>
          </w:tcPr>
          <w:p>
            <w:pPr>
              <w:jc w:val="right"/>
              <w:ind w:right="348"/>
              <w:spacing w:after="0"/>
              <w:rPr>
                <w:sz w:val="20"/>
                <w:szCs w:val="20"/>
                <w:color w:val="auto"/>
              </w:rPr>
            </w:pPr>
            <w:r>
              <w:rPr>
                <w:rFonts w:ascii="Arial" w:cs="Arial" w:eastAsia="Arial" w:hAnsi="Arial"/>
                <w:sz w:val="14"/>
                <w:szCs w:val="14"/>
                <w:b w:val="1"/>
                <w:bCs w:val="1"/>
                <w:color w:val="auto"/>
              </w:rPr>
              <w:t>Tradeweb Markets LLC</w:t>
            </w:r>
          </w:p>
        </w:tc>
        <w:tc>
          <w:tcPr>
            <w:tcW w:w="840" w:type="dxa"/>
            <w:vAlign w:val="bottom"/>
          </w:tcPr>
          <w:p>
            <w:pPr>
              <w:spacing w:after="0"/>
              <w:rPr>
                <w:sz w:val="24"/>
                <w:szCs w:val="24"/>
                <w:color w:val="auto"/>
              </w:rPr>
            </w:pPr>
          </w:p>
        </w:tc>
      </w:tr>
      <w:tr>
        <w:trPr>
          <w:trHeight w:val="26"/>
        </w:trPr>
        <w:tc>
          <w:tcPr>
            <w:tcW w:w="3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r>
      <w:tr>
        <w:trPr>
          <w:trHeight w:val="197"/>
        </w:trPr>
        <w:tc>
          <w:tcPr>
            <w:tcW w:w="3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As of September 30,</w:t>
            </w:r>
          </w:p>
        </w:tc>
        <w:tc>
          <w:tcPr>
            <w:tcW w:w="200" w:type="dxa"/>
            <w:vAlign w:val="bottom"/>
          </w:tcPr>
          <w:p>
            <w:pPr>
              <w:spacing w:after="0"/>
              <w:rPr>
                <w:sz w:val="17"/>
                <w:szCs w:val="17"/>
                <w:color w:val="auto"/>
              </w:rPr>
            </w:pPr>
          </w:p>
        </w:tc>
        <w:tc>
          <w:tcPr>
            <w:tcW w:w="190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3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8"/>
        </w:trPr>
        <w:tc>
          <w:tcPr>
            <w:tcW w:w="3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r>
      <w:tr>
        <w:trPr>
          <w:trHeight w:val="26"/>
        </w:trPr>
        <w:tc>
          <w:tcPr>
            <w:tcW w:w="3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3"/>
        </w:trPr>
        <w:tc>
          <w:tcPr>
            <w:tcW w:w="3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7"/>
                <w:szCs w:val="17"/>
                <w:color w:val="auto"/>
              </w:rPr>
            </w:pPr>
          </w:p>
        </w:tc>
      </w:tr>
      <w:tr>
        <w:trPr>
          <w:trHeight w:val="263"/>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350,183</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316,449</w:t>
            </w:r>
          </w:p>
        </w:tc>
        <w:tc>
          <w:tcPr>
            <w:tcW w:w="1260" w:type="dxa"/>
            <w:vAlign w:val="bottom"/>
            <w:gridSpan w:val="2"/>
          </w:tcPr>
          <w:p>
            <w:pPr>
              <w:jc w:val="right"/>
              <w:ind w:right="148"/>
              <w:spacing w:after="0"/>
              <w:rPr>
                <w:sz w:val="20"/>
                <w:szCs w:val="20"/>
                <w:color w:val="auto"/>
              </w:rPr>
            </w:pPr>
            <w:r>
              <w:rPr>
                <w:rFonts w:ascii="Arial" w:cs="Arial" w:eastAsia="Arial" w:hAnsi="Arial"/>
                <w:sz w:val="18"/>
                <w:szCs w:val="18"/>
                <w:color w:val="auto"/>
              </w:rPr>
              <w:t>$  352,598</w:t>
            </w:r>
          </w:p>
        </w:tc>
        <w:tc>
          <w:tcPr>
            <w:tcW w:w="840" w:type="dxa"/>
            <w:vAlign w:val="bottom"/>
          </w:tcPr>
          <w:p>
            <w:pPr>
              <w:jc w:val="right"/>
              <w:spacing w:after="0"/>
              <w:rPr>
                <w:sz w:val="20"/>
                <w:szCs w:val="20"/>
                <w:color w:val="auto"/>
              </w:rPr>
            </w:pPr>
            <w:r>
              <w:rPr>
                <w:rFonts w:ascii="Arial" w:cs="Arial" w:eastAsia="Arial" w:hAnsi="Arial"/>
                <w:sz w:val="18"/>
                <w:szCs w:val="18"/>
                <w:color w:val="auto"/>
                <w:w w:val="96"/>
              </w:rPr>
              <w:t>$  324,074</w:t>
            </w: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1,323,807</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1,323,947</w:t>
            </w:r>
          </w:p>
        </w:tc>
        <w:tc>
          <w:tcPr>
            <w:tcW w:w="12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1,316,887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1,320,732</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185,796</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294,556</w:t>
            </w:r>
          </w:p>
        </w:tc>
        <w:tc>
          <w:tcPr>
            <w:tcW w:w="1260" w:type="dxa"/>
            <w:vAlign w:val="bottom"/>
            <w:gridSpan w:val="2"/>
          </w:tcPr>
          <w:p>
            <w:pPr>
              <w:jc w:val="right"/>
              <w:ind w:right="148"/>
              <w:spacing w:after="0"/>
              <w:rPr>
                <w:sz w:val="20"/>
                <w:szCs w:val="20"/>
                <w:color w:val="auto"/>
              </w:rPr>
            </w:pPr>
            <w:r>
              <w:rPr>
                <w:rFonts w:ascii="Arial" w:cs="Arial" w:eastAsia="Arial" w:hAnsi="Arial"/>
                <w:sz w:val="18"/>
                <w:szCs w:val="18"/>
                <w:color w:val="auto"/>
              </w:rPr>
              <w:t>317,118</w:t>
            </w:r>
          </w:p>
        </w:tc>
        <w:tc>
          <w:tcPr>
            <w:tcW w:w="840" w:type="dxa"/>
            <w:vAlign w:val="bottom"/>
          </w:tcPr>
          <w:p>
            <w:pPr>
              <w:jc w:val="right"/>
              <w:spacing w:after="0"/>
              <w:rPr>
                <w:sz w:val="20"/>
                <w:szCs w:val="20"/>
                <w:color w:val="auto"/>
              </w:rPr>
            </w:pPr>
            <w:r>
              <w:rPr>
                <w:rFonts w:ascii="Arial" w:cs="Arial" w:eastAsia="Arial" w:hAnsi="Arial"/>
                <w:sz w:val="18"/>
                <w:szCs w:val="18"/>
                <w:color w:val="auto"/>
              </w:rPr>
              <w:t>283,319</w:t>
            </w: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capital</w:t>
            </w: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1,018,209</w:t>
            </w:r>
          </w:p>
        </w:tc>
        <w:tc>
          <w:tcPr>
            <w:tcW w:w="12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986,468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-3068320</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-3068320</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-3068320</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-985520</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-985520</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-985520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6"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Tradeweb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32385</wp:posOffset>
            </wp:positionV>
            <wp:extent cx="29489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Financial and Operating Data:</w:t>
      </w:r>
    </w:p>
    <w:p>
      <w:pPr>
        <w:ind w:left="1260"/>
        <w:spacing w:after="0"/>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(4)</w:t>
      </w:r>
    </w:p>
    <w:p>
      <w:pPr>
        <w:ind w:left="1260"/>
        <w:spacing w:after="0" w:line="216" w:lineRule="auto"/>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(5)</w:t>
      </w:r>
    </w:p>
    <w:p>
      <w:pPr>
        <w:ind w:left="1260"/>
        <w:spacing w:after="0" w:line="217" w:lineRule="auto"/>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(5)</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(5)</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Average Daily Volumes (dollars in millions):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Nine Months Ended September 30,</w:t>
            </w:r>
          </w:p>
        </w:tc>
        <w:tc>
          <w:tcPr>
            <w:tcW w:w="228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8"/>
        </w:trPr>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1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7"/>
                <w:szCs w:val="17"/>
                <w:color w:val="auto"/>
              </w:rPr>
            </w:pPr>
          </w:p>
        </w:tc>
        <w:tc>
          <w:tcPr>
            <w:tcW w:w="1320" w:type="dxa"/>
            <w:vAlign w:val="bottom"/>
          </w:tcPr>
          <w:p>
            <w:pPr>
              <w:jc w:val="right"/>
              <w:ind w:right="596"/>
              <w:spacing w:after="0"/>
              <w:rPr>
                <w:sz w:val="20"/>
                <w:szCs w:val="20"/>
                <w:color w:val="auto"/>
              </w:rPr>
            </w:pPr>
            <w:r>
              <w:rPr>
                <w:rFonts w:ascii="Arial" w:cs="Arial" w:eastAsia="Arial" w:hAnsi="Arial"/>
                <w:sz w:val="14"/>
                <w:szCs w:val="14"/>
                <w:b w:val="1"/>
                <w:bCs w:val="1"/>
                <w:color w:val="auto"/>
              </w:rPr>
              <w:t>2017</w:t>
            </w: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5"/>
        </w:trPr>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8"/>
        </w:trPr>
        <w:tc>
          <w:tcPr>
            <w:tcW w:w="102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(dollars in thousands, other than volumes)</w:t>
            </w:r>
          </w:p>
        </w:tc>
        <w:tc>
          <w:tcPr>
            <w:tcW w:w="960" w:type="dxa"/>
            <w:vAlign w:val="bottom"/>
          </w:tcPr>
          <w:p>
            <w:pPr>
              <w:spacing w:after="0"/>
              <w:rPr>
                <w:sz w:val="17"/>
                <w:szCs w:val="17"/>
                <w:color w:val="auto"/>
              </w:rPr>
            </w:pPr>
          </w:p>
        </w:tc>
      </w:tr>
      <w:tr>
        <w:trPr>
          <w:trHeight w:val="538"/>
        </w:trPr>
        <w:tc>
          <w:tcPr>
            <w:tcW w:w="1020" w:type="dxa"/>
            <w:vAlign w:val="bottom"/>
          </w:tcPr>
          <w:p>
            <w:pPr>
              <w:jc w:val="right"/>
              <w:ind w:right="96"/>
              <w:spacing w:after="0"/>
              <w:rPr>
                <w:sz w:val="20"/>
                <w:szCs w:val="20"/>
                <w:color w:val="auto"/>
              </w:rPr>
            </w:pPr>
            <w:r>
              <w:rPr>
                <w:rFonts w:ascii="Arial" w:cs="Arial" w:eastAsia="Arial" w:hAnsi="Arial"/>
                <w:sz w:val="18"/>
                <w:szCs w:val="18"/>
                <w:color w:val="auto"/>
              </w:rPr>
              <w:t>$138,978</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$ 111,216</w:t>
            </w:r>
          </w:p>
        </w:tc>
        <w:tc>
          <w:tcPr>
            <w:tcW w:w="180" w:type="dxa"/>
            <w:vAlign w:val="bottom"/>
          </w:tcPr>
          <w:p>
            <w:pPr>
              <w:spacing w:after="0"/>
              <w:rPr>
                <w:sz w:val="24"/>
                <w:szCs w:val="24"/>
                <w:color w:val="auto"/>
              </w:rPr>
            </w:pP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$183,962</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8"/>
              </w:rPr>
              <w:t>$136,496</w:t>
            </w:r>
          </w:p>
        </w:tc>
      </w:tr>
      <w:tr>
        <w:trPr>
          <w:trHeight w:val="270"/>
        </w:trPr>
        <w:tc>
          <w:tcPr>
            <w:tcW w:w="1020" w:type="dxa"/>
            <w:vAlign w:val="bottom"/>
          </w:tcPr>
          <w:p>
            <w:pPr>
              <w:jc w:val="right"/>
              <w:ind w:right="96"/>
              <w:spacing w:after="0"/>
              <w:rPr>
                <w:sz w:val="20"/>
                <w:szCs w:val="20"/>
                <w:color w:val="auto"/>
              </w:rPr>
            </w:pPr>
            <w:r>
              <w:rPr>
                <w:rFonts w:ascii="Arial" w:cs="Arial" w:eastAsia="Arial" w:hAnsi="Arial"/>
                <w:sz w:val="18"/>
                <w:szCs w:val="18"/>
                <w:color w:val="auto"/>
              </w:rPr>
              <w:t>$215,012</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$162,546</w:t>
            </w:r>
          </w:p>
        </w:tc>
        <w:tc>
          <w:tcPr>
            <w:tcW w:w="180" w:type="dxa"/>
            <w:vAlign w:val="bottom"/>
          </w:tcPr>
          <w:p>
            <w:pPr>
              <w:spacing w:after="0"/>
              <w:rPr>
                <w:sz w:val="23"/>
                <w:szCs w:val="23"/>
                <w:color w:val="auto"/>
              </w:rPr>
            </w:pP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$215,863</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8"/>
              </w:rPr>
              <w:t>$202,086</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1320" w:type="dxa"/>
            <w:vAlign w:val="bottom"/>
          </w:tcPr>
          <w:p>
            <w:pPr>
              <w:jc w:val="right"/>
              <w:ind w:right="236"/>
              <w:spacing w:after="0"/>
              <w:rPr>
                <w:sz w:val="20"/>
                <w:szCs w:val="20"/>
                <w:color w:val="auto"/>
              </w:rPr>
            </w:pPr>
            <w:r>
              <w:rPr>
                <w:rFonts w:ascii="Arial" w:cs="Arial" w:eastAsia="Arial" w:hAnsi="Arial"/>
                <w:sz w:val="18"/>
                <w:szCs w:val="18"/>
                <w:color w:val="auto"/>
              </w:rPr>
              <w:t>38.3%</w:t>
            </w: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1020" w:type="dxa"/>
            <w:vAlign w:val="bottom"/>
          </w:tcPr>
          <w:p>
            <w:pPr>
              <w:jc w:val="right"/>
              <w:ind w:right="96"/>
              <w:spacing w:after="0"/>
              <w:rPr>
                <w:sz w:val="20"/>
                <w:szCs w:val="20"/>
                <w:color w:val="auto"/>
              </w:rPr>
            </w:pPr>
            <w:r>
              <w:rPr>
                <w:rFonts w:ascii="Arial" w:cs="Arial" w:eastAsia="Arial" w:hAnsi="Arial"/>
                <w:sz w:val="18"/>
                <w:szCs w:val="18"/>
                <w:color w:val="auto"/>
              </w:rPr>
              <w:t>$175,606</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$131,840</w:t>
            </w:r>
          </w:p>
        </w:tc>
        <w:tc>
          <w:tcPr>
            <w:tcW w:w="180" w:type="dxa"/>
            <w:vAlign w:val="bottom"/>
          </w:tcPr>
          <w:p>
            <w:pPr>
              <w:spacing w:after="0"/>
              <w:rPr>
                <w:sz w:val="23"/>
                <w:szCs w:val="23"/>
                <w:color w:val="auto"/>
              </w:rPr>
            </w:pP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$173,040</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8"/>
              </w:rPr>
              <w:t>$162,382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-848360</wp:posOffset>
            </wp:positionV>
            <wp:extent cx="521208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-513715</wp:posOffset>
            </wp:positionV>
            <wp:extent cx="52120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-170815</wp:posOffset>
            </wp:positionV>
            <wp:extent cx="52120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-993775</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-993775</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-993775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500" w:space="320"/>
            <w:col w:w="5319"/>
          </w:cols>
          <w:pgMar w:left="320" w:top="131"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Rates</w:t>
            </w:r>
          </w:p>
        </w:tc>
        <w:tc>
          <w:tcPr>
            <w:tcW w:w="2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$346,616</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$246,717</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$255,152</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$220,535</w:t>
            </w:r>
          </w:p>
        </w:tc>
      </w:tr>
      <w:tr>
        <w:trPr>
          <w:trHeight w:val="270"/>
        </w:trPr>
        <w:tc>
          <w:tcPr>
            <w:tcW w:w="2520" w:type="dxa"/>
            <w:vAlign w:val="bottom"/>
          </w:tcPr>
          <w:p>
            <w:pPr>
              <w:ind w:left="180"/>
              <w:spacing w:after="0"/>
              <w:rPr>
                <w:sz w:val="20"/>
                <w:szCs w:val="20"/>
                <w:color w:val="auto"/>
              </w:rPr>
            </w:pPr>
            <w:r>
              <w:rPr>
                <w:rFonts w:ascii="Arial" w:cs="Arial" w:eastAsia="Arial" w:hAnsi="Arial"/>
                <w:sz w:val="18"/>
                <w:szCs w:val="18"/>
                <w:color w:val="auto"/>
              </w:rPr>
              <w:t>Credit</w:t>
            </w:r>
          </w:p>
        </w:tc>
        <w:tc>
          <w:tcPr>
            <w:tcW w:w="2140" w:type="dxa"/>
            <w:vAlign w:val="bottom"/>
          </w:tcPr>
          <w:p>
            <w:pPr>
              <w:jc w:val="right"/>
              <w:ind w:right="170"/>
              <w:spacing w:after="0"/>
              <w:rPr>
                <w:sz w:val="20"/>
                <w:szCs w:val="20"/>
                <w:color w:val="auto"/>
              </w:rPr>
            </w:pPr>
            <w:r>
              <w:rPr>
                <w:rFonts w:ascii="Arial" w:cs="Arial" w:eastAsia="Arial" w:hAnsi="Arial"/>
                <w:sz w:val="18"/>
                <w:szCs w:val="18"/>
                <w:color w:val="auto"/>
              </w:rPr>
              <w:t>12,873</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7,713</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7,552</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5,960</w:t>
            </w:r>
          </w:p>
        </w:tc>
      </w:tr>
      <w:tr>
        <w:trPr>
          <w:trHeight w:val="27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2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168,608</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127,737</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132,105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94,315</w:t>
            </w:r>
          </w:p>
        </w:tc>
      </w:tr>
      <w:tr>
        <w:trPr>
          <w:trHeight w:val="270"/>
        </w:trPr>
        <w:tc>
          <w:tcPr>
            <w:tcW w:w="2520" w:type="dxa"/>
            <w:vAlign w:val="bottom"/>
          </w:tcPr>
          <w:p>
            <w:pPr>
              <w:ind w:left="180"/>
              <w:spacing w:after="0"/>
              <w:rPr>
                <w:sz w:val="20"/>
                <w:szCs w:val="20"/>
                <w:color w:val="auto"/>
              </w:rPr>
            </w:pPr>
            <w:r>
              <w:rPr>
                <w:rFonts w:ascii="Arial" w:cs="Arial" w:eastAsia="Arial" w:hAnsi="Arial"/>
                <w:sz w:val="18"/>
                <w:szCs w:val="18"/>
                <w:color w:val="auto"/>
              </w:rPr>
              <w:t>Equities</w:t>
            </w:r>
          </w:p>
        </w:tc>
        <w:tc>
          <w:tcPr>
            <w:tcW w:w="2140" w:type="dxa"/>
            <w:vAlign w:val="bottom"/>
          </w:tcPr>
          <w:p>
            <w:pPr>
              <w:jc w:val="right"/>
              <w:ind w:right="170"/>
              <w:spacing w:after="0"/>
              <w:rPr>
                <w:sz w:val="20"/>
                <w:szCs w:val="20"/>
                <w:color w:val="auto"/>
              </w:rPr>
            </w:pPr>
            <w:r>
              <w:rPr>
                <w:rFonts w:ascii="Arial" w:cs="Arial" w:eastAsia="Arial" w:hAnsi="Arial"/>
                <w:sz w:val="18"/>
                <w:szCs w:val="18"/>
                <w:color w:val="auto"/>
              </w:rPr>
              <w:t>7,615</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4,338</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4,817</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162560</wp:posOffset>
            </wp:positionV>
            <wp:extent cx="12344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20" w:right="899" w:hanging="352"/>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and the years ended December 31, 2017 and 2016 include $36.9 million, $37.9 million, $50.1 million and $50.6 million, respectively, of Thomson Reuters market data fees.</w:t>
      </w:r>
    </w:p>
    <w:p>
      <w:pPr>
        <w:spacing w:after="0" w:line="156" w:lineRule="exact"/>
        <w:rPr>
          <w:rFonts w:ascii="Arial" w:cs="Arial" w:eastAsia="Arial" w:hAnsi="Arial"/>
          <w:sz w:val="18"/>
          <w:szCs w:val="18"/>
          <w:color w:val="auto"/>
        </w:rPr>
      </w:pPr>
    </w:p>
    <w:p>
      <w:pPr>
        <w:ind w:left="1620" w:right="839" w:hanging="352"/>
        <w:spacing w:after="0" w:line="25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1039" w:hanging="352"/>
        <w:spacing w:after="0" w:line="311" w:lineRule="auto"/>
        <w:tabs>
          <w:tab w:leader="none" w:pos="1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108" w:lineRule="exact"/>
        <w:rPr>
          <w:rFonts w:ascii="Arial" w:cs="Arial" w:eastAsia="Arial" w:hAnsi="Arial"/>
          <w:sz w:val="16"/>
          <w:szCs w:val="16"/>
          <w:color w:val="auto"/>
        </w:rPr>
      </w:pPr>
    </w:p>
    <w:p>
      <w:pPr>
        <w:ind w:left="1620" w:right="979" w:hanging="352"/>
        <w:spacing w:after="0" w:line="259"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75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679"/>
        <w:spacing w:after="0" w:line="254"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3" w:lineRule="exact"/>
        <w:rPr>
          <w:rFonts w:ascii="Arial" w:cs="Arial" w:eastAsia="Arial" w:hAnsi="Arial"/>
          <w:sz w:val="18"/>
          <w:szCs w:val="18"/>
          <w:color w:val="auto"/>
        </w:rPr>
      </w:pPr>
    </w:p>
    <w:p>
      <w:pPr>
        <w:ind w:left="1620" w:right="779"/>
        <w:spacing w:after="0" w:line="263"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nine months ended September 30, 2018 and 2017 and the years ended December 31, 2017 and 2016:</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Tradeweb Markets LLC</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60" w:type="dxa"/>
            <w:vAlign w:val="bottom"/>
            <w:tcBorders>
              <w:bottom w:val="single" w:sz="8" w:color="auto"/>
            </w:tcBorders>
            <w:gridSpan w:val="7"/>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r>
      <w:tr>
        <w:trPr>
          <w:trHeight w:val="211"/>
        </w:trPr>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1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1"/>
        </w:trPr>
        <w:tc>
          <w:tcPr>
            <w:tcW w:w="2580" w:type="dxa"/>
            <w:vAlign w:val="bottom"/>
          </w:tcPr>
          <w:p>
            <w:pPr>
              <w:spacing w:after="0"/>
              <w:rPr>
                <w:sz w:val="18"/>
                <w:szCs w:val="18"/>
                <w:color w:val="auto"/>
              </w:rPr>
            </w:pPr>
          </w:p>
        </w:tc>
        <w:tc>
          <w:tcPr>
            <w:tcW w:w="10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8"/>
                <w:szCs w:val="18"/>
                <w:color w:val="auto"/>
              </w:rPr>
            </w:pPr>
          </w:p>
        </w:tc>
      </w:tr>
      <w:tr>
        <w:trPr>
          <w:trHeight w:val="25"/>
        </w:trPr>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0"/>
        </w:trPr>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84"/>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flow from operating activities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$164,828</w:t>
            </w: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$141,295</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$224,580</w:t>
            </w:r>
          </w:p>
        </w:tc>
        <w:tc>
          <w:tcPr>
            <w:tcW w:w="5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$171,845</w:t>
            </w:r>
          </w:p>
        </w:tc>
        <w:tc>
          <w:tcPr>
            <w:tcW w:w="200" w:type="dxa"/>
            <w:vAlign w:val="bottom"/>
            <w:shd w:val="clear" w:color="auto" w:fill="CCEEFF"/>
          </w:tcPr>
          <w:p>
            <w:pPr>
              <w:spacing w:after="0"/>
              <w:rPr>
                <w:sz w:val="24"/>
                <w:szCs w:val="24"/>
                <w:color w:val="auto"/>
              </w:rPr>
            </w:pPr>
          </w:p>
        </w:tc>
      </w:tr>
      <w:tr>
        <w:trPr>
          <w:trHeight w:val="256"/>
        </w:trPr>
        <w:tc>
          <w:tcPr>
            <w:tcW w:w="258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7"/>
        </w:trPr>
        <w:tc>
          <w:tcPr>
            <w:tcW w:w="258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560" w:type="dxa"/>
            <w:vAlign w:val="bottom"/>
            <w:gridSpan w:val="4"/>
          </w:tcPr>
          <w:p>
            <w:pPr>
              <w:jc w:val="right"/>
              <w:ind w:right="460"/>
              <w:spacing w:after="0"/>
              <w:rPr>
                <w:sz w:val="20"/>
                <w:szCs w:val="20"/>
                <w:color w:val="auto"/>
              </w:rPr>
            </w:pPr>
            <w:r>
              <w:rPr>
                <w:rFonts w:ascii="Arial" w:cs="Arial" w:eastAsia="Arial" w:hAnsi="Arial"/>
                <w:sz w:val="18"/>
                <w:szCs w:val="18"/>
                <w:color w:val="auto"/>
              </w:rPr>
              <w:t>(19,523)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(20,042)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(27,157)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(25,351)</w:t>
            </w:r>
          </w:p>
        </w:tc>
      </w:tr>
      <w:tr>
        <w:trPr>
          <w:trHeight w:val="262"/>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leasehold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62"/>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360" w:type="dxa"/>
            <w:vAlign w:val="bottom"/>
            <w:tcBorders>
              <w:bottom w:val="single" w:sz="8" w:color="CCEEFF"/>
            </w:tcBorders>
            <w:gridSpan w:val="2"/>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(6,327)</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(13,461)</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(9,998)</w:t>
            </w:r>
          </w:p>
        </w:tc>
      </w:tr>
      <w:tr>
        <w:trPr>
          <w:trHeight w:val="277"/>
        </w:trPr>
        <w:tc>
          <w:tcPr>
            <w:tcW w:w="2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CCEEFF"/>
            </w:tcBorders>
            <w:gridSpan w:val="2"/>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138,978</w:t>
            </w:r>
          </w:p>
        </w:tc>
        <w:tc>
          <w:tcPr>
            <w:tcW w:w="520" w:type="dxa"/>
            <w:vAlign w:val="bottom"/>
            <w:tcBorders>
              <w:top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$ 111,216</w:t>
            </w: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580" w:type="dxa"/>
            <w:vAlign w:val="bottom"/>
            <w:tcBorders>
              <w:top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136,496</w:t>
            </w:r>
          </w:p>
        </w:tc>
        <w:tc>
          <w:tcPr>
            <w:tcW w:w="200" w:type="dxa"/>
            <w:vAlign w:val="bottom"/>
            <w:tcBorders>
              <w:top w:val="single" w:sz="8" w:color="CCEEFF"/>
            </w:tcBorders>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-1319530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-1319530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-1319530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1620" w:right="819" w:hanging="352"/>
        <w:spacing w:after="0" w:line="308" w:lineRule="auto"/>
        <w:tabs>
          <w:tab w:leader="none" w:pos="1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20" w:right="679"/>
        <w:spacing w:after="0" w:line="269" w:lineRule="auto"/>
        <w:rPr>
          <w:rFonts w:ascii="Arial" w:cs="Arial" w:eastAsia="Arial" w:hAnsi="Arial"/>
          <w:sz w:val="17"/>
          <w:szCs w:val="17"/>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w:t>
      </w: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1280"/>
        <w:spacing w:after="0" w:line="259" w:lineRule="auto"/>
        <w:rPr>
          <w:sz w:val="20"/>
          <w:szCs w:val="20"/>
          <w:color w:val="auto"/>
        </w:rPr>
      </w:pPr>
      <w:r>
        <w:rPr>
          <w:rFonts w:ascii="Arial" w:cs="Arial" w:eastAsia="Arial" w:hAnsi="Arial"/>
          <w:sz w:val="18"/>
          <w:szCs w:val="18"/>
          <w:color w:val="auto"/>
        </w:rPr>
        <w:t>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79" w:lineRule="exact"/>
        <w:rPr>
          <w:sz w:val="20"/>
          <w:szCs w:val="20"/>
          <w:color w:val="auto"/>
        </w:rPr>
      </w:pPr>
    </w:p>
    <w:p>
      <w:pPr>
        <w:ind w:left="1620" w:right="126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620" w:right="1700"/>
        <w:spacing w:after="0" w:line="277" w:lineRule="auto"/>
        <w:rPr>
          <w:sz w:val="20"/>
          <w:szCs w:val="20"/>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sz w:val="20"/>
          <w:szCs w:val="20"/>
          <w:color w:val="auto"/>
        </w:rPr>
      </w:pPr>
    </w:p>
    <w:p>
      <w:pPr>
        <w:ind w:left="1620" w:right="1260"/>
        <w:spacing w:after="0" w:line="287" w:lineRule="auto"/>
        <w:rPr>
          <w:sz w:val="20"/>
          <w:szCs w:val="20"/>
          <w:color w:val="auto"/>
        </w:rPr>
      </w:pPr>
      <w:r>
        <w:rPr>
          <w:rFonts w:ascii="Arial" w:cs="Arial" w:eastAsia="Arial" w:hAnsi="Arial"/>
          <w:sz w:val="16"/>
          <w:szCs w:val="16"/>
          <w:color w:val="auto"/>
        </w:rPr>
        <w:t>Adjusted Net Income is defined as net income before contingent consideration, acquisition related intangible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4" w:lineRule="exact"/>
        <w:rPr>
          <w:sz w:val="20"/>
          <w:szCs w:val="20"/>
          <w:color w:val="auto"/>
        </w:rPr>
      </w:pPr>
    </w:p>
    <w:p>
      <w:pPr>
        <w:ind w:left="1620" w:right="1240"/>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4" w:lineRule="exact"/>
        <w:rPr>
          <w:sz w:val="20"/>
          <w:szCs w:val="20"/>
          <w:color w:val="auto"/>
        </w:rPr>
      </w:pPr>
    </w:p>
    <w:p>
      <w:pPr>
        <w:ind w:left="1620" w:right="1440"/>
        <w:spacing w:after="0" w:line="308" w:lineRule="auto"/>
        <w:rPr>
          <w:sz w:val="20"/>
          <w:szCs w:val="20"/>
          <w:color w:val="auto"/>
        </w:rPr>
      </w:pPr>
      <w:r>
        <w:rPr>
          <w:rFonts w:ascii="Arial" w:cs="Arial" w:eastAsia="Arial" w:hAnsi="Arial"/>
          <w:sz w:val="17"/>
          <w:szCs w:val="17"/>
          <w:color w:val="auto"/>
        </w:rPr>
        <w:t>The table set forth below presents a reconciliation of net income to Adjusted EBITDA for the nine months ended September 30, 2018 and 2017 and the years ended December 31, 2017 and 2016: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52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52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8"/>
                <w:szCs w:val="18"/>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200" w:type="dxa"/>
            <w:vAlign w:val="bottom"/>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620"/>
              <w:spacing w:after="0"/>
              <w:rPr>
                <w:sz w:val="20"/>
                <w:szCs w:val="20"/>
                <w:color w:val="auto"/>
              </w:rPr>
            </w:pPr>
            <w:r>
              <w:rPr>
                <w:rFonts w:ascii="Arial" w:cs="Arial" w:eastAsia="Arial" w:hAnsi="Arial"/>
                <w:sz w:val="18"/>
                <w:szCs w:val="18"/>
                <w:color w:val="auto"/>
              </w:rPr>
              <w:t>Contingent consideration</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29,535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620"/>
              <w:spacing w:after="0"/>
              <w:rPr>
                <w:sz w:val="20"/>
                <w:szCs w:val="20"/>
                <w:color w:val="auto"/>
              </w:rPr>
            </w:pPr>
            <w:r>
              <w:rPr>
                <w:rFonts w:ascii="Arial" w:cs="Arial" w:eastAsia="Arial" w:hAnsi="Arial"/>
                <w:sz w:val="18"/>
                <w:szCs w:val="18"/>
                <w:color w:val="auto"/>
              </w:rPr>
              <w:t>Depreciation and amortization</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48,808</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52,645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80,859</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460" w:type="dxa"/>
            <w:vAlign w:val="bottom"/>
            <w:gridSpan w:val="2"/>
          </w:tcPr>
          <w:p>
            <w:pPr>
              <w:ind w:left="1620"/>
              <w:spacing w:after="0"/>
              <w:rPr>
                <w:sz w:val="20"/>
                <w:szCs w:val="20"/>
                <w:color w:val="auto"/>
              </w:rPr>
            </w:pPr>
            <w:r>
              <w:rPr>
                <w:rFonts w:ascii="Arial" w:cs="Arial" w:eastAsia="Arial" w:hAnsi="Arial"/>
                <w:sz w:val="18"/>
                <w:szCs w:val="18"/>
                <w:color w:val="auto"/>
              </w:rPr>
              <w:t>Unrealized foreign exchange</w:t>
            </w:r>
          </w:p>
        </w:tc>
        <w:tc>
          <w:tcPr>
            <w:tcW w:w="160" w:type="dxa"/>
            <w:vAlign w:val="bottom"/>
            <w:vMerge w:val="restart"/>
          </w:tcPr>
          <w:p>
            <w:pPr>
              <w:spacing w:after="0"/>
              <w:rPr>
                <w:sz w:val="21"/>
                <w:szCs w:val="21"/>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6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20" w:type="dxa"/>
            <w:vAlign w:val="bottom"/>
          </w:tcPr>
          <w:p>
            <w:pPr>
              <w:spacing w:after="0"/>
              <w:rPr>
                <w:sz w:val="24"/>
                <w:szCs w:val="2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215,012</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162,546</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215,863</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200" w:type="dxa"/>
            <w:vAlign w:val="bottom"/>
            <w:shd w:val="clear" w:color="auto" w:fill="CCEEFF"/>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-805180</wp:posOffset>
            </wp:positionV>
            <wp:extent cx="1289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-805180</wp:posOffset>
            </wp:positionV>
            <wp:extent cx="3429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-805180</wp:posOffset>
            </wp:positionV>
            <wp:extent cx="3086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-805180</wp:posOffset>
            </wp:positionV>
            <wp:extent cx="26574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747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-2013585</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-2013585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-2013585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659"/>
        <w:spacing w:after="0" w:line="308" w:lineRule="auto"/>
        <w:rPr>
          <w:sz w:val="20"/>
          <w:szCs w:val="20"/>
          <w:color w:val="auto"/>
        </w:rPr>
      </w:pPr>
      <w:r>
        <w:rPr>
          <w:rFonts w:ascii="Arial" w:cs="Arial" w:eastAsia="Arial" w:hAnsi="Arial"/>
          <w:sz w:val="17"/>
          <w:szCs w:val="17"/>
          <w:color w:val="auto"/>
        </w:rPr>
        <w:t>The table set forth below presents a reconciliation of net income to Adjusted Net Income for the nine months ended September 30, 2018 and 2017 and the years ended December 31, 2017 and 2016:</w:t>
      </w:r>
    </w:p>
    <w:p>
      <w:pPr>
        <w:spacing w:after="0" w:line="5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2780" w:type="dxa"/>
            <w:vAlign w:val="bottom"/>
          </w:tcPr>
          <w:p>
            <w:pPr>
              <w:spacing w:after="0"/>
              <w:rPr>
                <w:sz w:val="2"/>
                <w:szCs w:val="2"/>
                <w:color w:val="auto"/>
              </w:rPr>
            </w:pPr>
          </w:p>
        </w:tc>
        <w:tc>
          <w:tcPr>
            <w:tcW w:w="256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r>
      <w:tr>
        <w:trPr>
          <w:trHeight w:val="197"/>
        </w:trPr>
        <w:tc>
          <w:tcPr>
            <w:tcW w:w="2780" w:type="dxa"/>
            <w:vAlign w:val="bottom"/>
          </w:tcPr>
          <w:p>
            <w:pPr>
              <w:spacing w:after="0"/>
              <w:rPr>
                <w:sz w:val="17"/>
                <w:szCs w:val="17"/>
                <w:color w:val="auto"/>
              </w:rPr>
            </w:pPr>
          </w:p>
        </w:tc>
        <w:tc>
          <w:tcPr>
            <w:tcW w:w="2560" w:type="dxa"/>
            <w:vAlign w:val="bottom"/>
            <w:gridSpan w:val="8"/>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278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8"/>
        </w:trPr>
        <w:tc>
          <w:tcPr>
            <w:tcW w:w="27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7"/>
                <w:szCs w:val="17"/>
                <w:color w:val="auto"/>
              </w:rPr>
            </w:pPr>
          </w:p>
        </w:tc>
      </w:tr>
      <w:tr>
        <w:trPr>
          <w:trHeight w:val="26"/>
        </w:trPr>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3"/>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76,541</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200" w:type="dxa"/>
            <w:vAlign w:val="bottom"/>
            <w:shd w:val="clear" w:color="auto" w:fill="CCEEFF"/>
          </w:tcPr>
          <w:p>
            <w:pPr>
              <w:spacing w:after="0"/>
              <w:rPr>
                <w:sz w:val="22"/>
                <w:szCs w:val="22"/>
                <w:color w:val="auto"/>
              </w:rPr>
            </w:pPr>
          </w:p>
        </w:tc>
      </w:tr>
      <w:tr>
        <w:trPr>
          <w:trHeight w:val="257"/>
        </w:trPr>
        <w:tc>
          <w:tcPr>
            <w:tcW w:w="27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29,535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200" w:type="dxa"/>
            <w:vAlign w:val="bottom"/>
          </w:tcPr>
          <w:p>
            <w:pPr>
              <w:spacing w:after="0"/>
              <w:rPr>
                <w:sz w:val="22"/>
                <w:szCs w:val="22"/>
                <w:color w:val="auto"/>
              </w:rPr>
            </w:pPr>
          </w:p>
        </w:tc>
      </w:tr>
      <w:tr>
        <w:trPr>
          <w:trHeight w:val="22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intangible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4"/>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19,576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31,236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c>
          <w:tcPr>
            <w:tcW w:w="200" w:type="dxa"/>
            <w:vAlign w:val="bottom"/>
            <w:shd w:val="clear" w:color="auto" w:fill="CCEEFF"/>
          </w:tcPr>
          <w:p>
            <w:pPr>
              <w:spacing w:after="0"/>
              <w:rPr>
                <w:sz w:val="21"/>
                <w:szCs w:val="2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20"/>
                <w:szCs w:val="20"/>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175,606</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131,840</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173,040</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200" w:type="dxa"/>
            <w:vAlign w:val="bottom"/>
            <w:shd w:val="clear" w:color="auto" w:fill="CCEEFF"/>
          </w:tcPr>
          <w:p>
            <w:pPr>
              <w:spacing w:after="0"/>
              <w:rPr>
                <w:sz w:val="21"/>
                <w:szCs w:val="2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-196215</wp:posOffset>
            </wp:positionV>
            <wp:extent cx="1289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-196215</wp:posOffset>
            </wp:positionV>
            <wp:extent cx="3600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-196215</wp:posOffset>
            </wp:positionV>
            <wp:extent cx="3257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-196215</wp:posOffset>
            </wp:positionV>
            <wp:extent cx="26231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-1259205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-1259205</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-1259205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999" w:firstLine="360"/>
        <w:spacing w:after="0" w:line="275" w:lineRule="auto"/>
        <w:rPr>
          <w:sz w:val="20"/>
          <w:szCs w:val="20"/>
          <w:color w:val="auto"/>
        </w:rPr>
      </w:pPr>
      <w:r>
        <w:rPr>
          <w:rFonts w:ascii="Arial" w:cs="Arial" w:eastAsia="Arial" w:hAnsi="Arial"/>
          <w:sz w:val="17"/>
          <w:szCs w:val="17"/>
          <w:color w:val="auto"/>
        </w:rPr>
        <w:t>The following unaudited pro forma consolidated statements of operations for the nine months ended September 30, 2018 and the year ended December 31, 2017 give effect to the Transactions, including this offering, as if the same had occurred on January 1, 2017. The unaudited pro forma consolidated statement of financial condition as of September 30, 2018 gives effect to the Transactions, including this offering, as if the same had occurred on September 30, 2018.</w:t>
      </w:r>
    </w:p>
    <w:p>
      <w:pPr>
        <w:spacing w:after="0" w:line="68" w:lineRule="exact"/>
        <w:rPr>
          <w:sz w:val="20"/>
          <w:szCs w:val="20"/>
          <w:color w:val="auto"/>
        </w:rPr>
      </w:pPr>
    </w:p>
    <w:p>
      <w:pPr>
        <w:ind w:left="1260" w:right="719" w:firstLine="360"/>
        <w:spacing w:after="0" w:line="289" w:lineRule="auto"/>
        <w:rPr>
          <w:sz w:val="20"/>
          <w:szCs w:val="20"/>
          <w:color w:val="auto"/>
        </w:rPr>
      </w:pPr>
      <w:r>
        <w:rPr>
          <w:rFonts w:ascii="Arial" w:cs="Arial" w:eastAsia="Arial" w:hAnsi="Arial"/>
          <w:sz w:val="16"/>
          <w:szCs w:val="16"/>
          <w:color w:val="auto"/>
        </w:rPr>
        <w:t>We have derived the unaudited pro forma consolidated financial information for the year ended December 31, 2017 and as of and for the year ended September 30, 2018 from the consolidated financial statements of Tradeweb Markets LLC and its subsidiaries included elsewhere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“Management’s Discussion and Analysis of Financial Condition and Results of Operations” and our consolidated financial statements and the related notes included elsewhere in this prospectus.</w:t>
      </w:r>
    </w:p>
    <w:p>
      <w:pPr>
        <w:spacing w:after="0" w:line="58"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color w:val="auto"/>
        </w:rPr>
        <w:t>The pro forma adjustments related to the Refinitiv Transaction, which we refer to as the “Refinitiv Adjustments,” are described in the notes to the unaudited pro forma consolidated financial information, and principally include the consummation of the Refinitiv Transaction and the application of pushdown accounting. As a result of the Refinitiv Transaction, we revalued our assets and liabilities based on their fair values as of the closing date of the Refinitiv Transaction in accordance with the acquisition method of accounting. The unaudited pro forma consolidated financial information presented, including the allocation of the total purchase price of the Refinitiv Transaction attributable to the purchase of our assets and liabilities, are based on preliminary estimates of the fair values of our assets and our liabilities, available information as of the date of this prospectus and management assumptions, and will be revised as additional information becomes available. The final purchase price allocation is dependent on, among other things, the finalization of the asset and liability valuations by our independent third-party valuation firm. The actual adjustments to our consolidated financial statements following the closing of the Refinitiv Transaction will depend on a number of factors. Therefore, the actual adjustments will differ from the pro forma adjustments, and the differences may be material.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5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pro forma adjustments related to the Reorganization Transactions other than this offering, which we refer to as the “Reorganization Adjustments,” are described in the notes to the unaudited pro forma consolidated financial information, and principally include the following:</w:t>
      </w:r>
    </w:p>
    <w:p>
      <w:pPr>
        <w:spacing w:after="0" w:line="157" w:lineRule="exact"/>
        <w:rPr>
          <w:sz w:val="20"/>
          <w:szCs w:val="20"/>
          <w:color w:val="auto"/>
        </w:rPr>
      </w:pPr>
    </w:p>
    <w:p>
      <w:pPr>
        <w:ind w:left="1980" w:right="919" w:hanging="352"/>
        <w:spacing w:after="0" w:line="274" w:lineRule="auto"/>
        <w:tabs>
          <w:tab w:leader="none" w:pos="1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will be the single class of common membership interests in TWM LLC,</w:t>
      </w:r>
    </w:p>
    <w:p>
      <w:pPr>
        <w:ind w:left="1980" w:right="999" w:firstLine="8"/>
        <w:spacing w:after="0" w:line="260" w:lineRule="auto"/>
        <w:tabs>
          <w:tab w:leader="none" w:pos="2245"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exchange all of the Original LLC Owners existing membership interests in TWM LLC for LLC Interests and (iii) appoint Tradeweb as the sole manager of TWM LLC;</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jc w:val="both"/>
        <w:ind w:left="1980" w:right="1039" w:firstLine="8"/>
        <w:spacing w:after="0" w:line="302" w:lineRule="auto"/>
        <w:tabs>
          <w:tab w:leader="none" w:pos="2195" w:val="left"/>
        </w:tabs>
        <w:numPr>
          <w:ilvl w:val="1"/>
          <w:numId w:val="68"/>
        </w:numPr>
        <w:rPr>
          <w:rFonts w:ascii="Arial" w:cs="Arial" w:eastAsia="Arial" w:hAnsi="Arial"/>
          <w:sz w:val="16"/>
          <w:szCs w:val="16"/>
          <w:color w:val="auto"/>
        </w:rPr>
      </w:pPr>
      <w:r>
        <w:rPr>
          <w:rFonts w:ascii="Arial" w:cs="Arial" w:eastAsia="Arial" w:hAnsi="Arial"/>
          <w:sz w:val="16"/>
          <w:szCs w:val="16"/>
          <w:color w:val="auto"/>
        </w:rPr>
        <w:t>provide for Class A common stock, Class B common stock, Class C common stock and Class D common stock and (ii) issue shares of Class D common stock to the Continuing LLC Owners, on a one-to-one basis with the number of LLC Interests they own, for nominal consideration;</w:t>
      </w:r>
    </w:p>
    <w:p>
      <w:pPr>
        <w:sectPr>
          <w:pgSz w:w="11900" w:h="16838" w:orient="portrait"/>
          <w:cols w:equalWidth="0" w:num="1">
            <w:col w:w="10139"/>
          </w:cols>
          <w:pgMar w:left="320" w:top="131" w:right="1440" w:bottom="1440" w:gutter="0" w:footer="0" w:header="0"/>
        </w:sectPr>
      </w:pPr>
    </w:p>
    <w:p>
      <w:pPr>
        <w:spacing w:after="0" w:line="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exchange by the Refinitiv Direct Owners of their LLC Interests for stock on a one-to-one basis; and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B common</w:t>
      </w:r>
    </w:p>
    <w:p>
      <w:pPr>
        <w:spacing w:after="0" w:line="382" w:lineRule="exact"/>
        <w:rPr>
          <w:sz w:val="20"/>
          <w:szCs w:val="20"/>
          <w:color w:val="auto"/>
        </w:rPr>
      </w:pPr>
    </w:p>
    <w:p>
      <w:pPr>
        <w:sectPr>
          <w:pgSz w:w="11900" w:h="16838" w:orient="portrait"/>
          <w:cols w:equalWidth="0" w:num="3">
            <w:col w:w="1700" w:space="280"/>
            <w:col w:w="5080" w:space="460"/>
            <w:col w:w="2619"/>
          </w:cols>
          <w:pgMar w:left="320" w:top="131" w:right="1440" w:bottom="1440" w:gutter="0" w:footer="0" w:header="0"/>
          <w:type w:val="continuous"/>
        </w:sectPr>
      </w:pPr>
    </w:p>
    <w:p>
      <w:pPr>
        <w:ind w:left="1980" w:hanging="352"/>
        <w:spacing w:after="0"/>
        <w:tabs>
          <w:tab w:leader="none" w:pos="1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provision for federal and state income taxes of Tradeweb as a taxable corporation at an effective rate</w:t>
      </w:r>
    </w:p>
    <w:p>
      <w:pPr>
        <w:spacing w:after="0" w:line="46" w:lineRule="exact"/>
        <w:rPr>
          <w:sz w:val="20"/>
          <w:szCs w:val="20"/>
          <w:color w:val="auto"/>
        </w:rPr>
      </w:pPr>
    </w:p>
    <w:p>
      <w:pPr>
        <w:ind w:left="1980"/>
        <w:spacing w:after="0"/>
        <w:tabs>
          <w:tab w:leader="none" w:pos="3300" w:val="left"/>
        </w:tabs>
        <w:rPr>
          <w:sz w:val="20"/>
          <w:szCs w:val="20"/>
          <w:color w:val="auto"/>
        </w:rPr>
      </w:pPr>
      <w:r>
        <w:rPr>
          <w:rFonts w:ascii="Arial" w:cs="Arial" w:eastAsia="Arial" w:hAnsi="Arial"/>
          <w:sz w:val="18"/>
          <w:szCs w:val="18"/>
          <w:color w:val="auto"/>
        </w:rPr>
        <w:t>of ____% and</w:t>
      </w:r>
      <w:r>
        <w:rPr>
          <w:sz w:val="20"/>
          <w:szCs w:val="20"/>
          <w:color w:val="auto"/>
        </w:rPr>
        <w:tab/>
      </w:r>
      <w:r>
        <w:rPr>
          <w:rFonts w:ascii="Arial" w:cs="Arial" w:eastAsia="Arial" w:hAnsi="Arial"/>
          <w:sz w:val="15"/>
          <w:szCs w:val="15"/>
          <w:color w:val="auto"/>
        </w:rPr>
        <w:t>% for the nine months ended September 30, 2018 and the year ended December 31,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2017, respectively.</w:t>
      </w: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57" w:lineRule="exact"/>
        <w:rPr>
          <w:sz w:val="20"/>
          <w:szCs w:val="20"/>
          <w:color w:val="auto"/>
        </w:rPr>
      </w:pPr>
    </w:p>
    <w:p>
      <w:pPr>
        <w:ind w:left="1980" w:hanging="352"/>
        <w:spacing w:after="0"/>
        <w:tabs>
          <w:tab w:leader="none" w:pos="1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issuance of shares of our Class A common stock to the purchasers in this offering in exchange for</w:t>
      </w:r>
    </w:p>
    <w:p>
      <w:pPr>
        <w:spacing w:after="0" w:line="46" w:lineRule="exact"/>
        <w:rPr>
          <w:sz w:val="20"/>
          <w:szCs w:val="20"/>
          <w:color w:val="auto"/>
        </w:rPr>
      </w:pPr>
    </w:p>
    <w:p>
      <w:pPr>
        <w:ind w:left="1980" w:right="879"/>
        <w:spacing w:after="0" w:line="255" w:lineRule="auto"/>
        <w:rPr>
          <w:sz w:val="20"/>
          <w:szCs w:val="20"/>
          <w:color w:val="auto"/>
        </w:rPr>
      </w:pPr>
      <w:r>
        <w:rPr>
          <w:rFonts w:ascii="Arial" w:cs="Arial" w:eastAsia="Arial" w:hAnsi="Arial"/>
          <w:sz w:val="18"/>
          <w:szCs w:val="18"/>
          <w:color w:val="auto"/>
        </w:rPr>
        <w:t>net proceeds of approximately $ million, assuming that the shares are offered at $ per share (the midpoint of the price range set forth on the cover page of this prospectus), after deducting underwriting discounts and commissions but before deducting offering expenses;</w:t>
      </w:r>
    </w:p>
    <w:p>
      <w:pPr>
        <w:spacing w:after="0" w:line="149" w:lineRule="exact"/>
        <w:rPr>
          <w:sz w:val="20"/>
          <w:szCs w:val="20"/>
          <w:color w:val="auto"/>
        </w:rPr>
      </w:pPr>
    </w:p>
    <w:p>
      <w:pPr>
        <w:ind w:left="1980" w:right="999" w:hanging="352"/>
        <w:spacing w:after="0" w:line="259"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this offering to purchase issued and outstanding LLC Interests from certain of the Other LLC Owners at a purchase price per interest equal to the initial public offering price of Class A common stock, less the underwriting discounts and commissions payable thereon; and</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117" w:lineRule="exact"/>
        <w:rPr>
          <w:sz w:val="20"/>
          <w:szCs w:val="20"/>
          <w:color w:val="auto"/>
        </w:rPr>
      </w:pPr>
    </w:p>
    <w:p>
      <w:pPr>
        <w:ind w:left="1260" w:right="819" w:firstLine="360"/>
        <w:spacing w:after="0" w:line="342"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6"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We refer to the transactions related to the Refinitiv Adjustments, the Reorganization Adjustments and the Offering Adjustments collectively as the “Transactions.”</w:t>
      </w:r>
    </w:p>
    <w:p>
      <w:pPr>
        <w:spacing w:after="0" w:line="62"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8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“Management’s Discussion and Analysis of Financial Condition and Results of Operations” and the historical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 Pro Forma Consolidated Statement of Financial Condition as of September 30, 2018</w:t>
      </w:r>
    </w:p>
    <w:p>
      <w:pPr>
        <w:spacing w:after="0" w:line="30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Historical</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9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Tradeweb</w:t>
            </w:r>
          </w:p>
        </w:tc>
        <w:tc>
          <w:tcPr>
            <w:tcW w:w="8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7"/>
              </w:rPr>
              <w:t>Refinitiv</w:t>
            </w: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Reorganization</w:t>
            </w:r>
          </w:p>
        </w:tc>
        <w:tc>
          <w:tcPr>
            <w:tcW w:w="880" w:type="dxa"/>
            <w:vAlign w:val="bottom"/>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Markets</w:t>
            </w:r>
          </w:p>
        </w:tc>
        <w:tc>
          <w:tcPr>
            <w:tcW w:w="8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Before this</w:t>
            </w: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Tradeweb</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LLC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TWM LLC</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Markets Inc.</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w w:val="93"/>
              </w:rPr>
              <w:t>(in thousands)</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350,183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480" w:type="dxa"/>
            <w:vAlign w:val="bottom"/>
          </w:tcPr>
          <w:p>
            <w:pPr>
              <w:spacing w:after="0" w:line="166" w:lineRule="exact"/>
              <w:rPr>
                <w:sz w:val="20"/>
                <w:szCs w:val="20"/>
                <w:color w:val="auto"/>
              </w:rPr>
            </w:pPr>
            <w:r>
              <w:rPr>
                <w:rFonts w:ascii="Arial" w:cs="Arial" w:eastAsia="Arial" w:hAnsi="Arial"/>
                <w:sz w:val="16"/>
                <w:szCs w:val="16"/>
                <w:color w:val="auto"/>
                <w:w w:val="97"/>
              </w:rPr>
              <w:t>Receivable from brokers and dealers and clearing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4,642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ind w:left="180"/>
              <w:spacing w:after="0"/>
              <w:rPr>
                <w:sz w:val="20"/>
                <w:szCs w:val="20"/>
                <w:color w:val="auto"/>
              </w:rPr>
            </w:pPr>
            <w:r>
              <w:rPr>
                <w:rFonts w:ascii="Arial" w:cs="Arial" w:eastAsia="Arial" w:hAnsi="Arial"/>
                <w:sz w:val="16"/>
                <w:szCs w:val="16"/>
                <w:color w:val="auto"/>
              </w:rPr>
              <w:t>organizations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Deposits with clearing organizations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95,959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4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Furniture, equipment, purchased software and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23,864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leasehold improvements, net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6"/>
                <w:szCs w:val="16"/>
                <w:color w:val="auto"/>
              </w:rPr>
              <w:t>Software development costs,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40,741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6"/>
                <w:szCs w:val="16"/>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563,421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Receivable from affiliates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28,623</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1,323,807</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280" w:type="dxa"/>
            <w:vAlign w:val="bottom"/>
            <w:gridSpan w:val="6"/>
          </w:tcPr>
          <w:p>
            <w:pPr>
              <w:spacing w:after="0"/>
              <w:rPr>
                <w:sz w:val="20"/>
                <w:szCs w:val="20"/>
                <w:color w:val="auto"/>
              </w:rPr>
            </w:pPr>
            <w:r>
              <w:rPr>
                <w:rFonts w:ascii="Arial" w:cs="Arial" w:eastAsia="Arial" w:hAnsi="Arial"/>
                <w:sz w:val="16"/>
                <w:szCs w:val="16"/>
                <w:b w:val="1"/>
                <w:bCs w:val="1"/>
                <w:color w:val="auto"/>
              </w:rPr>
              <w:t>Liabilities and Members’ Capital/Stockholders’ Equity</w:t>
            </w:r>
          </w:p>
        </w:tc>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6"/>
                <w:szCs w:val="16"/>
                <w:color w:val="auto"/>
              </w:rPr>
              <w:t>Accrued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82,201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80" w:type="dxa"/>
            <w:vAlign w:val="bottom"/>
          </w:tcPr>
          <w:p>
            <w:pPr>
              <w:spacing w:after="0" w:line="179" w:lineRule="exact"/>
              <w:rPr>
                <w:sz w:val="20"/>
                <w:szCs w:val="20"/>
                <w:color w:val="auto"/>
              </w:rPr>
            </w:pPr>
            <w:r>
              <w:rPr>
                <w:rFonts w:ascii="Arial" w:cs="Arial" w:eastAsia="Arial" w:hAnsi="Arial"/>
                <w:sz w:val="16"/>
                <w:szCs w:val="16"/>
                <w:color w:val="auto"/>
              </w:rPr>
              <w:t>Accounts payable, accrued expenses and other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35,545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8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Employee equity compensation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Payable to affiliates</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185,796</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480" w:type="dxa"/>
            <w:vAlign w:val="bottom"/>
          </w:tcPr>
          <w:p>
            <w:pPr>
              <w:spacing w:after="0"/>
              <w:rPr>
                <w:sz w:val="20"/>
                <w:szCs w:val="20"/>
                <w:color w:val="auto"/>
              </w:rPr>
            </w:pPr>
            <w:r>
              <w:rPr>
                <w:rFonts w:ascii="Arial" w:cs="Arial" w:eastAsia="Arial" w:hAnsi="Arial"/>
                <w:sz w:val="16"/>
                <w:szCs w:val="16"/>
                <w:b w:val="1"/>
                <w:bCs w:val="1"/>
                <w:color w:val="auto"/>
              </w:rPr>
              <w:t>Mezzanine Capital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Class C Shares and Class P(C)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0"/>
                <w:szCs w:val="20"/>
                <w:color w:val="auto"/>
              </w:rPr>
            </w:pPr>
            <w:r>
              <w:rPr>
                <w:rFonts w:ascii="Arial" w:cs="Arial" w:eastAsia="Arial" w:hAnsi="Arial"/>
                <w:sz w:val="16"/>
                <w:szCs w:val="16"/>
                <w:b w:val="1"/>
                <w:bCs w:val="1"/>
                <w:color w:val="auto"/>
              </w:rPr>
              <w:t>Members’ Capital/Stockholders’ Equity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Members’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1,141,496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6"/>
                <w:szCs w:val="16"/>
                <w:color w:val="auto"/>
              </w:rPr>
              <w:t>Class A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Class B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6"/>
                <w:szCs w:val="16"/>
                <w:color w:val="auto"/>
              </w:rPr>
              <w:t>Class C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Class D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(16,331)</w:t>
            </w:r>
          </w:p>
        </w:tc>
        <w:tc>
          <w:tcPr>
            <w:tcW w:w="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3480" w:type="dxa"/>
            <w:vAlign w:val="bottom"/>
            <w:tcBorders>
              <w:top w:val="single" w:sz="8" w:color="CCEEFF"/>
            </w:tcBorders>
          </w:tcPr>
          <w:p>
            <w:pPr>
              <w:ind w:left="180"/>
              <w:spacing w:after="0" w:line="146" w:lineRule="exact"/>
              <w:rPr>
                <w:sz w:val="20"/>
                <w:szCs w:val="20"/>
                <w:color w:val="auto"/>
              </w:rPr>
            </w:pPr>
            <w:r>
              <w:rPr>
                <w:rFonts w:ascii="Arial" w:cs="Arial" w:eastAsia="Arial" w:hAnsi="Arial"/>
                <w:sz w:val="16"/>
                <w:szCs w:val="16"/>
                <w:color w:val="auto"/>
              </w:rPr>
              <w:t>Total members’ capital/stockholders’ equity</w:t>
            </w: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1,125,165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80" w:type="dxa"/>
            <w:vAlign w:val="bottom"/>
          </w:tcPr>
          <w:p>
            <w:pPr>
              <w:ind w:left="360"/>
              <w:spacing w:after="0"/>
              <w:rPr>
                <w:sz w:val="20"/>
                <w:szCs w:val="20"/>
                <w:color w:val="auto"/>
              </w:rPr>
            </w:pPr>
            <w:r>
              <w:rPr>
                <w:rFonts w:ascii="Arial" w:cs="Arial" w:eastAsia="Arial" w:hAnsi="Arial"/>
                <w:sz w:val="16"/>
                <w:szCs w:val="16"/>
                <w:color w:val="auto"/>
              </w:rPr>
              <w:t>attributable to Tradeweb Markets Inc.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80" w:type="dxa"/>
            <w:vAlign w:val="bottom"/>
          </w:tcPr>
          <w:p>
            <w:pPr>
              <w:ind w:left="180"/>
              <w:spacing w:after="0" w:line="179" w:lineRule="exact"/>
              <w:rPr>
                <w:sz w:val="20"/>
                <w:szCs w:val="20"/>
                <w:color w:val="auto"/>
              </w:rPr>
            </w:pPr>
            <w:r>
              <w:rPr>
                <w:rFonts w:ascii="Arial" w:cs="Arial" w:eastAsia="Arial" w:hAnsi="Arial"/>
                <w:sz w:val="16"/>
                <w:szCs w:val="16"/>
                <w:color w:val="auto"/>
              </w:rPr>
              <w:t>Total liabilities and members’ capital/</w:t>
            </w:r>
          </w:p>
        </w:tc>
        <w:tc>
          <w:tcPr>
            <w:tcW w:w="80" w:type="dxa"/>
            <w:vAlign w:val="bottom"/>
            <w:gridSpan w:val="2"/>
            <w:vMerge w:val="restart"/>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w w:val="89"/>
              </w:rPr>
              <w:t>1,323,807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480" w:type="dxa"/>
            <w:vAlign w:val="bottom"/>
          </w:tcPr>
          <w:p>
            <w:pPr>
              <w:ind w:left="360"/>
              <w:spacing w:after="0"/>
              <w:rPr>
                <w:sz w:val="20"/>
                <w:szCs w:val="20"/>
                <w:color w:val="auto"/>
              </w:rPr>
            </w:pPr>
            <w:r>
              <w:rPr>
                <w:rFonts w:ascii="Arial" w:cs="Arial" w:eastAsia="Arial" w:hAnsi="Arial"/>
                <w:sz w:val="16"/>
                <w:szCs w:val="16"/>
                <w:color w:val="auto"/>
              </w:rPr>
              <w:t>stockholders’ equity</w:t>
            </w:r>
          </w:p>
        </w:tc>
        <w:tc>
          <w:tcPr>
            <w:tcW w:w="80" w:type="dxa"/>
            <w:vAlign w:val="bottom"/>
            <w:tcBorders>
              <w:bottom w:val="single" w:sz="8" w:color="auto"/>
            </w:tcBorders>
            <w:gridSpan w:val="2"/>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-633730</wp:posOffset>
            </wp:positionV>
            <wp:extent cx="171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-2331085</wp:posOffset>
            </wp:positionV>
            <wp:extent cx="26917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-3702685</wp:posOffset>
            </wp:positionV>
            <wp:extent cx="26917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-5614035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-5614035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-5614035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-5614035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-5614035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-5614035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Unaudited Pro Forma Consolidated Statement of Operation for the Nine Months Ended September 30,</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2018</w:t>
      </w:r>
    </w:p>
    <w:p>
      <w:pPr>
        <w:spacing w:after="0" w:line="309"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Historical</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Tradeweb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Refinitiv</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Pro Forma</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w w:val="96"/>
              </w:rPr>
              <w:t>Reorganization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Before this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Tradeweb</w:t>
            </w:r>
          </w:p>
        </w:tc>
      </w:tr>
      <w:tr>
        <w:trPr>
          <w:trHeight w:val="186"/>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9"/>
              </w:rPr>
              <w:t>Markets LLC</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TWM LLC</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Markets Inc.</w:t>
            </w:r>
          </w:p>
        </w:tc>
      </w:tr>
      <w:tr>
        <w:trPr>
          <w:trHeight w:val="26"/>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6"/>
                <w:szCs w:val="16"/>
                <w:color w:val="auto"/>
              </w:rPr>
              <w:t>Transaction fees</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273,751</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107,130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6"/>
                <w:szCs w:val="16"/>
                <w:color w:val="auto"/>
              </w:rPr>
              <w:t>Commissions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79,830</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Thomson Reuters market data fees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3"/>
        </w:trPr>
        <w:tc>
          <w:tcPr>
            <w:tcW w:w="2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8,209</w:t>
            </w: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Gross revenue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505,771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3"/>
        </w:trPr>
        <w:tc>
          <w:tcPr>
            <w:tcW w:w="274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(26,830)</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4"/>
        </w:trPr>
        <w:tc>
          <w:tcPr>
            <w:tcW w:w="2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revenue</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478,941</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r>
      <w:tr>
        <w:trPr>
          <w:trHeight w:val="337"/>
        </w:trPr>
        <w:tc>
          <w:tcPr>
            <w:tcW w:w="27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209,053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48,808</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23,056</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6"/>
                <w:szCs w:val="16"/>
                <w:color w:val="auto"/>
              </w:rPr>
              <w:t>Technology and communications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26,598</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20,360</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7"/>
        </w:trPr>
        <w:tc>
          <w:tcPr>
            <w:tcW w:w="2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Occupancy</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10,732</w:t>
            </w:r>
          </w:p>
        </w:tc>
        <w:tc>
          <w:tcPr>
            <w:tcW w:w="1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77"/>
        </w:trPr>
        <w:tc>
          <w:tcPr>
            <w:tcW w:w="2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338,607</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7"/>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income</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140,334</w:t>
            </w:r>
          </w:p>
        </w:tc>
        <w:tc>
          <w:tcPr>
            <w:tcW w:w="1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6"/>
                <w:szCs w:val="16"/>
                <w:color w:val="auto"/>
              </w:rPr>
              <w:t>Income before taxes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142,060</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4"/>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(11,900)</w:t>
            </w:r>
          </w:p>
        </w:tc>
        <w:tc>
          <w:tcPr>
            <w:tcW w:w="8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17"/>
        </w:trPr>
        <w:tc>
          <w:tcPr>
            <w:tcW w:w="2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130,160</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6"/>
        </w:trPr>
        <w:tc>
          <w:tcPr>
            <w:tcW w:w="274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6"/>
                <w:szCs w:val="16"/>
                <w:color w:val="auto"/>
              </w:rPr>
              <w:t>Net income attributable to non-</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controlling interest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7"/>
        </w:trPr>
        <w:tc>
          <w:tcPr>
            <w:tcW w:w="27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income attributable to Tradeweb</w:t>
            </w: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9"/>
        </w:trPr>
        <w:tc>
          <w:tcPr>
            <w:tcW w:w="2740" w:type="dxa"/>
            <w:vAlign w:val="bottom"/>
          </w:tcPr>
          <w:p>
            <w:pPr>
              <w:ind w:left="180"/>
              <w:spacing w:after="0"/>
              <w:rPr>
                <w:sz w:val="20"/>
                <w:szCs w:val="20"/>
                <w:color w:val="auto"/>
              </w:rPr>
            </w:pPr>
            <w:r>
              <w:rPr>
                <w:rFonts w:ascii="Arial" w:cs="Arial" w:eastAsia="Arial" w:hAnsi="Arial"/>
                <w:sz w:val="16"/>
                <w:szCs w:val="16"/>
                <w:color w:val="auto"/>
              </w:rPr>
              <w:t>Markets Inc.</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-16510</wp:posOffset>
            </wp:positionV>
            <wp:extent cx="5760720"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60720" cy="21463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-1302385</wp:posOffset>
            </wp:positionV>
            <wp:extent cx="23660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-1679575</wp:posOffset>
            </wp:positionV>
            <wp:extent cx="23660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-3034030</wp:posOffset>
            </wp:positionV>
            <wp:extent cx="23660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-3359785</wp:posOffset>
            </wp:positionV>
            <wp:extent cx="23660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-4405630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-4405630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-4405630</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-4405630</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-4405630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-4405630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Pro forma net income per share data</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Weighted-average shares of Class A</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57607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Basic</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5760720" cy="2825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60720" cy="282575"/>
                    </a:xfrm>
                    <a:prstGeom prst="rect">
                      <a:avLst/>
                    </a:prstGeom>
                    <a:noFill/>
                  </pic:spPr>
                </pic:pic>
              </a:graphicData>
            </a:graphic>
          </wp:anchor>
        </w:drawing>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income available to Class A</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common stock per share</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57607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Diluted</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Unaudited Pro Forma Consolidated Statement of Operation for the Year Ended December 31, 2017</w:t>
      </w:r>
    </w:p>
    <w:p>
      <w:pPr>
        <w:spacing w:after="0" w:line="329"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Historical</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Tradeweb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Refinitiv</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Pro Forma</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w w:val="96"/>
              </w:rPr>
              <w:t>Reorganization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Before this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Tradeweb</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9"/>
              </w:rPr>
              <w:t>Markets LLC</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TWM LLC</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Markets Inc.</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6"/>
                <w:szCs w:val="16"/>
                <w:color w:val="auto"/>
              </w:rPr>
              <w:t>Transaction fees</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267,020</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144,409</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6"/>
                <w:szCs w:val="16"/>
                <w:color w:val="auto"/>
              </w:rPr>
              <w:t>Commissions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96,745</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Thomson Reuters market data fees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50,125</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4,669</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Gross revenue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562,968</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(58,520)</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revenue</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504,448</w:t>
            </w:r>
          </w:p>
        </w:tc>
        <w:tc>
          <w:tcPr>
            <w:tcW w:w="8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7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Expenses</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248,963</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68,615</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33,973</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6"/>
                <w:szCs w:val="16"/>
                <w:color w:val="auto"/>
              </w:rPr>
              <w:t>Technology and communications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30,013</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19,351</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6"/>
                <w:szCs w:val="16"/>
                <w:color w:val="auto"/>
              </w:rPr>
              <w:t>Occupancy</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14,441</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415,356</w:t>
            </w:r>
          </w:p>
        </w:tc>
        <w:tc>
          <w:tcPr>
            <w:tcW w:w="8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74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89,092</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1,140</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(455)</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before taxes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89,777</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6,129</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83,648</w:t>
            </w: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attributable to non-</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180"/>
              <w:spacing w:after="0"/>
              <w:rPr>
                <w:sz w:val="20"/>
                <w:szCs w:val="20"/>
                <w:color w:val="auto"/>
              </w:rPr>
            </w:pPr>
            <w:r>
              <w:rPr>
                <w:rFonts w:ascii="Arial" w:cs="Arial" w:eastAsia="Arial" w:hAnsi="Arial"/>
                <w:sz w:val="16"/>
                <w:szCs w:val="16"/>
                <w:color w:val="auto"/>
              </w:rPr>
              <w:t>controlling interest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Tradeweb</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Markets Inc.</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-333375</wp:posOffset>
            </wp:positionV>
            <wp:extent cx="23660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-805180</wp:posOffset>
            </wp:positionV>
            <wp:extent cx="23660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-1148080</wp:posOffset>
            </wp:positionV>
            <wp:extent cx="23660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-1490980</wp:posOffset>
            </wp:positionV>
            <wp:extent cx="23660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-1868170</wp:posOffset>
            </wp:positionV>
            <wp:extent cx="23660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-3205480</wp:posOffset>
            </wp:positionV>
            <wp:extent cx="23660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-3531235</wp:posOffset>
            </wp:positionV>
            <wp:extent cx="23660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-4577080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-4577080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-4577080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-4577080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-4577080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-4577080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Pro forma net income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wp:posOffset>
            </wp:positionV>
            <wp:extent cx="5760720" cy="2825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60720" cy="282575"/>
                    </a:xfrm>
                    <a:prstGeom prst="rect">
                      <a:avLst/>
                    </a:prstGeom>
                    <a:noFill/>
                  </pic:spPr>
                </pic:pic>
              </a:graphicData>
            </a:graphic>
          </wp:anchor>
        </w:drawing>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Weighted-average shares of Class A</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common stock outstanding</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57607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Diluted</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income available to Class A</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common stock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57607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Basic</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8"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sections titled “Selected Historical Consolidated Financial and Other Data” and “Unaudited Pro Forma Consolidated Financial Information” and our consolidated financial statements and related notes and other information included elsewhere in this prospectus.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77"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Our institutional client sector serves institutional investors in 37 markets across 22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49" w:lineRule="exact"/>
        <w:rPr>
          <w:sz w:val="20"/>
          <w:szCs w:val="20"/>
          <w:color w:val="auto"/>
        </w:rPr>
      </w:pPr>
    </w:p>
    <w:p>
      <w:pPr>
        <w:ind w:left="1260" w:right="679" w:firstLine="360"/>
        <w:spacing w:after="0" w:line="296" w:lineRule="auto"/>
        <w:rPr>
          <w:sz w:val="20"/>
          <w:szCs w:val="20"/>
          <w:color w:val="auto"/>
        </w:rPr>
      </w:pPr>
      <w:r>
        <w:rPr>
          <w:rFonts w:ascii="Arial" w:cs="Arial" w:eastAsia="Arial" w:hAnsi="Arial"/>
          <w:sz w:val="16"/>
          <w:szCs w:val="16"/>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53"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68"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Our markets are large and growing. Electronic trading continues to develop from market demand for greater transparency, higher execution quality, operational efficiency, lower costs, as well as regulatory changes. Our deep client relationships, asset class breadth, geographic reach, regulatory knowledge and scalable technology position us to continue to be at the forefront of the evolution of electronic trading. Our platforms provide transparent, efficient, cost-effective and compliant trading environments across multiple regions and regulatory regimes. As market participants seek to reduce their costs of trading and the importance of data to support trading increases, we believe the demand for our platforms and electronic trading solutions will grow.</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04" w:lineRule="exact"/>
        <w:rPr>
          <w:sz w:val="20"/>
          <w:szCs w:val="20"/>
          <w:color w:val="auto"/>
        </w:rPr>
      </w:pPr>
    </w:p>
    <w:p>
      <w:pPr>
        <w:ind w:left="1260" w:right="1119" w:firstLine="360"/>
        <w:spacing w:after="0" w:line="342"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is correlated to lower liquidity, which may result in lower trading volume for our</w:t>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76"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offset market volatility risk.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04"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we expect to incur additional costs to comply with the new regulations in Europe as well as to address the effects of Brexit.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0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business and its success are largely impacted by the introduction of increasingly complex technology, sophisticated systems,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7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During the nine months ended September 30, 2018 and the year ended December 31, 2017, approximately 28.6% and 24.7%, respectively, of our gross revenue and 17.0% and 15.6%, respectively, of our operating expenses were denominated in currencies other than the U.S. dollar, almost entirely the Euro for gross revenue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 Quantitative and Qualitative Disclosures About Market Risk — Foreign Currency and Derivative Risk.”</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6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financial statements in the future will vary from the historical financial statements included elsewhere in this prospectus. As a result of the Refinitiv Transaction and the application of pushdown accounting, our assets and liabilities will be adjusted to their estimated fair market values as of October 1, 2018, the closing date of the Refinitiv Transaction. These adjusted valuations will result in an increase in our other operating expenses due to the increased carrying value of our assets and the related increase in depreciation of tangible assets and amortization of our intangible assets. Additionally, the excess of the portion of the total purchase price of the Refinitiv Transaction attributable to the purchase of our assets and liabilities over their estimated fair value as of the closing date of the Refinitiv Transaction will be allocated to goodwill. A preliminary assessment of the estimated fair value of our assets indicates that the value at which we carry our goodwill and intangible assets will increase significantly. Goodwill will be subject to annual impairment testing. Amounts allocated to intangible assets with definite lives will be subject to amortization over the estimated useful life of the asset. See “Unaudited Pro Forma Consolidated Financial Information.”</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Post-Offering Taxation and Public Company Expenses</w:t>
      </w:r>
    </w:p>
    <w:p>
      <w:pPr>
        <w:spacing w:after="0" w:line="67"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After the consummation of this offering, we will become subject to U.S. federal, state and local income taxes with respect to our allocable share of any taxable income of Tradeweb Markets LLC and will be taxed at prevailing corporate tax rates. Our actual effective tax rate will be impacted by our ownership share of Tradeweb Markets LLC, which will increase over time as the Continuing LLC Owners exchange their LLC Interests for shares of Class A common stock or Class B common stock, as applicable. In addition to tax expenses, we also will incur expenses related to our operations. Furthermore, in connection with this offering, we will enter into the Tax Receivable Agreement pursuant to which we will make payments that we expect to be significant. We intend to cause Tradeweb Markets LLC to make distributions in an amount sufficient to allow us to pay our tax obligations and operating expenses, including payments under the Tax Receivable Agreement. See “Certain Relationships and Related Party Transactions — Related Party Transactions Entered Into in Connection With This Offering — TWM LLC Agreement.”</w:t>
      </w:r>
    </w:p>
    <w:p>
      <w:pPr>
        <w:spacing w:after="0" w:line="60"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market data services, client services, technology services, sales and customer support services and real estate and facilities support. Following this offering, we expect Refinitiv will continue to provide market data services and insurance and, at least in the near term, office space and related services. We do not anticipate that we will incur any material increased expenses if we transition away from Refinitiv for these services in the future.</w:t>
      </w:r>
    </w:p>
    <w:p>
      <w:pPr>
        <w:spacing w:after="0" w:line="5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addition, 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Our gross revenue is derived primarily from transaction fees, subscription fees, commissions and market data fees. For each period presented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5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 Fees</w:t>
      </w:r>
    </w:p>
    <w:p>
      <w:pPr>
        <w:spacing w:after="0" w:line="10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earn transaction fees from transactions executed on our markets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 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Subscription Fees</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76"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For purposes of our discussion of our results of operations, we include Thomson Reuters (now Refinitiv) market data fees in subscription fees. We earn fixed license fees from our market data license agreement with Refinitiv.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five years from the date of the initial referral. See “Certain Relationships and Related Party Transactions — Transactions with Refinitiv/Thomson Reuters.”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Commissions</w:t>
      </w:r>
    </w:p>
    <w:p>
      <w:pPr>
        <w:spacing w:after="0" w:line="10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nine months ended September 30, 2018 and 2017 and the years ended December 31, 2017 and 2016.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Compensation and Benefits</w:t>
      </w:r>
    </w:p>
    <w:p>
      <w:pPr>
        <w:spacing w:after="0" w:line="10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and earnings growth, hiring new employees, trading activity which generates broker commissions and, following this offering, the share price of our Class A common stock. As we grow our business, we expect to hire additional employees. As a result, we expect employee compensation and benefits expense to increase as we hire additional employees and as our revenues and earnings grow. As a result, employee compensation and benefits can vary from period to period.</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elected to apply pushdown accounting as a result of the Refinitiv Transaction and therefore depreciation and amortization in future reporting periods will differ from amounts reported in prior periods.</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Technology and Communications</w:t>
      </w:r>
    </w:p>
    <w:p>
      <w:pPr>
        <w:spacing w:after="0" w:line="104"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Professional Fees</w:t>
      </w:r>
    </w:p>
    <w:p>
      <w:pPr>
        <w:spacing w:after="0" w:line="104"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implement in connection with becoming a publicly traded company. Factors that influence technology and software consulting expense include the growth of our client base and product offerings.</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Occupancy</w:t>
      </w:r>
    </w:p>
    <w:p>
      <w:pPr>
        <w:spacing w:after="0" w:line="10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Occupancy expense consists of operating lease rent and related costs for office space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04" w:lineRule="exact"/>
        <w:rPr>
          <w:sz w:val="20"/>
          <w:szCs w:val="20"/>
          <w:color w:val="auto"/>
        </w:rPr>
      </w:pPr>
    </w:p>
    <w:p>
      <w:pPr>
        <w:ind w:left="1260" w:right="739" w:firstLine="360"/>
        <w:spacing w:after="0" w:line="311" w:lineRule="auto"/>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 Interest expense consists of interest payable to Thomson Reuters under a convertible term note. Thomson Reuters converted all outstanding borrowings under this note to equity of the Company in May 2017.</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We are currently a multiple member limited liability company taxed as a partnership and accordingly we are not required to maintain an income tax provision on our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After the consummation of this offering, we will become subject to U.S. federal, state and local income taxes with respect to our allocable share of any taxable income of Tradeweb Markets LLC and will be taxed at prevailing corporate tax rates.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10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following table sets forth a summary of our statements of income for the nine months ended September 30, 2018 and 2017, and the resulting dollar and percentage changes: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40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r>
      <w:tr>
        <w:trPr>
          <w:trHeight w:val="197"/>
        </w:trPr>
        <w:tc>
          <w:tcPr>
            <w:tcW w:w="490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$505,771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$419,569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$86,202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3"/>
                <w:szCs w:val="23"/>
                <w:color w:val="auto"/>
              </w:rPr>
            </w:pPr>
          </w:p>
        </w:tc>
      </w:tr>
      <w:tr>
        <w:trPr>
          <w:trHeight w:val="263"/>
        </w:trPr>
        <w:tc>
          <w:tcPr>
            <w:tcW w:w="490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760" w:type="dxa"/>
            <w:vAlign w:val="bottom"/>
          </w:tcPr>
          <w:p>
            <w:pPr>
              <w:jc w:val="right"/>
              <w:spacing w:after="0"/>
              <w:rPr>
                <w:sz w:val="20"/>
                <w:szCs w:val="20"/>
                <w:color w:val="auto"/>
              </w:rPr>
            </w:pPr>
            <w:r>
              <w:rPr>
                <w:rFonts w:ascii="Arial" w:cs="Arial" w:eastAsia="Arial" w:hAnsi="Arial"/>
                <w:sz w:val="18"/>
                <w:szCs w:val="18"/>
                <w:color w:val="auto"/>
              </w:rPr>
              <w:t>(26,830)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(29,535)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2,705</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49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390,034</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88,907</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2"/>
                <w:szCs w:val="22"/>
                <w:color w:val="auto"/>
              </w:rPr>
            </w:pPr>
          </w:p>
        </w:tc>
      </w:tr>
      <w:tr>
        <w:trPr>
          <w:trHeight w:val="263"/>
        </w:trPr>
        <w:tc>
          <w:tcPr>
            <w:tcW w:w="4900" w:type="dxa"/>
            <w:vAlign w:val="bottom"/>
          </w:tcPr>
          <w:p>
            <w:pPr>
              <w:spacing w:after="0"/>
              <w:rPr>
                <w:sz w:val="20"/>
                <w:szCs w:val="20"/>
                <w:color w:val="auto"/>
              </w:rPr>
            </w:pPr>
            <w:r>
              <w:rPr>
                <w:rFonts w:ascii="Arial" w:cs="Arial" w:eastAsia="Arial" w:hAnsi="Arial"/>
                <w:sz w:val="18"/>
                <w:szCs w:val="18"/>
                <w:color w:val="auto"/>
              </w:rPr>
              <w:t>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338,607</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310,762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27,845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r>
      <w:tr>
        <w:trPr>
          <w:trHeight w:val="20"/>
        </w:trPr>
        <w:tc>
          <w:tcPr>
            <w:tcW w:w="49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140,334</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22"/>
                <w:szCs w:val="22"/>
                <w:color w:val="auto"/>
              </w:rPr>
            </w:pPr>
          </w:p>
        </w:tc>
      </w:tr>
      <w:tr>
        <w:trPr>
          <w:trHeight w:val="263"/>
        </w:trPr>
        <w:tc>
          <w:tcPr>
            <w:tcW w:w="490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760" w:type="dxa"/>
            <w:vAlign w:val="bottom"/>
          </w:tcPr>
          <w:p>
            <w:pPr>
              <w:jc w:val="right"/>
              <w:spacing w:after="0"/>
              <w:rPr>
                <w:sz w:val="20"/>
                <w:szCs w:val="20"/>
                <w:color w:val="auto"/>
              </w:rPr>
            </w:pPr>
            <w:r>
              <w:rPr>
                <w:rFonts w:ascii="Arial" w:cs="Arial" w:eastAsia="Arial" w:hAnsi="Arial"/>
                <w:sz w:val="18"/>
                <w:szCs w:val="18"/>
                <w:color w:val="auto"/>
              </w:rPr>
              <w:t>1,726</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303.3%</w:t>
            </w:r>
          </w:p>
        </w:tc>
      </w:tr>
      <w:tr>
        <w:trPr>
          <w:trHeight w:val="20"/>
        </w:trPr>
        <w:tc>
          <w:tcPr>
            <w:tcW w:w="49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142,060</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22"/>
                <w:szCs w:val="22"/>
                <w:color w:val="auto"/>
              </w:rPr>
            </w:pPr>
          </w:p>
        </w:tc>
      </w:tr>
      <w:tr>
        <w:trPr>
          <w:trHeight w:val="263"/>
        </w:trPr>
        <w:tc>
          <w:tcPr>
            <w:tcW w:w="49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(11,900)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(3,159)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(8,741)</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276.7%</w:t>
            </w:r>
          </w:p>
        </w:tc>
      </w:tr>
      <w:tr>
        <w:trPr>
          <w:trHeight w:val="20"/>
        </w:trPr>
        <w:tc>
          <w:tcPr>
            <w:tcW w:w="49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130,160</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$ 76,541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53,619</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22"/>
                <w:szCs w:val="22"/>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-196215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-196215</wp:posOffset>
            </wp:positionV>
            <wp:extent cx="2057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2773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-539115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-539115</wp:posOffset>
            </wp:positionV>
            <wp:extent cx="2057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-539115</wp:posOffset>
            </wp:positionV>
            <wp:extent cx="42773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-882015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-882015</wp:posOffset>
            </wp:positionV>
            <wp:extent cx="2057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42773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-1224915</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-1224915</wp:posOffset>
            </wp:positionV>
            <wp:extent cx="2057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-1224915</wp:posOffset>
            </wp:positionV>
            <wp:extent cx="42773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-1696720</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-1696720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Gross revenue increased by $86.2 million or 20.5% to $505.8 million for the nine months ended September 30, 2018 from $419.6 million for the nine months ended September 30, 2017. This increase in gross revenue was mainly due to higher trading volumes resulting in a $72.9 million increase in transaction fees and a $10.6 million increase in commissions. Net revenue increased by $89.0 million or 22.8% to $478.9 million for the nine months ended September 30, 2018 from $390.0 million for the nine months ended September 30, 2017. Non-cash contingent consideration decreased by $2.7 million to $26.8 million for the nine months ended September 30, 2018 from $29.5 million for the nine months ended September 30, 2017 as a result of changes in projected and actual revenues related to the Credit Initiative Earnout during the periods.</w:t>
      </w:r>
    </w:p>
    <w:p>
      <w:pPr>
        <w:spacing w:after="0" w:line="5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Total expenses increased by $27.8 million or 9.0% to $338.6 million for the nine months ended September 30, 2018 from $310.8 million for the nine months ended September 30, 2017. This increase was primarily due to higher employee compensation and benefits expense of $23.3 million and higher professional fees of $7.1 million.</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Income before taxes increased by $62.4 million or 78.2% to $142.1 million for the nine months ended September 30, 2018 from $79.7 million for the nine months ended September 30, 2017. Net income increased by $53.6 million or 70.1% to $130.2 million for the nine months ended September 30, 2018 from $76.5 million for the nine months ended September 30, 2017. These increases were due to higher revenues partially offset by higher compensation costs.</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Our revenues for the nine months ended September 30, 2018 and 2017,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6"/>
          </w:tcPr>
          <w:p>
            <w:pPr>
              <w:jc w:val="center"/>
              <w:ind w:left="377"/>
              <w:spacing w:after="0"/>
              <w:rPr>
                <w:sz w:val="20"/>
                <w:szCs w:val="20"/>
                <w:color w:val="auto"/>
              </w:rPr>
            </w:pPr>
            <w:r>
              <w:rPr>
                <w:rFonts w:ascii="Arial" w:cs="Arial" w:eastAsia="Arial" w:hAnsi="Arial"/>
                <w:sz w:val="14"/>
                <w:szCs w:val="14"/>
                <w:b w:val="1"/>
                <w:bCs w:val="1"/>
                <w:color w:val="auto"/>
                <w:w w:val="92"/>
              </w:rPr>
              <w:t>Nine Months Ended September 30,</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6"/>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7"/>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162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73"/>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of Gross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of Gross</w:t>
            </w: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86"/>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w:t>
            </w: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Change</w:t>
            </w:r>
          </w:p>
        </w:tc>
      </w:tr>
      <w:tr>
        <w:trPr>
          <w:trHeight w:val="26"/>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4"/>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2"/>
        </w:trPr>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330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$273,751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$198,562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$75,189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r>
      <w:tr>
        <w:trPr>
          <w:trHeight w:val="270"/>
        </w:trPr>
        <w:tc>
          <w:tcPr>
            <w:tcW w:w="3300" w:type="dxa"/>
            <w:vAlign w:val="bottom"/>
            <w:gridSpan w:val="2"/>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143,981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145,887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330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79,830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71,616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8,214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6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8,209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3,504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4,705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134.3%</w:t>
            </w:r>
          </w:p>
        </w:tc>
      </w:tr>
      <w:tr>
        <w:trPr>
          <w:trHeight w:val="20"/>
        </w:trPr>
        <w:tc>
          <w:tcPr>
            <w:tcW w:w="3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505,771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419,569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86,202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r>
      <w:tr>
        <w:trPr>
          <w:trHeight w:val="27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(26,830)</w:t>
            </w: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(29,535)</w:t>
            </w: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w:t>
            </w:r>
          </w:p>
        </w:tc>
        <w:tc>
          <w:tcPr>
            <w:tcW w:w="5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33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$478,941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$390,034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$88,907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3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84"/>
        </w:trPr>
        <w:tc>
          <w:tcPr>
            <w:tcW w:w="3300" w:type="dxa"/>
            <w:vAlign w:val="bottom"/>
            <w:gridSpan w:val="2"/>
          </w:tcPr>
          <w:p>
            <w:pPr>
              <w:ind w:left="180"/>
              <w:spacing w:after="0" w:line="283"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6"/>
                <w:szCs w:val="26"/>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7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7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-1748155</wp:posOffset>
            </wp:positionV>
            <wp:extent cx="52120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-1414145</wp:posOffset>
            </wp:positionV>
            <wp:extent cx="52120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-342265</wp:posOffset>
            </wp:positionV>
            <wp:extent cx="521208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-2219960</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-2219960</wp:posOffset>
            </wp:positionV>
            <wp:extent cx="1289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-2219960</wp:posOffset>
            </wp:positionV>
            <wp:extent cx="1200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-2219960</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-2219960</wp:posOffset>
            </wp:positionV>
            <wp:extent cx="1200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171450</wp:posOffset>
            </wp:positionV>
            <wp:extent cx="12344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99" w:hanging="352"/>
        <w:spacing w:after="0" w:line="27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include $36.9 million and $37.9 million, respectively, of Thomson Reuters market data fees.</w:t>
      </w:r>
    </w:p>
    <w:p>
      <w:pPr>
        <w:spacing w:after="0" w:line="129" w:lineRule="exact"/>
        <w:rPr>
          <w:rFonts w:ascii="Arial" w:cs="Arial" w:eastAsia="Arial" w:hAnsi="Arial"/>
          <w:sz w:val="18"/>
          <w:szCs w:val="18"/>
          <w:color w:val="auto"/>
        </w:rPr>
      </w:pPr>
    </w:p>
    <w:p>
      <w:pPr>
        <w:ind w:left="1620" w:right="859" w:hanging="352"/>
        <w:spacing w:after="0" w:line="311" w:lineRule="auto"/>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Our revenues by fee type for the nine months ended September 30, 2018 and 2017,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8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1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26"/>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7"/>
        </w:trPr>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8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Fixed</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Variable</w:t>
            </w:r>
          </w:p>
        </w:tc>
        <w:tc>
          <w:tcPr>
            <w:tcW w:w="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Fixed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Variable</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Fixed</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Variable</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Fixed</w:t>
            </w:r>
          </w:p>
        </w:tc>
      </w:tr>
      <w:tr>
        <w:trPr>
          <w:trHeight w:val="26"/>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83"/>
        </w:trPr>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22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2240" w:type="dxa"/>
            <w:vAlign w:val="bottom"/>
            <w:gridSpan w:val="3"/>
          </w:tcPr>
          <w:p>
            <w:pPr>
              <w:spacing w:after="0"/>
              <w:rPr>
                <w:sz w:val="20"/>
                <w:szCs w:val="20"/>
                <w:color w:val="auto"/>
              </w:rPr>
            </w:pPr>
            <w:r>
              <w:rPr>
                <w:rFonts w:ascii="Arial" w:cs="Arial" w:eastAsia="Arial" w:hAnsi="Arial"/>
                <w:sz w:val="16"/>
                <w:szCs w:val="16"/>
                <w:color w:val="auto"/>
              </w:rPr>
              <w:t>Transaction fees</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$208,049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65,702</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$156,931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41,631</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$51,118</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$24,071</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32.6%</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57.8%</w:t>
            </w:r>
          </w:p>
        </w:tc>
      </w:tr>
      <w:tr>
        <w:trPr>
          <w:trHeight w:val="263"/>
        </w:trPr>
        <w:tc>
          <w:tcPr>
            <w:tcW w:w="2240" w:type="dxa"/>
            <w:vAlign w:val="bottom"/>
            <w:gridSpan w:val="3"/>
          </w:tcPr>
          <w:p>
            <w:pPr>
              <w:spacing w:after="0" w:line="263"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1,305</w:t>
            </w:r>
          </w:p>
        </w:tc>
        <w:tc>
          <w:tcPr>
            <w:tcW w:w="8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142,676</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w w:val="86"/>
              </w:rPr>
              <w:t>144,687</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105</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(2,011)</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8.7%</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40"/>
        </w:trPr>
        <w:tc>
          <w:tcPr>
            <w:tcW w:w="2240" w:type="dxa"/>
            <w:vAlign w:val="bottom"/>
            <w:gridSpan w:val="3"/>
          </w:tcPr>
          <w:p>
            <w:pPr>
              <w:spacing w:after="0"/>
              <w:rPr>
                <w:sz w:val="20"/>
                <w:szCs w:val="20"/>
                <w:color w:val="auto"/>
              </w:rPr>
            </w:pPr>
            <w:r>
              <w:rPr>
                <w:rFonts w:ascii="Arial" w:cs="Arial" w:eastAsia="Arial" w:hAnsi="Arial"/>
                <w:sz w:val="16"/>
                <w:szCs w:val="16"/>
                <w:color w:val="auto"/>
              </w:rPr>
              <w:t>Commissions</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49,234</w:t>
            </w:r>
          </w:p>
        </w:tc>
        <w:tc>
          <w:tcPr>
            <w:tcW w:w="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30,596</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42,049</w:t>
            </w:r>
          </w:p>
        </w:tc>
        <w:tc>
          <w:tcPr>
            <w:tcW w:w="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29,567</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7,185</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1,029</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17.1%</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r>
      <w:tr>
        <w:trPr>
          <w:trHeight w:val="250"/>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8,169</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3,477</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13</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4,692</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48.1%</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134.9%</w:t>
            </w:r>
          </w:p>
        </w:tc>
      </w:tr>
      <w:tr>
        <w:trPr>
          <w:trHeight w:val="23"/>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40"/>
        </w:trPr>
        <w:tc>
          <w:tcPr>
            <w:tcW w:w="2240" w:type="dxa"/>
            <w:vAlign w:val="bottom"/>
            <w:gridSpan w:val="3"/>
          </w:tcPr>
          <w:p>
            <w:pPr>
              <w:spacing w:after="0"/>
              <w:rPr>
                <w:sz w:val="20"/>
                <w:szCs w:val="20"/>
                <w:color w:val="auto"/>
              </w:rPr>
            </w:pPr>
            <w:r>
              <w:rPr>
                <w:rFonts w:ascii="Arial" w:cs="Arial" w:eastAsia="Arial" w:hAnsi="Arial"/>
                <w:sz w:val="16"/>
                <w:szCs w:val="16"/>
                <w:color w:val="auto"/>
              </w:rPr>
              <w:t>Gross revenue</w:t>
            </w:r>
          </w:p>
        </w:tc>
        <w:tc>
          <w:tcPr>
            <w:tcW w:w="62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258,628</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247,143</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200,207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w w:val="86"/>
              </w:rPr>
              <w:t>219,362</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58,421</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27,781</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29.</w:t>
            </w:r>
            <w:r>
              <w:rPr>
                <w:rFonts w:ascii="Arial" w:cs="Arial" w:eastAsia="Arial" w:hAnsi="Arial"/>
                <w:sz w:val="16"/>
                <w:szCs w:val="16"/>
                <w:u w:val="single" w:color="auto"/>
                <w:color w:val="auto"/>
              </w:rPr>
              <w:t>2</w:t>
            </w:r>
            <w:r>
              <w:rPr>
                <w:rFonts w:ascii="Arial" w:cs="Arial" w:eastAsia="Arial" w:hAnsi="Arial"/>
                <w:sz w:val="16"/>
                <w:szCs w:val="16"/>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12.7%</w:t>
            </w:r>
          </w:p>
        </w:tc>
      </w:tr>
      <w:tr>
        <w:trPr>
          <w:trHeight w:val="20"/>
        </w:trPr>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0"/>
        </w:trPr>
        <w:tc>
          <w:tcPr>
            <w:tcW w:w="1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-839470</wp:posOffset>
            </wp:positionV>
            <wp:extent cx="5212080" cy="1631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-521970</wp:posOffset>
            </wp:positionV>
            <wp:extent cx="5212080" cy="163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-1285240</wp:posOffset>
            </wp:positionV>
            <wp:extent cx="137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-1285240</wp:posOffset>
            </wp:positionV>
            <wp:extent cx="1371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-1285240</wp:posOffset>
            </wp:positionV>
            <wp:extent cx="137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-1285240</wp:posOffset>
            </wp:positionV>
            <wp:extent cx="137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-1285240</wp:posOffset>
            </wp:positionV>
            <wp:extent cx="137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-1285240</wp:posOffset>
            </wp:positionV>
            <wp:extent cx="137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-1285240</wp:posOffset>
            </wp:positionV>
            <wp:extent cx="137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include $36.9 million and $37.9 million, respectively, of Thomson Reuters market data fees.</w:t>
      </w:r>
    </w:p>
    <w:p>
      <w:pPr>
        <w:spacing w:after="0" w:line="62"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$75.2 million or 37.9% to $273.8 million for the nine months ended September 30, 2018 from $198.6 million for the nine months ended September 30, 2017. The increase was derived primarily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6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decreased by $1.9 million or (1.3)% to $144.0 million for the nine months ended September 30, 2018 from $145.9 million for the nine months ended September 30, 2017 due primarily to a $7.3 million decline from MiFID II contract adjustments where certain annual subscription fees were replaced with monthly minimum transaction fees, partially offset by a $2.2 million increase in market data fees and a $3.2 million increase in Retail fees.</w:t>
      </w:r>
    </w:p>
    <w:p>
      <w:pPr>
        <w:spacing w:after="0" w:line="8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$8.2 million or 11.5% to $79.8 million for the nine months ended September 30, 2018 from $71.6 million for the nine months ended September 30, 2017 due to higher trading volumes in our Wholesale client sector for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ind w:left="1260" w:right="1019" w:firstLine="360"/>
        <w:spacing w:after="0" w:line="279"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Other revenue increased by $4.7 million or 134.3% to $8.2 million for the nine months ended September 30, 2018 from $3.5 million for the nine months ended September 30, 2017 primarily as a result of revenue from our APA reporting service launched in January 2018 in response to MiFID II. Other fees also consisted of fees from a third party for certain licensing and development in Canada.</w:t>
      </w:r>
    </w:p>
    <w:p>
      <w:pPr>
        <w:spacing w:after="0" w:line="63"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decreased by $2.7 million or (9.2)% to $26.8 million for the nine months ended September 30, 2018 from $29.5 million for the nine months ended September 30, 2017. The decrease was a result of changes in projected and actual revenues related to the Credit Initiative Earnout during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Our gross revenue by client sector for the nine months ended September 30, 2018 and 2017,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32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Institutional</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$301,918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$236,034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$65,884</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27.9%</w:t>
            </w: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99,028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88,490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10,538</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Retail</w:t>
            </w:r>
          </w:p>
        </w:tc>
        <w:tc>
          <w:tcPr>
            <w:tcW w:w="740" w:type="dxa"/>
            <w:vAlign w:val="bottom"/>
          </w:tcPr>
          <w:p>
            <w:pPr>
              <w:jc w:val="right"/>
              <w:spacing w:after="0"/>
              <w:rPr>
                <w:sz w:val="20"/>
                <w:szCs w:val="20"/>
                <w:color w:val="auto"/>
              </w:rPr>
            </w:pPr>
            <w:r>
              <w:rPr>
                <w:rFonts w:ascii="Arial" w:cs="Arial" w:eastAsia="Arial" w:hAnsi="Arial"/>
                <w:sz w:val="18"/>
                <w:szCs w:val="18"/>
                <w:color w:val="auto"/>
              </w:rPr>
              <w:t>57,766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53,467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4,299</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8.0%</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47,056</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41,578</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13.2%</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25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505,771</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419,569</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86,202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20.5%</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-1156970</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-1156970</wp:posOffset>
            </wp:positionV>
            <wp:extent cx="137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$65.8 million or 27.9% to $301.9 million for the nine months ended September 30, 2018 from $236.0 million for the nine months ended September 30, 2017. The increase was derived primarily from increased Institutional transactional volumes for U.S. and European credit products, derivative products (led by European interest rate swaps, Dollar swaps and U.S. and European credit default indexes), U.S. and European ETF, European repurchase agreements, U.S. Treasury, European governments and the product launch of China bonds.</w:t>
      </w:r>
    </w:p>
    <w:p>
      <w:pPr>
        <w:spacing w:after="0" w:line="7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$10.5 million or 11.9% to $99.0 million for the nine months ended September 30, 2018 from $88.5 million for the nine months ended September 30, 2017. Revenue increased primarily due to higher trading volumes in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$4.3 million or 8.0% to $57.8 million for the nine months ended September 30, 2018 from $53.5 million for the nine months ended September 30, 2017 due to strong middle markets trading volumes.</w:t>
      </w:r>
    </w:p>
    <w:p>
      <w:pPr>
        <w:spacing w:after="0" w:line="76"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$5.5 million or 13.2% to $47.1 million for the nine months ended September 30, 2018 from $41.6 million for the nine months ended September 30, 2017 as a result of revenue from our APA reporting service launched in January 2018 in response to MiFID II, increased Thomson Reuters license fees due to an increase in the number of market data feeds provided to Refinitiv and increased Gilt closing price revenues.</w:t>
      </w:r>
    </w:p>
    <w:p>
      <w:pPr>
        <w:spacing w:after="0" w:line="80"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Our gross revenue by asset class for the nine months ended September 30, 2018 and 2017, and the resulting dollar and percentage changes, were as follows:</w:t>
      </w:r>
    </w:p>
    <w:p>
      <w:pPr>
        <w:spacing w:after="0" w:line="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32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5"/>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Rates</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$281,641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$242,586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$39,055</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16.1%</w:t>
            </w: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102,452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77,882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24,570</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Equities</w:t>
            </w:r>
          </w:p>
        </w:tc>
        <w:tc>
          <w:tcPr>
            <w:tcW w:w="740" w:type="dxa"/>
            <w:vAlign w:val="bottom"/>
          </w:tcPr>
          <w:p>
            <w:pPr>
              <w:jc w:val="right"/>
              <w:spacing w:after="0"/>
              <w:rPr>
                <w:sz w:val="20"/>
                <w:szCs w:val="20"/>
                <w:color w:val="auto"/>
              </w:rPr>
            </w:pPr>
            <w:r>
              <w:rPr>
                <w:rFonts w:ascii="Arial" w:cs="Arial" w:eastAsia="Arial" w:hAnsi="Arial"/>
                <w:sz w:val="18"/>
                <w:szCs w:val="18"/>
                <w:color w:val="auto"/>
              </w:rPr>
              <w:t>28,347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17,308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11,039</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63.8%</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20,949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4,299</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Market Data</w:t>
            </w:r>
          </w:p>
        </w:tc>
        <w:tc>
          <w:tcPr>
            <w:tcW w:w="740" w:type="dxa"/>
            <w:vAlign w:val="bottom"/>
          </w:tcPr>
          <w:p>
            <w:pPr>
              <w:jc w:val="right"/>
              <w:spacing w:after="0"/>
              <w:rPr>
                <w:sz w:val="20"/>
                <w:szCs w:val="20"/>
                <w:color w:val="auto"/>
              </w:rPr>
            </w:pPr>
            <w:r>
              <w:rPr>
                <w:rFonts w:ascii="Arial" w:cs="Arial" w:eastAsia="Arial" w:hAnsi="Arial"/>
                <w:sz w:val="18"/>
                <w:szCs w:val="18"/>
                <w:color w:val="auto"/>
              </w:rPr>
              <w:t>47,059</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41,578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5,481</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13.2%</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505,771</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419,569</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86,202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20.5%</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-1490980</wp:posOffset>
            </wp:positionV>
            <wp:extent cx="137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-1490980</wp:posOffset>
            </wp:positionV>
            <wp:extent cx="137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$39.1 million or 16.1% to $281.6 million for the nine months ended September 30, 2018 from $242.6 million for the nine months ended September 30, 2017 primarily due to increased Institutional transactional volumes in European interest rate swaps, Dollar swaps, U.S Treasury and European governments.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$24.6 million or 31.5% to $102.5 million for the nine months ended September 30, 2018 from $77.9 million for the nine months ended September 30,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84"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color w:val="auto"/>
        </w:rPr>
        <w:t>. Revenues from our Equities asset class increased by $11.0 million or 63.8% to $28.3 million for the nine months ended September 30, 2018 from $17.3 million for the nine months ended September 30, 2017 primarily due to increased Institutional transactional volumes for U.S. and European ETF.</w:t>
      </w:r>
    </w:p>
    <w:p>
      <w:pPr>
        <w:spacing w:after="0" w:line="57"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$4.3 million or 20.5% to $25.2 million for the nine months ended September 30, 2018 from $20.9 million for the nine months ended September 30, 2017 primarily due to increased Wholesale transactional volumes for repurchase agreements and higher Institutional transactional volumes for European repurchase agreements.</w:t>
      </w:r>
    </w:p>
    <w:p>
      <w:pPr>
        <w:spacing w:after="0" w:line="63"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$5.5 million or 13.2% to $47.1 million for the nine months ended September 30, 2018 from $41.6 million for the nine months ended September 30, 2017 as a result of revenue from our APA reporting service launched in January 2018 in response to MiFID II, increased Thomson Reuters license fees due to an increase in the number of market data feeds provided to Refinitiv and increased Gilt closing price revenues.</w:t>
      </w:r>
    </w:p>
    <w:p>
      <w:pPr>
        <w:spacing w:after="0" w:line="80"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Revenues from Other Fees increased by $1.8 million or 9.1% to $21.0 million for the nine months ended September 30, 2018 from $19.3 million for the nine months ended September 30, 2017 primarily due to increased Retail fees for software development and implementation.</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nine months ended September 30, 2018 and 2017 were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298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rPr>
              <w:t>Nine Months Ended September 30,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7"/>
                <w:szCs w:val="17"/>
                <w:color w:val="auto"/>
              </w:rPr>
            </w:pPr>
          </w:p>
        </w:tc>
        <w:tc>
          <w:tcPr>
            <w:tcW w:w="1440" w:type="dxa"/>
            <w:vAlign w:val="bottom"/>
            <w:gridSpan w:val="3"/>
          </w:tcPr>
          <w:p>
            <w:pPr>
              <w:jc w:val="right"/>
              <w:ind w:right="507"/>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7"/>
                <w:szCs w:val="17"/>
                <w:color w:val="auto"/>
              </w:rPr>
            </w:pPr>
          </w:p>
        </w:tc>
        <w:tc>
          <w:tcPr>
            <w:tcW w:w="1440" w:type="dxa"/>
            <w:vAlign w:val="bottom"/>
            <w:gridSpan w:val="3"/>
          </w:tcPr>
          <w:p>
            <w:pPr>
              <w:jc w:val="right"/>
              <w:ind w:right="505"/>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ADV</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Volume</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$346,616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$65,347,728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$246,717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$46,465,057</w:t>
            </w:r>
          </w:p>
        </w:tc>
        <w:tc>
          <w:tcPr>
            <w:tcW w:w="460" w:type="dxa"/>
            <w:vAlign w:val="bottom"/>
            <w:shd w:val="clear" w:color="auto" w:fill="CCEEFF"/>
          </w:tcPr>
          <w:p>
            <w:pPr>
              <w:ind w:left="80"/>
              <w:spacing w:after="0"/>
              <w:rPr>
                <w:sz w:val="20"/>
                <w:szCs w:val="20"/>
                <w:color w:val="auto"/>
              </w:rPr>
            </w:pPr>
            <w:r>
              <w:rPr>
                <w:rFonts w:ascii="Arial" w:cs="Arial" w:eastAsia="Arial" w:hAnsi="Arial"/>
                <w:sz w:val="15"/>
                <w:szCs w:val="15"/>
                <w:color w:val="auto"/>
                <w:w w:val="84"/>
              </w:rPr>
              <w:t>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5"/>
                <w:szCs w:val="15"/>
                <w:color w:val="auto"/>
              </w:rPr>
              <w:t>Credit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12,873</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2,434,087</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7,713</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1,423,860</w:t>
            </w:r>
          </w:p>
        </w:tc>
        <w:tc>
          <w:tcPr>
            <w:tcW w:w="480" w:type="dxa"/>
            <w:vAlign w:val="bottom"/>
            <w:gridSpan w:val="2"/>
          </w:tcPr>
          <w:p>
            <w:pPr>
              <w:ind w:left="80"/>
              <w:spacing w:after="0"/>
              <w:rPr>
                <w:sz w:val="20"/>
                <w:szCs w:val="20"/>
                <w:color w:val="auto"/>
              </w:rPr>
            </w:pPr>
            <w:r>
              <w:rPr>
                <w:rFonts w:ascii="Arial" w:cs="Arial" w:eastAsia="Arial" w:hAnsi="Arial"/>
                <w:sz w:val="15"/>
                <w:szCs w:val="15"/>
                <w:color w:val="auto"/>
                <w:w w:val="89"/>
              </w:rPr>
              <w:t>66.9%</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Money Markets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168,608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31,771,846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127,737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24,031,324</w:t>
            </w:r>
          </w:p>
        </w:tc>
        <w:tc>
          <w:tcPr>
            <w:tcW w:w="460" w:type="dxa"/>
            <w:vAlign w:val="bottom"/>
            <w:shd w:val="clear" w:color="auto" w:fill="CCEEFF"/>
          </w:tcPr>
          <w:p>
            <w:pPr>
              <w:ind w:left="80"/>
              <w:spacing w:after="0"/>
              <w:rPr>
                <w:sz w:val="20"/>
                <w:szCs w:val="20"/>
                <w:color w:val="auto"/>
              </w:rPr>
            </w:pPr>
            <w:r>
              <w:rPr>
                <w:rFonts w:ascii="Arial" w:cs="Arial" w:eastAsia="Arial" w:hAnsi="Arial"/>
                <w:sz w:val="15"/>
                <w:szCs w:val="15"/>
                <w:color w:val="auto"/>
                <w:w w:val="84"/>
              </w:rPr>
              <w:t>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5"/>
                <w:szCs w:val="15"/>
                <w:color w:val="auto"/>
              </w:rPr>
              <w:t>Equities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7,615</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1,432,088</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4,338</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819,232</w:t>
            </w:r>
          </w:p>
        </w:tc>
        <w:tc>
          <w:tcPr>
            <w:tcW w:w="480" w:type="dxa"/>
            <w:vAlign w:val="bottom"/>
            <w:gridSpan w:val="2"/>
          </w:tcPr>
          <w:p>
            <w:pPr>
              <w:ind w:left="80"/>
              <w:spacing w:after="0"/>
              <w:rPr>
                <w:sz w:val="20"/>
                <w:szCs w:val="20"/>
                <w:color w:val="auto"/>
              </w:rPr>
            </w:pPr>
            <w:r>
              <w:rPr>
                <w:rFonts w:ascii="Arial" w:cs="Arial" w:eastAsia="Arial" w:hAnsi="Arial"/>
                <w:sz w:val="15"/>
                <w:szCs w:val="15"/>
                <w:color w:val="auto"/>
                <w:w w:val="89"/>
              </w:rPr>
              <w:t>75.6%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-756920</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-756920</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-756920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-756920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4" w:lineRule="exact"/>
        <w:rPr>
          <w:sz w:val="20"/>
          <w:szCs w:val="20"/>
          <w:color w:val="auto"/>
        </w:rPr>
      </w:pPr>
    </w:p>
    <w:p>
      <w:pPr>
        <w:ind w:left="1260" w:right="839" w:firstLine="360"/>
        <w:spacing w:after="0" w:line="296" w:lineRule="auto"/>
        <w:rPr>
          <w:sz w:val="20"/>
          <w:szCs w:val="20"/>
          <w:color w:val="auto"/>
        </w:rPr>
      </w:pPr>
      <w:r>
        <w:rPr>
          <w:rFonts w:ascii="Arial" w:cs="Arial" w:eastAsia="Arial" w:hAnsi="Arial"/>
          <w:sz w:val="16"/>
          <w:szCs w:val="16"/>
          <w:color w:val="auto"/>
        </w:rPr>
        <w:t>We believe the increases in average daily volumes in the nine months ended September 30, 2018 can be attributed to various factors, including: further electronification of trading activities, increase in market share, new products and new clients. In addition, we believe that certain trading volumes increased in the nine months ended September 30, 2018 as customers adapted to electronic trading in order to comply with obligations pursuant to MiFID II, which was implemented by regulatory bodies in Europe in January 2018.</w:t>
      </w:r>
    </w:p>
    <w:p>
      <w:pPr>
        <w:spacing w:after="0" w:line="53"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nine months ended September 30, 2018 and 2017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23.9% for the nine months ended September 30, 2018 while gross revenue for our Credit asset class increased 31.5% over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60" w:type="dxa"/>
            <w:vAlign w:val="bottom"/>
            <w:gridSpan w:val="8"/>
          </w:tcPr>
          <w:p>
            <w:pPr>
              <w:ind w:left="120"/>
              <w:spacing w:after="0"/>
              <w:rPr>
                <w:sz w:val="20"/>
                <w:szCs w:val="20"/>
                <w:color w:val="auto"/>
              </w:rPr>
            </w:pPr>
            <w:r>
              <w:rPr>
                <w:rFonts w:ascii="Arial" w:cs="Arial" w:eastAsia="Arial" w:hAnsi="Arial"/>
                <w:sz w:val="13"/>
                <w:szCs w:val="13"/>
                <w:b w:val="1"/>
                <w:bCs w:val="1"/>
                <w:color w:val="auto"/>
                <w:w w:val="99"/>
              </w:rPr>
              <w:t>Nine Months Ended September 30,</w:t>
            </w:r>
          </w:p>
        </w:tc>
      </w:tr>
      <w:tr>
        <w:trPr>
          <w:trHeight w:val="28"/>
        </w:trPr>
        <w:tc>
          <w:tcPr>
            <w:tcW w:w="5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980" w:type="dxa"/>
            <w:vAlign w:val="bottom"/>
          </w:tcPr>
          <w:p>
            <w:pPr>
              <w:spacing w:after="0"/>
              <w:rPr>
                <w:sz w:val="17"/>
                <w:szCs w:val="17"/>
                <w:color w:val="auto"/>
              </w:rPr>
            </w:pPr>
          </w:p>
        </w:tc>
        <w:tc>
          <w:tcPr>
            <w:tcW w:w="440" w:type="dxa"/>
            <w:vAlign w:val="bottom"/>
          </w:tcPr>
          <w:p>
            <w:pPr>
              <w:ind w:left="100"/>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7"/>
                <w:szCs w:val="17"/>
                <w:color w:val="auto"/>
              </w:rPr>
            </w:pPr>
          </w:p>
        </w:tc>
        <w:tc>
          <w:tcPr>
            <w:tcW w:w="440" w:type="dxa"/>
            <w:vAlign w:val="bottom"/>
          </w:tcPr>
          <w:p>
            <w:pPr>
              <w:jc w:val="right"/>
              <w:ind w:right="5"/>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7"/>
                <w:szCs w:val="17"/>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7"/>
              </w:rPr>
              <w:t>$ Change % Change</w:t>
            </w:r>
          </w:p>
        </w:tc>
      </w:tr>
      <w:tr>
        <w:trPr>
          <w:trHeight w:val="28"/>
        </w:trPr>
        <w:tc>
          <w:tcPr>
            <w:tcW w:w="5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$ 2.04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(0.30)</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2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5"/>
                <w:szCs w:val="15"/>
                <w:color w:val="auto"/>
              </w:rPr>
              <w:t>Credit</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35.85</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47.08</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(11.24)</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(23.9)%</w:t>
            </w: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Money Markets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0.44</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21"/>
                <w:szCs w:val="2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5"/>
                <w:szCs w:val="15"/>
                <w:color w:val="auto"/>
              </w:rPr>
              <w:t>Equities</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16.41</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17.08</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(0.67)</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-611505</wp:posOffset>
            </wp:positionV>
            <wp:extent cx="48177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257"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Our gross revenue by geography (based on client location) for the nine months ended September 30, 2018 and 2017,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32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$324,304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$287,624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$36,680</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12.8%</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181,467</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131,945</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37.5%</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256"/>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505,771</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419,569</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86,202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20.5%</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-830580</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-830580</wp:posOffset>
            </wp:positionV>
            <wp:extent cx="137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$36.7 million or 12.8% to $324.3 million for the nine months ended September 30, 2018 from $287.6 million for the nine months ended September 30, 2017 primarily due to increased transactional volumes from our Institutional client sector for U.S. credit products, U.S. ETF and U.S. Treasury, due to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70" w:lineRule="exact"/>
        <w:rPr>
          <w:sz w:val="20"/>
          <w:szCs w:val="20"/>
          <w:color w:val="auto"/>
        </w:rPr>
      </w:pPr>
    </w:p>
    <w:p>
      <w:pPr>
        <w:ind w:left="1260" w:right="879" w:firstLine="360"/>
        <w:spacing w:after="0" w:line="296"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$49.5 million or 37.5% to $181.5 million for the nine months ended September 30, 2018 from $131.9 million for the nine months ended September 30,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$9.6 million.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Our expenses for the nine months ended September 30, 2018 and 2017,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36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7"/>
              </w:rPr>
              <w:t>% Change</w:t>
            </w:r>
          </w:p>
        </w:tc>
      </w:tr>
      <w:tr>
        <w:trPr>
          <w:trHeight w:val="25"/>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7"/>
        </w:trPr>
        <w:tc>
          <w:tcPr>
            <w:tcW w:w="49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$209,053</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$185,727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$23,326</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2"/>
                <w:szCs w:val="22"/>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48,808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52,645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(3,837)</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25,416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2"/>
                <w:szCs w:val="22"/>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26,598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22,390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4,208</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22"/>
                <w:szCs w:val="22"/>
                <w:color w:val="auto"/>
              </w:rPr>
            </w:pP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13,262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22"/>
                <w:szCs w:val="22"/>
                <w:color w:val="auto"/>
              </w:rPr>
            </w:pPr>
          </w:p>
        </w:tc>
      </w:tr>
      <w:tr>
        <w:trPr>
          <w:trHeight w:val="263"/>
        </w:trPr>
        <w:tc>
          <w:tcPr>
            <w:tcW w:w="4900" w:type="dxa"/>
            <w:vAlign w:val="bottom"/>
          </w:tcPr>
          <w:p>
            <w:pPr>
              <w:spacing w:after="0"/>
              <w:rPr>
                <w:sz w:val="20"/>
                <w:szCs w:val="20"/>
                <w:color w:val="auto"/>
              </w:rPr>
            </w:pPr>
            <w:r>
              <w:rPr>
                <w:rFonts w:ascii="Arial" w:cs="Arial" w:eastAsia="Arial" w:hAnsi="Arial"/>
                <w:sz w:val="18"/>
                <w:szCs w:val="18"/>
                <w:color w:val="auto"/>
              </w:rPr>
              <w:t>Occupancy</w:t>
            </w:r>
          </w:p>
        </w:tc>
        <w:tc>
          <w:tcPr>
            <w:tcW w:w="740" w:type="dxa"/>
            <w:vAlign w:val="bottom"/>
          </w:tcPr>
          <w:p>
            <w:pPr>
              <w:jc w:val="right"/>
              <w:spacing w:after="0"/>
              <w:rPr>
                <w:sz w:val="20"/>
                <w:szCs w:val="20"/>
                <w:color w:val="auto"/>
              </w:rPr>
            </w:pPr>
            <w:r>
              <w:rPr>
                <w:rFonts w:ascii="Arial" w:cs="Arial" w:eastAsia="Arial" w:hAnsi="Arial"/>
                <w:sz w:val="18"/>
                <w:szCs w:val="18"/>
                <w:color w:val="auto"/>
              </w:rPr>
              <w:t>10,732</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11,322</w:t>
            </w:r>
          </w:p>
        </w:tc>
        <w:tc>
          <w:tcPr>
            <w:tcW w:w="2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49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338,607</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310,762</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27,845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2"/>
                <w:szCs w:val="22"/>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-196215</wp:posOffset>
            </wp:positionV>
            <wp:extent cx="111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-196215</wp:posOffset>
            </wp:positionV>
            <wp:extent cx="2400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2773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-1662430</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-1662430</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jc w:val="both"/>
        <w:ind w:left="1260" w:right="859" w:firstLine="360"/>
        <w:spacing w:after="0" w:line="311"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increased by $23.3 million or 12.6% to $209.0 million for the nine months ended September 30, 2018 from $185.7 million for the nine months ended September 30, 2017. The increase was due to a $9.9 million increase in salaries</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96" w:lineRule="auto"/>
        <w:rPr>
          <w:sz w:val="20"/>
          <w:szCs w:val="20"/>
          <w:color w:val="auto"/>
        </w:rPr>
      </w:pPr>
      <w:r>
        <w:rPr>
          <w:rFonts w:ascii="Arial" w:cs="Arial" w:eastAsia="Arial" w:hAnsi="Arial"/>
          <w:sz w:val="16"/>
          <w:szCs w:val="16"/>
          <w:color w:val="auto"/>
        </w:rPr>
        <w:t>and benefits, due to an increase in employee headcount, and an increase in annual incentive compensation of $15.1 million, which is based on operating performance, primarily due to our financial results. The increases were partially offset by a $1.6 million decrease in equity compensation as a result of adjustments to our equity compensation program during the nine months ended September 30, 2017. Total employee headcount increased to 896 as of September 30, 2018 from 852 as of September 30, 2017.</w:t>
      </w:r>
    </w:p>
    <w:p>
      <w:pPr>
        <w:spacing w:after="0" w:line="53" w:lineRule="exact"/>
        <w:rPr>
          <w:sz w:val="20"/>
          <w:szCs w:val="20"/>
          <w:color w:val="auto"/>
        </w:rPr>
      </w:pPr>
    </w:p>
    <w:p>
      <w:pPr>
        <w:ind w:left="1260" w:right="899" w:firstLine="360"/>
        <w:spacing w:after="0" w:line="311"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decreased by $3.8 million or (7.3)% to $48.8 million for the nine months ended September 30, 2018 from $52.6 million for the nine months ended September 30, 2017. The decrease was a result of certain intangible assets becoming fully amortized.</w:t>
      </w:r>
    </w:p>
    <w:p>
      <w:pPr>
        <w:spacing w:after="0" w:line="41"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by $2.4 million or (9.2)% to $23.1 million for the nine months ended September 30, 2018 from $25.4 million for the nine months ended September 30, 2017. The decrease was primarily a result of $3.3 million of gains on foreign exchange transactions partially offset by a $0.6 million increase in marketing expense due to increased marketing efforts for key growth, client acquisition and regulatory initiatives.</w:t>
      </w:r>
    </w:p>
    <w:p>
      <w:pPr>
        <w:spacing w:after="0" w:line="8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$4.2 million or 18.8% to $26.6 million for the nine months ended September 30, 2018 from $22.4 million for the nine months ended September 30, 2017 primarily due to an increase in third-party software and technology maintenance and support as a result of certain cybersecurity and infrastructure initiatives and increased clearance fees as a result of higher trading volumes.</w:t>
      </w:r>
    </w:p>
    <w:p>
      <w:pPr>
        <w:spacing w:after="0" w:line="80"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$7.1 million or 53.5% to $20.4 million for the nine months ended September 30, 2018 from $13.3 million for the nine months ended September 30, 2017. The increase was due to higher investment banking advisory, legal and audit fees, including fees incurred in preparation for this offering.</w:t>
      </w:r>
    </w:p>
    <w:p>
      <w:pPr>
        <w:spacing w:after="0" w:line="7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$0.6 million or (5.2)% to $10.7 million for the nine months ended September 30, 2018 from $11.3 million for the nine months ended September 30, 2017 due to the expiration of certain operating leases.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Net interest income (expense) increased by $1.3 million to interest income of $1.7 million for the nine months ended September 30, 2018 from interest income of $0.4 million for the nine months ended September 30, 2017 due to an increase in interest rates during the nine months ended September 30, 2018 and the conversion of our former convertible notes into equity in May 2017.</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Provision for income taxes increased by $8.7 million to $11.9 million for the nine months ended September 30, 2018 from $3.2 million for the nine months ended September 30, 2017. The increase was primarily due to increased earnings which resulted in higher tax expense in certain jurisdictions and a $3.3 million adjustment related to an uncertain tax position during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a summary of our statements of income for the years ended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70"/>
        </w:trPr>
        <w:tc>
          <w:tcPr>
            <w:tcW w:w="484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562,968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$518,404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44,564</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8.6%</w:t>
            </w:r>
          </w:p>
        </w:tc>
      </w:tr>
      <w:tr>
        <w:trPr>
          <w:trHeight w:val="26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(58,520)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(26,224)</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(32,296)</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504,448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492,180</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12,268</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2.5%</w:t>
            </w:r>
          </w:p>
        </w:tc>
      </w:tr>
      <w:tr>
        <w:trPr>
          <w:trHeight w:val="263"/>
        </w:trPr>
        <w:tc>
          <w:tcPr>
            <w:tcW w:w="48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415,356</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399,049</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16,307</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89,092</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93,131</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(4,039)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4840" w:type="dxa"/>
            <w:vAlign w:val="bottom"/>
            <w:gridSpan w:val="2"/>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(198.6)%</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89,777</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92,436</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(6,129)</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6,854</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(945.4)%</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83,648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$ 93,161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(9,513)</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-1567815</wp:posOffset>
            </wp:positionV>
            <wp:extent cx="521208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-539115</wp:posOffset>
            </wp:positionV>
            <wp:extent cx="521208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52120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-1224915</wp:posOffset>
            </wp:positionV>
            <wp:extent cx="521208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-1696720</wp:posOffset>
            </wp:positionV>
            <wp:extent cx="137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-1696720</wp:posOffset>
            </wp:positionV>
            <wp:extent cx="137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Gross revenue increased by $44.6 million or 8.6% to $563.0 million for the year ended December 31, 2017 from $518.4 million for the year ended December 31, 2016. This increase in gross revenue was mainly due to higher trading volumes resulting in a $36.8 million increase in transaction fees and a $5.1 million increase in commissions. Net revenue increased by $12.3 million or 2.5% to $504.4 million for the year ended December 31, 2017 from $492.2 million for the year ended December 31, 2016. The $44.6 million increase in gross revenue was offset by a $32.3 million increase in non-cash contingent consideration as a result of higher projected revenues related to the Credit Initiative Earnout.</w:t>
      </w:r>
    </w:p>
    <w:p>
      <w:pPr>
        <w:spacing w:after="0" w:line="69" w:lineRule="exact"/>
        <w:rPr>
          <w:sz w:val="20"/>
          <w:szCs w:val="20"/>
          <w:color w:val="auto"/>
        </w:rPr>
      </w:pPr>
    </w:p>
    <w:p>
      <w:pPr>
        <w:jc w:val="both"/>
        <w:ind w:left="1260" w:right="779" w:firstLine="360"/>
        <w:spacing w:after="0" w:line="279" w:lineRule="auto"/>
        <w:rPr>
          <w:sz w:val="20"/>
          <w:szCs w:val="20"/>
          <w:color w:val="auto"/>
        </w:rPr>
      </w:pPr>
      <w:r>
        <w:rPr>
          <w:rFonts w:ascii="Arial" w:cs="Arial" w:eastAsia="Arial" w:hAnsi="Arial"/>
          <w:sz w:val="17"/>
          <w:szCs w:val="17"/>
          <w:color w:val="auto"/>
        </w:rPr>
        <w:t>Total expenses increased by $16.3 million or 4.1% to $415.4 million for the year ended December 31, 2017 from $399.0 million for the year ended December 31, 2016. This increase was primarily due to higher employee compensation and benefits expense of $20.4 million and higher general and administrative expense of $6.6 million offset by lower depreciation and amortization expense of $12.2 million.</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Income before taxes decreased by $2.7 million or (2.9)% to $89.8 million for the year ended December 31,</w:t>
      </w:r>
    </w:p>
    <w:p>
      <w:pPr>
        <w:spacing w:after="0" w:line="46" w:lineRule="exact"/>
        <w:rPr>
          <w:sz w:val="20"/>
          <w:szCs w:val="20"/>
          <w:color w:val="auto"/>
        </w:rPr>
      </w:pPr>
    </w:p>
    <w:p>
      <w:pPr>
        <w:ind w:left="1260" w:right="1279"/>
        <w:spacing w:after="0" w:line="302" w:lineRule="auto"/>
        <w:rPr>
          <w:sz w:val="20"/>
          <w:szCs w:val="20"/>
          <w:color w:val="auto"/>
        </w:rPr>
      </w:pPr>
      <w:r>
        <w:rPr>
          <w:rFonts w:ascii="Arial" w:cs="Arial" w:eastAsia="Arial" w:hAnsi="Arial"/>
          <w:sz w:val="16"/>
          <w:szCs w:val="16"/>
          <w:color w:val="auto"/>
        </w:rPr>
        <w:t>2017 from $92.4 million for the year ended December 31, 2016. Net income decreased by $9.5 million or (10.2)% to $83.6 million for the year ended December 31, 2017 from $93.2 million for the year ended December 31, 2016. These decreases were due to the increase in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Our revenues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Year Ended December 31,</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7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 of Gross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 Gross</w:t>
            </w: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Revenue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$267,020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$230,171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$ 36,849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194,534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191,983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96,745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91,663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4,669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4,587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562,968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518,404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(58,520)</w:t>
            </w: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(32,296)</w:t>
            </w: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$504,448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$492,180</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$ 12,268</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line="192" w:lineRule="exact"/>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1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18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6"/>
                <w:szCs w:val="26"/>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-1713865</wp:posOffset>
            </wp:positionV>
            <wp:extent cx="521208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-1379220</wp:posOffset>
            </wp:positionV>
            <wp:extent cx="521208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-650875</wp:posOffset>
            </wp:positionV>
            <wp:extent cx="5212080" cy="3086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-170815</wp:posOffset>
            </wp:positionV>
            <wp:extent cx="5212080"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-2193925</wp:posOffset>
            </wp:positionV>
            <wp:extent cx="137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-2193925</wp:posOffset>
            </wp:positionV>
            <wp:extent cx="137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-2193925</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-2193925</wp:posOffset>
            </wp:positionV>
            <wp:extent cx="1200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-2193925</wp:posOffset>
            </wp:positionV>
            <wp:extent cx="120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171450</wp:posOffset>
            </wp:positionV>
            <wp:extent cx="12344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1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29" w:lineRule="exact"/>
        <w:rPr>
          <w:rFonts w:ascii="Arial" w:cs="Arial" w:eastAsia="Arial" w:hAnsi="Arial"/>
          <w:sz w:val="18"/>
          <w:szCs w:val="18"/>
          <w:color w:val="auto"/>
        </w:rPr>
      </w:pPr>
    </w:p>
    <w:p>
      <w:pPr>
        <w:ind w:left="1620" w:right="859" w:hanging="352"/>
        <w:spacing w:after="0" w:line="311" w:lineRule="auto"/>
        <w:tabs>
          <w:tab w:leader="none" w:pos="1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41"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Our revenues by fee type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Fixed</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Fixed</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Variable</w:t>
            </w: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Fixed</w:t>
            </w:r>
          </w:p>
        </w:tc>
      </w:tr>
      <w:tr>
        <w:trPr>
          <w:trHeight w:val="175"/>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1980" w:type="dxa"/>
            <w:vAlign w:val="bottom"/>
            <w:gridSpan w:val="2"/>
          </w:tcPr>
          <w:p>
            <w:pPr>
              <w:spacing w:after="0" w:line="192" w:lineRule="exact"/>
              <w:rPr>
                <w:sz w:val="20"/>
                <w:szCs w:val="20"/>
                <w:color w:val="auto"/>
              </w:rPr>
            </w:pPr>
            <w:r>
              <w:rPr>
                <w:rFonts w:ascii="Arial" w:cs="Arial" w:eastAsia="Arial" w:hAnsi="Arial"/>
                <w:sz w:val="18"/>
                <w:szCs w:val="18"/>
                <w:color w:val="auto"/>
              </w:rPr>
              <w:t>Transaction fees</w:t>
            </w:r>
          </w:p>
        </w:tc>
        <w:tc>
          <w:tcPr>
            <w:tcW w:w="90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w w:val="90"/>
              </w:rPr>
              <w:t>$210,198</w:t>
            </w:r>
          </w:p>
        </w:tc>
        <w:tc>
          <w:tcPr>
            <w:tcW w:w="10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line="192" w:lineRule="exact"/>
              <w:rPr>
                <w:sz w:val="20"/>
                <w:szCs w:val="20"/>
                <w:color w:val="auto"/>
              </w:rPr>
            </w:pPr>
            <w:r>
              <w:rPr>
                <w:rFonts w:ascii="Arial" w:cs="Arial" w:eastAsia="Arial" w:hAnsi="Arial"/>
                <w:sz w:val="18"/>
                <w:szCs w:val="18"/>
                <w:color w:val="auto"/>
              </w:rPr>
              <w:t>56,822</w:t>
            </w:r>
          </w:p>
        </w:tc>
        <w:tc>
          <w:tcPr>
            <w:tcW w:w="80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w w:val="90"/>
              </w:rPr>
              <w:t>$176,060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line="192" w:lineRule="exact"/>
              <w:rPr>
                <w:sz w:val="20"/>
                <w:szCs w:val="20"/>
                <w:color w:val="auto"/>
              </w:rPr>
            </w:pPr>
            <w:r>
              <w:rPr>
                <w:rFonts w:ascii="Arial" w:cs="Arial" w:eastAsia="Arial" w:hAnsi="Arial"/>
                <w:sz w:val="18"/>
                <w:szCs w:val="18"/>
                <w:color w:val="auto"/>
              </w:rPr>
              <w:t>54,111</w:t>
            </w:r>
          </w:p>
        </w:tc>
        <w:tc>
          <w:tcPr>
            <w:tcW w:w="820" w:type="dxa"/>
            <w:vAlign w:val="bottom"/>
            <w:gridSpan w:val="2"/>
          </w:tcPr>
          <w:p>
            <w:pPr>
              <w:jc w:val="right"/>
              <w:ind w:right="220"/>
              <w:spacing w:after="0" w:line="192" w:lineRule="exact"/>
              <w:rPr>
                <w:sz w:val="20"/>
                <w:szCs w:val="20"/>
                <w:color w:val="auto"/>
              </w:rPr>
            </w:pPr>
            <w:r>
              <w:rPr>
                <w:rFonts w:ascii="Arial" w:cs="Arial" w:eastAsia="Arial" w:hAnsi="Arial"/>
                <w:sz w:val="18"/>
                <w:szCs w:val="18"/>
                <w:color w:val="auto"/>
                <w:w w:val="89"/>
              </w:rPr>
              <w:t>$34,139</w:t>
            </w:r>
          </w:p>
        </w:tc>
        <w:tc>
          <w:tcPr>
            <w:tcW w:w="720" w:type="dxa"/>
            <w:vAlign w:val="bottom"/>
            <w:gridSpan w:val="2"/>
          </w:tcPr>
          <w:p>
            <w:pPr>
              <w:jc w:val="right"/>
              <w:ind w:right="220"/>
              <w:spacing w:after="0" w:line="192" w:lineRule="exact"/>
              <w:rPr>
                <w:sz w:val="20"/>
                <w:szCs w:val="20"/>
                <w:color w:val="auto"/>
              </w:rPr>
            </w:pPr>
            <w:r>
              <w:rPr>
                <w:rFonts w:ascii="Arial" w:cs="Arial" w:eastAsia="Arial" w:hAnsi="Arial"/>
                <w:sz w:val="18"/>
                <w:szCs w:val="18"/>
                <w:color w:val="auto"/>
                <w:w w:val="87"/>
              </w:rPr>
              <w:t>$2,710</w:t>
            </w:r>
          </w:p>
        </w:tc>
        <w:tc>
          <w:tcPr>
            <w:tcW w:w="660" w:type="dxa"/>
            <w:vAlign w:val="bottom"/>
            <w:gridSpan w:val="3"/>
          </w:tcPr>
          <w:p>
            <w:pPr>
              <w:jc w:val="right"/>
              <w:ind w:right="80"/>
              <w:spacing w:after="0" w:line="192" w:lineRule="exact"/>
              <w:rPr>
                <w:sz w:val="20"/>
                <w:szCs w:val="20"/>
                <w:color w:val="auto"/>
              </w:rPr>
            </w:pPr>
            <w:r>
              <w:rPr>
                <w:rFonts w:ascii="Arial" w:cs="Arial" w:eastAsia="Arial" w:hAnsi="Arial"/>
                <w:sz w:val="18"/>
                <w:szCs w:val="18"/>
                <w:color w:val="auto"/>
              </w:rPr>
              <w:t>19.4%</w:t>
            </w:r>
          </w:p>
        </w:tc>
        <w:tc>
          <w:tcPr>
            <w:tcW w:w="520" w:type="dxa"/>
            <w:vAlign w:val="bottom"/>
            <w:gridSpan w:val="4"/>
          </w:tcPr>
          <w:p>
            <w:pPr>
              <w:jc w:val="right"/>
              <w:spacing w:after="0" w:line="192" w:lineRule="exact"/>
              <w:rPr>
                <w:sz w:val="20"/>
                <w:szCs w:val="20"/>
                <w:color w:val="auto"/>
              </w:rPr>
            </w:pPr>
            <w:r>
              <w:rPr>
                <w:rFonts w:ascii="Arial" w:cs="Arial" w:eastAsia="Arial" w:hAnsi="Arial"/>
                <w:sz w:val="18"/>
                <w:szCs w:val="18"/>
                <w:color w:val="auto"/>
              </w:rPr>
              <w:t>5.0%</w:t>
            </w:r>
          </w:p>
        </w:tc>
      </w:tr>
      <w:tr>
        <w:trPr>
          <w:trHeight w:val="254"/>
        </w:trPr>
        <w:tc>
          <w:tcPr>
            <w:tcW w:w="1980" w:type="dxa"/>
            <w:vAlign w:val="bottom"/>
            <w:gridSpan w:val="2"/>
          </w:tcPr>
          <w:p>
            <w:pPr>
              <w:spacing w:after="0" w:line="253"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192,959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190,487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2,472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5.3%</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57,118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39,627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37,469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4,633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r>
              <w:rPr>
                <w:rFonts w:ascii="Arial" w:cs="Arial" w:eastAsia="Arial" w:hAnsi="Arial"/>
                <w:sz w:val="18"/>
                <w:szCs w:val="18"/>
                <w:color w:val="auto"/>
              </w:rPr>
              <w:t>%   1.</w:t>
            </w:r>
            <w:r>
              <w:rPr>
                <w:rFonts w:ascii="Arial" w:cs="Arial" w:eastAsia="Arial" w:hAnsi="Arial"/>
                <w:sz w:val="18"/>
                <w:szCs w:val="18"/>
                <w:u w:val="single" w:color="auto"/>
                <w:color w:val="auto"/>
              </w:rPr>
              <w:t>7</w:t>
            </w:r>
            <w:r>
              <w:rPr>
                <w:rFonts w:ascii="Arial" w:cs="Arial" w:eastAsia="Arial" w:hAnsi="Arial"/>
                <w:sz w:val="18"/>
                <w:szCs w:val="18"/>
                <w:color w:val="auto"/>
              </w:rPr>
              <w:t>%</w:t>
            </w:r>
          </w:p>
        </w:tc>
      </w:tr>
      <w:tr>
        <w:trPr>
          <w:trHeight w:val="20"/>
        </w:trPr>
        <w:tc>
          <w:tcPr>
            <w:tcW w:w="1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294,040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231,779</w:t>
            </w: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286,625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37,149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7,416</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r>
              <w:rPr>
                <w:rFonts w:ascii="Arial" w:cs="Arial" w:eastAsia="Arial" w:hAnsi="Arial"/>
                <w:sz w:val="18"/>
                <w:szCs w:val="18"/>
                <w:color w:val="auto"/>
              </w:rPr>
              <w:t>%</w:t>
            </w:r>
          </w:p>
        </w:tc>
      </w:tr>
      <w:tr>
        <w:trPr>
          <w:trHeight w:val="20"/>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-805180</wp:posOffset>
            </wp:positionV>
            <wp:extent cx="5212080" cy="145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-521970</wp:posOffset>
            </wp:positionV>
            <wp:extent cx="521208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-1199515</wp:posOffset>
            </wp:positionV>
            <wp:extent cx="137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-1199515</wp:posOffset>
            </wp:positionV>
            <wp:extent cx="137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-1199515</wp:posOffset>
            </wp:positionV>
            <wp:extent cx="1371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-1199515</wp:posOffset>
            </wp:positionV>
            <wp:extent cx="1371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-1199515</wp:posOffset>
            </wp:positionV>
            <wp:extent cx="1200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-1199515</wp:posOffset>
            </wp:positionV>
            <wp:extent cx="1200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-1199515</wp:posOffset>
            </wp:positionV>
            <wp:extent cx="12001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2" w:lineRule="exact"/>
        <w:rPr>
          <w:sz w:val="20"/>
          <w:szCs w:val="20"/>
          <w:color w:val="auto"/>
        </w:rPr>
      </w:pPr>
    </w:p>
    <w:p>
      <w:pPr>
        <w:ind w:left="1620" w:right="719" w:hanging="352"/>
        <w:spacing w:after="0" w:line="277"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2"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$36.8 million or 16.0% to $267.0 million for the year ended December 31, 2017 from $230.2 million for the year ended December 31, 2016. Approximately $31.9 million of the increase was derived primarily from increased Institutional transactional volumes for European credit products, derivative products (led by Dollar swaps, European interest rate swaps and Japanese Yen swaps), European governments, U.S. and European ETF and U.S. Treasury, as well as</w:t>
      </w: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19"/>
        <w:spacing w:after="0" w:line="263" w:lineRule="auto"/>
        <w:rPr>
          <w:sz w:val="20"/>
          <w:szCs w:val="20"/>
          <w:color w:val="auto"/>
        </w:rPr>
      </w:pPr>
      <w:r>
        <w:rPr>
          <w:rFonts w:ascii="Arial" w:cs="Arial" w:eastAsia="Arial" w:hAnsi="Arial"/>
          <w:sz w:val="18"/>
          <w:szCs w:val="18"/>
          <w:color w:val="auto"/>
        </w:rPr>
        <w:t>adjustments to contracts in anticipation of MiFID II and the product launch of China bonds. The launch of a new U.S. credit product led to an increase in the number of clients and volumes for U.S. credit products over the prior year, which also contributed to the $31.9 million increase.</w:t>
      </w:r>
    </w:p>
    <w:p>
      <w:pPr>
        <w:spacing w:after="0" w:line="76"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increased by $2.6 million or 1.3% to $194.5 million for the year ended December 31, 2017 from $192.0 million for the year ended December 31, 2016 due primarily to an increase in Institutional dealer subscription fees on contract renewals for European products as certain clients extended the terms of their existing contracts in preparation for the implementation of MiFID II.</w:t>
      </w:r>
    </w:p>
    <w:p>
      <w:pPr>
        <w:spacing w:after="0" w:line="6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$5.1 million or 5.5% to $96.7 million for the year ended December 31, 2017 from $91.7 million for the year ended December 31, 2016 due primarily to $8.0 million from increased trading volumes for repurchase agreements and U.S. Treasury and increased Retail trading volume. The increase was partially offset by $2.9 million of lower revenues, in part due to fewer dealers participating in, and fee changes in, the TBA-MBS market.</w:t>
      </w:r>
    </w:p>
    <w:p>
      <w:pPr>
        <w:spacing w:after="0" w:line="8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1.8% to $4.7 million for the year ended December 31, 2017 from $4.6 million for the year ended December 31, 2016. Other revenues primarily consisted of fees from a third party for certain licensing and development in Canada.</w:t>
      </w:r>
    </w:p>
    <w:p>
      <w:pPr>
        <w:spacing w:after="0" w:line="76"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increased by $32.3 million or 123.2% to $58.5 million for the year ended December 31, 2017 from $26.2 million for the year ended December 31, 2016. The increase was a result of higher projected revenues related to the Credit Initiative Earnout during the year ended December 31, 2017 compared to the year ended December 31, 2016.</w:t>
      </w:r>
    </w:p>
    <w:p>
      <w:pPr>
        <w:spacing w:after="0" w:line="7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Our gross revenue by client sector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175"/>
        </w:trPr>
        <w:tc>
          <w:tcPr>
            <w:tcW w:w="49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Institutional</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$318,038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$285,801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$32,237</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118,451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109,945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8,506</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Retail</w:t>
            </w:r>
          </w:p>
        </w:tc>
        <w:tc>
          <w:tcPr>
            <w:tcW w:w="740" w:type="dxa"/>
            <w:vAlign w:val="bottom"/>
          </w:tcPr>
          <w:p>
            <w:pPr>
              <w:jc w:val="right"/>
              <w:spacing w:after="0"/>
              <w:rPr>
                <w:sz w:val="20"/>
                <w:szCs w:val="20"/>
                <w:color w:val="auto"/>
              </w:rPr>
            </w:pPr>
            <w:r>
              <w:rPr>
                <w:rFonts w:ascii="Arial" w:cs="Arial" w:eastAsia="Arial" w:hAnsi="Arial"/>
                <w:sz w:val="18"/>
                <w:szCs w:val="18"/>
                <w:color w:val="auto"/>
              </w:rPr>
              <w:t>70,857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67,471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3,386</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-1010920</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-1010920</wp:posOffset>
            </wp:positionV>
            <wp:extent cx="137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$32.2 million or 11.3%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$318.0 million for the year ended December 31, 2017 from $285.8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primarily due to increased transactional volumes for U.S. and European credit products, derivative products (led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Dollar swaps, European interest rate swaps and Japanese Yen swaps), European governments, U.S.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European ETF and U.S. Treasury, as well as the product launch of China bonds and due to an increase in dealer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on contract renewals for European products as a result of MiFID II.</w:t>
      </w:r>
    </w:p>
    <w:p>
      <w:pPr>
        <w:spacing w:after="0" w:line="10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$8.5 million or 7.7% to $118.5 million for the year ended December 31, 2017 from $109.9 million for the year ended December 31, 2016 primarily due to higher trading volumes in European credit products, repurchase agreements and U.S. Treasury. The revenue increase was partially offset by lower TBA-MBS fees due to fewer dealers participating in this market and fee changes.</w:t>
      </w:r>
    </w:p>
    <w:p>
      <w:pPr>
        <w:spacing w:after="0" w:line="8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$3.4 million or 5.0% to $70.9 million for the year ended December 31, 2017 from $67.5 million for the year ended December 31, 2016 primarily due to strong Alternative Trading System (“ATS”) and middle markets trading volumes.</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$0.4 million or 0.8% to</w:t>
      </w:r>
    </w:p>
    <w:p>
      <w:pPr>
        <w:spacing w:after="0" w:line="23" w:lineRule="exact"/>
        <w:rPr>
          <w:sz w:val="20"/>
          <w:szCs w:val="20"/>
          <w:color w:val="auto"/>
        </w:rPr>
      </w:pPr>
    </w:p>
    <w:p>
      <w:pPr>
        <w:ind w:left="1260" w:right="879"/>
        <w:spacing w:after="0" w:line="323" w:lineRule="auto"/>
        <w:rPr>
          <w:sz w:val="20"/>
          <w:szCs w:val="20"/>
          <w:color w:val="auto"/>
        </w:rPr>
      </w:pPr>
      <w:r>
        <w:rPr>
          <w:rFonts w:ascii="Arial" w:cs="Arial" w:eastAsia="Arial" w:hAnsi="Arial"/>
          <w:sz w:val="16"/>
          <w:szCs w:val="16"/>
          <w:color w:val="auto"/>
        </w:rPr>
        <w:t>$55.6 million for the year ended December 31, 2017 from $55.2 million for the year ended December 31, 2016 due to increased market data subscriptions, and as a result subscription fees increased, offset by lower</w:t>
      </w:r>
    </w:p>
    <w:p>
      <w:pPr>
        <w:spacing w:after="0" w:line="1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spacing w:after="0" w:line="277" w:lineRule="auto"/>
        <w:rPr>
          <w:sz w:val="20"/>
          <w:szCs w:val="20"/>
          <w:color w:val="auto"/>
        </w:rPr>
      </w:pPr>
      <w:r>
        <w:rPr>
          <w:rFonts w:ascii="Arial" w:cs="Arial" w:eastAsia="Arial" w:hAnsi="Arial"/>
          <w:sz w:val="18"/>
          <w:szCs w:val="18"/>
          <w:color w:val="auto"/>
        </w:rPr>
        <w:t>Thomson Reuters royalty fees due to fewer customer conversions and the expiration of the royalty fee earning period for certain Eikon referrals from prior years.</w:t>
      </w:r>
    </w:p>
    <w:p>
      <w:pPr>
        <w:spacing w:after="0" w:line="62"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Our gross revenue by asset class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175"/>
        </w:trPr>
        <w:tc>
          <w:tcPr>
            <w:tcW w:w="49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Rates</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$324,302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$308,081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$16,221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88,630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16,705</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Equities</w:t>
            </w:r>
          </w:p>
        </w:tc>
        <w:tc>
          <w:tcPr>
            <w:tcW w:w="740" w:type="dxa"/>
            <w:vAlign w:val="bottom"/>
          </w:tcPr>
          <w:p>
            <w:pPr>
              <w:jc w:val="right"/>
              <w:spacing w:after="0"/>
              <w:rPr>
                <w:sz w:val="20"/>
                <w:szCs w:val="20"/>
                <w:color w:val="auto"/>
              </w:rPr>
            </w:pPr>
            <w:r>
              <w:rPr>
                <w:rFonts w:ascii="Arial" w:cs="Arial" w:eastAsia="Arial" w:hAnsi="Arial"/>
                <w:sz w:val="18"/>
                <w:szCs w:val="18"/>
                <w:color w:val="auto"/>
              </w:rPr>
              <w:t>23,681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18,626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5,055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27.1%</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28,633</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24,532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4,102</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Market Data</w:t>
            </w:r>
          </w:p>
        </w:tc>
        <w:tc>
          <w:tcPr>
            <w:tcW w:w="740" w:type="dxa"/>
            <w:vAlign w:val="bottom"/>
          </w:tcPr>
          <w:p>
            <w:pPr>
              <w:jc w:val="right"/>
              <w:spacing w:after="0"/>
              <w:rPr>
                <w:sz w:val="20"/>
                <w:szCs w:val="20"/>
                <w:color w:val="auto"/>
              </w:rPr>
            </w:pPr>
            <w:r>
              <w:rPr>
                <w:rFonts w:ascii="Arial" w:cs="Arial" w:eastAsia="Arial" w:hAnsi="Arial"/>
                <w:sz w:val="18"/>
                <w:szCs w:val="18"/>
                <w:color w:val="auto"/>
              </w:rPr>
              <w:t>55,622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55,187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6"/>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-1396365</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-1396365</wp:posOffset>
            </wp:positionV>
            <wp:extent cx="137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3"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$16.2 million or 5.3% to $324.3 million for the year ended December 31, 2017 from $308.1 million for the year ended December 31, 2016 primarily due to increased Institutional and Wholesale transactional volumes for derivative products (led by Dollar swaps, European interest rate swaps and Japanese Yen swaps), European governments and U.S. Treasury. The revenue increase was partially offset by lower Wholesale TBA-MBS fees due to fewer dealers participating in this market and fee changes.</w:t>
      </w:r>
    </w:p>
    <w:p>
      <w:pPr>
        <w:spacing w:after="0" w:line="8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$16.7 million or 18.8% to $105.3 million for the year ended December 31, 2017 from $88.6 million for the year ended December 31, 2016 primarily due to increased Institutional and Wholesale transactional volumes for U.S. and European credit products and the product launch of China bonds.</w:t>
      </w:r>
    </w:p>
    <w:p>
      <w:pPr>
        <w:spacing w:after="0" w:line="79"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$5.1 million or 27.1% to $23.7 million for the year ended December 31, 2017 from $18.6 million for the year ended December 31, 2016 primarily due to increased Institutional transactional volumes for U.S. and European ETF.</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$4.1 million or 16.7%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$28.6 million for the year ended December 31, 2017 from $24.5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primarily due to increased Wholesale transactional volumes for repurchase agreements, increased Retail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transactional volumes for certificates of deposit and structured products and higher Institutional transactional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volumes for European repurchase agreements.</w:t>
      </w:r>
    </w:p>
    <w:p>
      <w:pPr>
        <w:spacing w:after="0" w:line="103"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$0.4 million or 0.8% to $55.6 million for the year ended December 31, 2017 from $55.2 million for the year ended December 31, 2016 primarily as a result of an $0.8 million increase in European governments historical data feed subscriptions, partially offset by a $0.4 million decrease in royalty fees due to fewer customer conversions and the expiration of the royalty fee earning period for certain Eikon referrals from prior years.</w:t>
      </w:r>
    </w:p>
    <w:p>
      <w:pPr>
        <w:spacing w:after="0" w:line="6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$2.0 million or 8.8% to $25.4 million for the year ended December 31, 2017 from $23.3 million for the year ended December 31, 2016 primarily due to increased Retail fixed transaction fees and increased fees from a third party for certain licensing and development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2017 and 2016 were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w w:val="96"/>
              </w:rPr>
              <w:t>Year Ended December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7"/>
                <w:szCs w:val="17"/>
                <w:color w:val="auto"/>
              </w:rPr>
            </w:pPr>
          </w:p>
        </w:tc>
        <w:tc>
          <w:tcPr>
            <w:tcW w:w="1440" w:type="dxa"/>
            <w:vAlign w:val="bottom"/>
            <w:gridSpan w:val="3"/>
          </w:tcPr>
          <w:p>
            <w:pPr>
              <w:jc w:val="right"/>
              <w:ind w:right="507"/>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7"/>
                <w:szCs w:val="17"/>
                <w:color w:val="auto"/>
              </w:rPr>
            </w:pPr>
          </w:p>
        </w:tc>
        <w:tc>
          <w:tcPr>
            <w:tcW w:w="1440" w:type="dxa"/>
            <w:vAlign w:val="bottom"/>
            <w:gridSpan w:val="3"/>
          </w:tcPr>
          <w:p>
            <w:pPr>
              <w:jc w:val="right"/>
              <w:ind w:right="505"/>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ADV</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Volume</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$255,152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$63,932,620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$220,535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$55,255,429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5"/>
                <w:szCs w:val="15"/>
                <w:color w:val="auto"/>
              </w:rPr>
              <w:t>Credit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7,552</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1,864,069</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5,936</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1,497,300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Money Markets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132,105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33,060,673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94,340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23,597,493</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5"/>
                <w:szCs w:val="15"/>
                <w:color w:val="auto"/>
              </w:rPr>
              <w:t>Equities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4,817</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1,214,098</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4,576</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1,144,390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-756920</wp:posOffset>
            </wp:positionV>
            <wp:extent cx="342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-756920</wp:posOffset>
            </wp:positionV>
            <wp:extent cx="342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-756920</wp:posOffset>
            </wp:positionV>
            <wp:extent cx="342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-756920</wp:posOffset>
            </wp:positionV>
            <wp:extent cx="342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0"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We believe the increases in average daily volumes in the year ended December 31, 2017 can be attributed to various factors, including: further electronification of trading activities, increase in market share, new products and new clients. In addition, we believe that certain trading volumes increased in the year ended December 31, 2017 as customers began adapting to electronic trading in order to comply with their upcoming heightened obligations pursuant to MiFID II, which was implemented by regulatory bodies in Europe in January 2018.</w:t>
      </w:r>
    </w:p>
    <w:p>
      <w:pPr>
        <w:spacing w:after="0" w:line="5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years ended December 31, 2017 and 2016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60" w:type="dxa"/>
            <w:vAlign w:val="bottom"/>
            <w:gridSpan w:val="8"/>
          </w:tcPr>
          <w:p>
            <w:pPr>
              <w:jc w:val="right"/>
              <w:ind w:right="380"/>
              <w:spacing w:after="0"/>
              <w:rPr>
                <w:sz w:val="20"/>
                <w:szCs w:val="20"/>
                <w:color w:val="auto"/>
              </w:rPr>
            </w:pPr>
            <w:r>
              <w:rPr>
                <w:rFonts w:ascii="Arial" w:cs="Arial" w:eastAsia="Arial" w:hAnsi="Arial"/>
                <w:sz w:val="13"/>
                <w:szCs w:val="13"/>
                <w:b w:val="1"/>
                <w:bCs w:val="1"/>
                <w:color w:val="auto"/>
              </w:rPr>
              <w:t>Year Ended December 31,</w:t>
            </w:r>
          </w:p>
        </w:tc>
      </w:tr>
      <w:tr>
        <w:trPr>
          <w:trHeight w:val="28"/>
        </w:trPr>
        <w:tc>
          <w:tcPr>
            <w:tcW w:w="5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980" w:type="dxa"/>
            <w:vAlign w:val="bottom"/>
          </w:tcPr>
          <w:p>
            <w:pPr>
              <w:spacing w:after="0"/>
              <w:rPr>
                <w:sz w:val="17"/>
                <w:szCs w:val="17"/>
                <w:color w:val="auto"/>
              </w:rPr>
            </w:pPr>
          </w:p>
        </w:tc>
        <w:tc>
          <w:tcPr>
            <w:tcW w:w="440" w:type="dxa"/>
            <w:vAlign w:val="bottom"/>
          </w:tcPr>
          <w:p>
            <w:pPr>
              <w:jc w:val="right"/>
              <w:ind w:right="7"/>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7"/>
                <w:szCs w:val="17"/>
                <w:color w:val="auto"/>
              </w:rPr>
            </w:pPr>
          </w:p>
        </w:tc>
        <w:tc>
          <w:tcPr>
            <w:tcW w:w="440" w:type="dxa"/>
            <w:vAlign w:val="bottom"/>
          </w:tcPr>
          <w:p>
            <w:pPr>
              <w:jc w:val="right"/>
              <w:ind w:right="5"/>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7"/>
                <w:szCs w:val="17"/>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7"/>
              </w:rPr>
              <w:t>$ Change % Change</w:t>
            </w:r>
          </w:p>
        </w:tc>
      </w:tr>
      <w:tr>
        <w:trPr>
          <w:trHeight w:val="28"/>
        </w:trPr>
        <w:tc>
          <w:tcPr>
            <w:tcW w:w="5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5"/>
                <w:szCs w:val="15"/>
                <w:color w:val="auto"/>
              </w:rPr>
              <w:t>Credit</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48.74</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48.90</w:t>
            </w:r>
          </w:p>
        </w:tc>
        <w:tc>
          <w:tcPr>
            <w:tcW w:w="560" w:type="dxa"/>
            <w:vAlign w:val="bottom"/>
          </w:tcPr>
          <w:p>
            <w:pPr>
              <w:jc w:val="right"/>
              <w:spacing w:after="0"/>
              <w:rPr>
                <w:sz w:val="20"/>
                <w:szCs w:val="20"/>
                <w:color w:val="auto"/>
              </w:rPr>
            </w:pPr>
            <w:r>
              <w:rPr>
                <w:rFonts w:ascii="Arial" w:cs="Arial" w:eastAsia="Arial" w:hAnsi="Arial"/>
                <w:sz w:val="15"/>
                <w:szCs w:val="15"/>
                <w:color w:val="auto"/>
              </w:rPr>
              <w:t>(0.16)</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(0.3)%</w:t>
            </w: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Money Markets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20" w:type="dxa"/>
            <w:vAlign w:val="bottom"/>
          </w:tcPr>
          <w:p>
            <w:pPr>
              <w:spacing w:after="0"/>
              <w:rPr>
                <w:sz w:val="21"/>
                <w:szCs w:val="2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5"/>
                <w:szCs w:val="15"/>
                <w:color w:val="auto"/>
              </w:rPr>
              <w:t>Equities</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15.77</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12.83</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2.95</w:t>
            </w: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-611505</wp:posOffset>
            </wp:positionV>
            <wp:extent cx="48177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230"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Our gross revenue by geography (based on client location)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5"/>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$385,176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$365,308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$19,868</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16.1%</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6"/>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-830580</wp:posOffset>
            </wp:positionV>
            <wp:extent cx="137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-830580</wp:posOffset>
            </wp:positionV>
            <wp:extent cx="137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$19.9 million or 5.4% to $385.2 million for the year ended December 31, 2017 from $365.3 million for the year ended December 31, 2016 primarily due to increased transactional volumes from our Institutional client sector for U.S. credit products, U.S. ETF and U.S. Treasury, due to higher trading volumes from our Wholesale client sector for repurchase agreements and U.S. Treasury and strong ATS and middle markets trading volumes in our Retail client sector.</w:t>
      </w:r>
    </w:p>
    <w:p>
      <w:pPr>
        <w:spacing w:after="0" w:line="68"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Revenues from International clients increased by $24.7 million or 16.1% to $177.8 million for the year ended December 31, 2017 from $153.1 million for the year ended December 31, 2016 primarily due to increased transactional volumes from our Institutional client sector for European credit products, derivative products (led by European interest rate swaps, Dollar swaps and Japanese Yen swaps), European governments, European ETF, the product launch of China Bonds and an increase in</w:t>
      </w: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dealer subscription fees on contract renewals as certain clients extended the terms of their existing contracts in preparation for the implementation of MiFID II and due to higher trading volumes in European credit products in our Wholesale client sector. Fluctuations in foreign currency rates also increased our International gross revenue by $1.2 million.</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Our expenses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 Change</w:t>
            </w:r>
          </w:p>
        </w:tc>
        <w:tc>
          <w:tcPr>
            <w:tcW w:w="7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 Change</w:t>
            </w:r>
          </w:p>
        </w:tc>
      </w:tr>
      <w:tr>
        <w:trPr>
          <w:trHeight w:val="175"/>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Employee compensation and benefits</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$248,963</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$228,584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$ 20,379</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8.9%</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68,615</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80,859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(12,244)</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jc w:val="right"/>
              <w:spacing w:after="0"/>
              <w:rPr>
                <w:sz w:val="20"/>
                <w:szCs w:val="20"/>
                <w:color w:val="auto"/>
              </w:rPr>
            </w:pPr>
            <w:r>
              <w:rPr>
                <w:rFonts w:ascii="Arial" w:cs="Arial" w:eastAsia="Arial" w:hAnsi="Arial"/>
                <w:sz w:val="18"/>
                <w:szCs w:val="18"/>
                <w:color w:val="auto"/>
              </w:rPr>
              <w:t>33,973</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27,392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6,581</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740" w:type="dxa"/>
            <w:vAlign w:val="bottom"/>
          </w:tcPr>
          <w:p>
            <w:pPr>
              <w:jc w:val="right"/>
              <w:spacing w:after="0"/>
              <w:rPr>
                <w:sz w:val="20"/>
                <w:szCs w:val="20"/>
                <w:color w:val="auto"/>
              </w:rPr>
            </w:pPr>
            <w:r>
              <w:rPr>
                <w:rFonts w:ascii="Arial" w:cs="Arial" w:eastAsia="Arial" w:hAnsi="Arial"/>
                <w:sz w:val="18"/>
                <w:szCs w:val="18"/>
                <w:color w:val="auto"/>
              </w:rPr>
              <w:t>19,351</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18,158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1,193</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14,441</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15,817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(1,376)</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415,356</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399,049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$ 16,307</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-967740</wp:posOffset>
            </wp:positionV>
            <wp:extent cx="521208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-350520</wp:posOffset>
            </wp:positionV>
            <wp:extent cx="5212080"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-1396365</wp:posOffset>
            </wp:positionV>
            <wp:extent cx="137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-1396365</wp:posOffset>
            </wp:positionV>
            <wp:extent cx="137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$20.4 million or 8.9% to $249.0 million for the year ended December 31, 2017 from $228.6 million for the 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ended December 31, 2016. The increase was due to a $2.7 million increase in salaries and benefits, primarily due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an increase in employee headcount, an increase in annual incentive compensation of $10.6 million and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equity compensation of $7.1 million, each of which are based on operating performance, primarily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due to our financial results. Total employee headcount increased to 857 as of December 31, 2017 from 814 as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2016.</w:t>
      </w:r>
    </w:p>
    <w:p>
      <w:pPr>
        <w:spacing w:after="0" w:line="103" w:lineRule="exact"/>
        <w:rPr>
          <w:sz w:val="20"/>
          <w:szCs w:val="20"/>
          <w:color w:val="auto"/>
        </w:rPr>
      </w:pPr>
    </w:p>
    <w:p>
      <w:pPr>
        <w:ind w:left="1260" w:right="1099" w:firstLine="36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decreased by $12.2 million or 15.1% to $68.6 million for the year ended December 31, 2017 from $80.8 million for the year ended December 31, 2016. The decrease was a result of certain intangible assets becoming fully amortized.</w:t>
      </w:r>
    </w:p>
    <w:p>
      <w:pPr>
        <w:spacing w:after="0" w:line="57"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increased by $6.6 million or 24.0% to $34.0 million for the year ended December 31, 2017 from $27.4 million for the year ended December 31, 2016. The increase was primarily a result of a one-time $3.6 million reversal of New Jersey incentive grants, a</w:t>
      </w:r>
    </w:p>
    <w:p>
      <w:pPr>
        <w:spacing w:after="0" w:line="2"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$1.5 million increase in marketing expenses due to increased marketing efforts for key growth, client acquisition and regulatory initiatives, a $1.3 million increase in value-added taxes, and $1.0 million increase in travel and entertainment expenses due to increased corporate services provided to employees and increased sales efforts, offset by a reduction in foreign exchange losses of $1.4 million.</w:t>
      </w:r>
    </w:p>
    <w:p>
      <w:pPr>
        <w:spacing w:after="0" w:line="6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$1.8 million or 6.3% to $30.0 million for the year ended December 31, 2017 from $28.2 million for the year ended December 31, 2016 due primarily to increases in third-party software and technology maintenance and support as a result of certain cybersecurity and infrastructure initiatives.</w:t>
      </w:r>
    </w:p>
    <w:p>
      <w:pPr>
        <w:spacing w:after="0" w:line="79"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$1.2 million or 6.6% to $19.4 million for the year ended December 31, 2017 from $18.2 million for the year ended December 31, 2016 due primarily to increased legal fees.</w:t>
      </w:r>
    </w:p>
    <w:p>
      <w:pPr>
        <w:spacing w:after="0" w:line="76"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$1.4 million or 8.7% to $14.4 million for the year ended December 31, 2017 from $15.8 million for the year ended December 31, 2016 due to the expiration of certain operating leases.</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Net interest income (expense) increased by $1.3 million to interest income of $0.6 million for the year ended December 31, 2017 from interest expense of $0.7 million for the year ended December 31, 2016 due to higher average investment balances and an increase in interest rates during 2017 and the conversion of our former convertible notes into equity in May 2017.</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Provision for income taxes increased by $6.9 million to $6.1 million for the year ended December 31, 2017 from a benefit from income taxes of $0.7 million for the year ended December 31, 2016.</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10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w:t>
      </w:r>
    </w:p>
    <w:p>
      <w:pPr>
        <w:spacing w:after="0" w:line="80"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The following table sets forth unaudited quarterly consolidated statements of operations data for each of the eight quarterly periods ended September 30, 2018. This quarterly information has been prepared on substantially the same basis as our annual financial statements and includes all adjustments (consisting of normal recurring adjustments) that, in the opinion of our management, are necessary for a fair statement of the unaudited quarterly financial information. This information should be read in conjunction with our consolidated financial statements and related notes included elsewhere in this prospectus.</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6"/>
        </w:trPr>
        <w:tc>
          <w:tcPr>
            <w:tcW w:w="2820" w:type="dxa"/>
            <w:vAlign w:val="bottom"/>
          </w:tcPr>
          <w:p>
            <w:pPr>
              <w:spacing w:after="0"/>
              <w:rPr>
                <w:sz w:val="14"/>
                <w:szCs w:val="14"/>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6"/>
              </w:rPr>
              <w:t>June 30,</w:t>
            </w:r>
          </w:p>
        </w:tc>
        <w:tc>
          <w:tcPr>
            <w:tcW w:w="6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Mar. 31,</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Dec. 31,</w:t>
            </w:r>
          </w:p>
        </w:tc>
        <w:tc>
          <w:tcPr>
            <w:tcW w:w="6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6"/>
              </w:rPr>
              <w:t>June 30,</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Mar. 31,</w:t>
            </w:r>
          </w:p>
        </w:tc>
        <w:tc>
          <w:tcPr>
            <w:tcW w:w="7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 31,</w:t>
            </w:r>
          </w:p>
        </w:tc>
      </w:tr>
      <w:tr>
        <w:trPr>
          <w:trHeight w:val="186"/>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540" w:type="dxa"/>
            <w:vAlign w:val="bottom"/>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6"/>
                <w:szCs w:val="16"/>
                <w:color w:val="auto"/>
              </w:rPr>
              <w:t>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92,582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90,139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68,459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68,210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65,590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64,761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60,556</w:t>
            </w:r>
          </w:p>
        </w:tc>
        <w:tc>
          <w:tcPr>
            <w:tcW w:w="40" w:type="dxa"/>
            <w:vAlign w:val="bottom"/>
          </w:tcPr>
          <w:p>
            <w:pPr>
              <w:spacing w:after="0"/>
              <w:rPr>
                <w:sz w:val="19"/>
                <w:szCs w:val="19"/>
                <w:color w:val="auto"/>
              </w:rPr>
            </w:pPr>
          </w:p>
        </w:tc>
      </w:tr>
      <w:tr>
        <w:trPr>
          <w:trHeight w:val="243"/>
        </w:trPr>
        <w:tc>
          <w:tcPr>
            <w:tcW w:w="2820" w:type="dxa"/>
            <w:vAlign w:val="bottom"/>
            <w:tcBorders>
              <w:right w:val="single" w:sz="8" w:color="CCEEFF"/>
            </w:tcBorders>
            <w:shd w:val="clear" w:color="auto" w:fill="CCEEFF"/>
          </w:tcPr>
          <w:p>
            <w:pPr>
              <w:ind w:left="180"/>
              <w:spacing w:after="0" w:line="242"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45,690</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49,728</w:t>
            </w: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48,563</w:t>
            </w: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48,646</w:t>
            </w: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48,986</w:t>
            </w: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48,488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48,070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6"/>
                <w:szCs w:val="16"/>
                <w:color w:val="auto"/>
              </w:rPr>
              <w:t>Commissions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24,394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27,553</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27,883</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25,129</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23,769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23,935</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23,912</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22,042</w:t>
            </w:r>
          </w:p>
        </w:tc>
        <w:tc>
          <w:tcPr>
            <w:tcW w:w="40" w:type="dxa"/>
            <w:vAlign w:val="bottom"/>
          </w:tcPr>
          <w:p>
            <w:pPr>
              <w:spacing w:after="0"/>
              <w:rPr>
                <w:sz w:val="19"/>
                <w:szCs w:val="19"/>
                <w:color w:val="auto"/>
              </w:rPr>
            </w:pPr>
          </w:p>
        </w:tc>
      </w:tr>
      <w:tr>
        <w:trPr>
          <w:trHeight w:val="254"/>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2820" w:type="dxa"/>
            <w:vAlign w:val="bottom"/>
          </w:tcPr>
          <w:p>
            <w:pPr>
              <w:ind w:left="360"/>
              <w:spacing w:after="0"/>
              <w:rPr>
                <w:sz w:val="20"/>
                <w:szCs w:val="20"/>
                <w:color w:val="auto"/>
              </w:rPr>
            </w:pPr>
            <w:r>
              <w:rPr>
                <w:rFonts w:ascii="Arial" w:cs="Arial" w:eastAsia="Arial" w:hAnsi="Arial"/>
                <w:sz w:val="16"/>
                <w:szCs w:val="16"/>
                <w:color w:val="auto"/>
              </w:rPr>
              <w:t>Gross revenues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165,253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171,015</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169,503</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6"/>
              </w:rPr>
              <w:t>143,399</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141,558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139,676</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138,336</w:t>
            </w: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131,841</w:t>
            </w:r>
          </w:p>
        </w:tc>
        <w:tc>
          <w:tcPr>
            <w:tcW w:w="40" w:type="dxa"/>
            <w:vAlign w:val="bottom"/>
          </w:tcPr>
          <w:p>
            <w:pPr>
              <w:spacing w:after="0"/>
              <w:rPr>
                <w:sz w:val="20"/>
                <w:szCs w:val="20"/>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Contingent Consideration</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(19,297)</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(10,070)</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(28,985)</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(18,573)</w:t>
            </w: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20" w:type="dxa"/>
            <w:vAlign w:val="bottom"/>
          </w:tcPr>
          <w:p>
            <w:pPr>
              <w:ind w:left="360"/>
              <w:spacing w:after="0"/>
              <w:rPr>
                <w:sz w:val="20"/>
                <w:szCs w:val="20"/>
                <w:color w:val="auto"/>
              </w:rPr>
            </w:pPr>
            <w:r>
              <w:rPr>
                <w:rFonts w:ascii="Arial" w:cs="Arial" w:eastAsia="Arial" w:hAnsi="Arial"/>
                <w:sz w:val="16"/>
                <w:szCs w:val="16"/>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167,790</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151,718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159,433</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6"/>
              </w:rPr>
              <w:t>114,414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134,374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121,103</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134,558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122,175</w:t>
            </w:r>
          </w:p>
        </w:tc>
        <w:tc>
          <w:tcPr>
            <w:tcW w:w="40" w:type="dxa"/>
            <w:vAlign w:val="bottom"/>
          </w:tcPr>
          <w:p>
            <w:pPr>
              <w:spacing w:after="0"/>
              <w:rPr>
                <w:sz w:val="24"/>
                <w:szCs w:val="24"/>
                <w:color w:val="auto"/>
              </w:rPr>
            </w:pPr>
          </w:p>
        </w:tc>
      </w:tr>
      <w:tr>
        <w:trPr>
          <w:trHeight w:val="173"/>
        </w:trPr>
        <w:tc>
          <w:tcPr>
            <w:tcW w:w="2820" w:type="dxa"/>
            <w:vAlign w:val="bottom"/>
            <w:tcBorders>
              <w:top w:val="single" w:sz="8" w:color="CCEEFF"/>
              <w:right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Expenses:</w:t>
            </w: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6"/>
                <w:szCs w:val="16"/>
                <w:color w:val="auto"/>
                <w:w w:val="97"/>
              </w:rPr>
              <w:t>Employee compensation and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69,076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68,407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71,570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63,236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61,899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65,032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58,796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58,157</w:t>
            </w:r>
          </w:p>
        </w:tc>
        <w:tc>
          <w:tcPr>
            <w:tcW w:w="40" w:type="dxa"/>
            <w:vAlign w:val="bottom"/>
          </w:tcPr>
          <w:p>
            <w:pPr>
              <w:spacing w:after="0"/>
              <w:rPr>
                <w:sz w:val="19"/>
                <w:szCs w:val="19"/>
                <w:color w:val="auto"/>
              </w:rPr>
            </w:pPr>
          </w:p>
        </w:tc>
      </w:tr>
      <w:tr>
        <w:trPr>
          <w:trHeight w:val="230"/>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16,362</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16,178</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16,268</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15,970</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15,936</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17,250</w:t>
            </w: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8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9,386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7,153</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6,517</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8,557</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9,343</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7,513</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6,790</w:t>
            </w:r>
          </w:p>
        </w:tc>
        <w:tc>
          <w:tcPr>
            <w:tcW w:w="40" w:type="dxa"/>
            <w:vAlign w:val="bottom"/>
          </w:tcPr>
          <w:p>
            <w:pPr>
              <w:spacing w:after="0"/>
              <w:rPr>
                <w:sz w:val="19"/>
                <w:szCs w:val="19"/>
                <w:color w:val="auto"/>
              </w:rPr>
            </w:pPr>
          </w:p>
        </w:tc>
      </w:tr>
      <w:tr>
        <w:trPr>
          <w:trHeight w:val="230"/>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Technology and communications</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9,112</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8,463</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7,623</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7,334</w:t>
            </w: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7,546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7,276</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6,089</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5,259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3,514</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5,469</w:t>
            </w:r>
          </w:p>
        </w:tc>
        <w:tc>
          <w:tcPr>
            <w:tcW w:w="40" w:type="dxa"/>
            <w:vAlign w:val="bottom"/>
          </w:tcPr>
          <w:p>
            <w:pPr>
              <w:spacing w:after="0"/>
              <w:rPr>
                <w:sz w:val="19"/>
                <w:szCs w:val="19"/>
                <w:color w:val="auto"/>
              </w:rPr>
            </w:pPr>
          </w:p>
        </w:tc>
      </w:tr>
      <w:tr>
        <w:trPr>
          <w:trHeight w:val="253"/>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Occupancy</w:t>
            </w:r>
          </w:p>
        </w:tc>
        <w:tc>
          <w:tcPr>
            <w:tcW w:w="8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820" w:type="dxa"/>
            <w:vAlign w:val="bottom"/>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114,973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111,556</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112,078</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6"/>
              </w:rPr>
              <w:t>104,594</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102,629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108,126</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100,007</w:t>
            </w: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100,258</w:t>
            </w:r>
          </w:p>
        </w:tc>
        <w:tc>
          <w:tcPr>
            <w:tcW w:w="40" w:type="dxa"/>
            <w:vAlign w:val="bottom"/>
          </w:tcPr>
          <w:p>
            <w:pPr>
              <w:spacing w:after="0"/>
              <w:rPr>
                <w:sz w:val="20"/>
                <w:szCs w:val="20"/>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52,817</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40,162</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47,355</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9,820</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34,550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28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253</w:t>
            </w:r>
          </w:p>
        </w:tc>
        <w:tc>
          <w:tcPr>
            <w:tcW w:w="40" w:type="dxa"/>
            <w:vAlign w:val="bottom"/>
          </w:tcPr>
          <w:p>
            <w:pPr>
              <w:spacing w:after="0"/>
              <w:rPr>
                <w:sz w:val="18"/>
                <w:szCs w:val="18"/>
                <w:color w:val="auto"/>
              </w:rPr>
            </w:pPr>
          </w:p>
        </w:tc>
      </w:tr>
      <w:tr>
        <w:trPr>
          <w:trHeight w:val="254"/>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820" w:type="dxa"/>
            <w:vAlign w:val="bottom"/>
          </w:tcPr>
          <w:p>
            <w:pPr>
              <w:ind w:left="360"/>
              <w:spacing w:after="0"/>
              <w:rPr>
                <w:sz w:val="20"/>
                <w:szCs w:val="20"/>
                <w:color w:val="auto"/>
              </w:rPr>
            </w:pPr>
            <w:r>
              <w:rPr>
                <w:rFonts w:ascii="Arial" w:cs="Arial" w:eastAsia="Arial" w:hAnsi="Arial"/>
                <w:sz w:val="16"/>
                <w:szCs w:val="16"/>
                <w:color w:val="auto"/>
              </w:rPr>
              <w:t>Income before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53,490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40,744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47,826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10,076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32,104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13,164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34,432</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21,834</w:t>
            </w:r>
          </w:p>
        </w:tc>
        <w:tc>
          <w:tcPr>
            <w:tcW w:w="40" w:type="dxa"/>
            <w:vAlign w:val="bottom"/>
          </w:tcPr>
          <w:p>
            <w:pPr>
              <w:spacing w:after="0"/>
              <w:rPr>
                <w:sz w:val="18"/>
                <w:szCs w:val="18"/>
                <w:color w:val="auto"/>
              </w:rPr>
            </w:pPr>
          </w:p>
        </w:tc>
      </w:tr>
      <w:tr>
        <w:trPr>
          <w:trHeight w:val="254"/>
        </w:trPr>
        <w:tc>
          <w:tcPr>
            <w:tcW w:w="2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2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282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45,954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38,897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45,308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12,111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33,379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24,928</w:t>
            </w:r>
          </w:p>
        </w:tc>
        <w:tc>
          <w:tcPr>
            <w:tcW w:w="40" w:type="dxa"/>
            <w:vAlign w:val="bottom"/>
          </w:tcPr>
          <w:p>
            <w:pPr>
              <w:spacing w:after="0"/>
              <w:rPr>
                <w:sz w:val="20"/>
                <w:szCs w:val="20"/>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-967740</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-967740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-967740</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-967740</wp:posOffset>
            </wp:positionV>
            <wp:extent cx="431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-967740</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-967740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-967740</wp:posOffset>
            </wp:positionV>
            <wp:extent cx="22117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-2493645</wp:posOffset>
            </wp:positionV>
            <wp:extent cx="431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-2493645</wp:posOffset>
            </wp:positionV>
            <wp:extent cx="431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-2493645</wp:posOffset>
            </wp:positionV>
            <wp:extent cx="431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-2493645</wp:posOffset>
            </wp:positionV>
            <wp:extent cx="431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-2493645</wp:posOffset>
            </wp:positionV>
            <wp:extent cx="431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-2493645</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-2493645</wp:posOffset>
            </wp:positionV>
            <wp:extent cx="221170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-3539490</wp:posOffset>
            </wp:positionV>
            <wp:extent cx="342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-3539490</wp:posOffset>
            </wp:positionV>
            <wp:extent cx="342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-3539490</wp:posOffset>
            </wp:positionV>
            <wp:extent cx="342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-3539490</wp:posOffset>
            </wp:positionV>
            <wp:extent cx="342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-3539490</wp:posOffset>
            </wp:positionV>
            <wp:extent cx="342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-3539490</wp:posOffset>
            </wp:positionV>
            <wp:extent cx="342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-3539490</wp:posOffset>
            </wp:positionV>
            <wp:extent cx="342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520065</wp:posOffset>
            </wp:positionV>
            <wp:extent cx="12344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20" w:right="1320" w:hanging="352"/>
        <w:spacing w:after="0" w:line="259"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Subscription fees for the quarters ended September 30, 2018, June 30, 2018, March 31, 2018, December 31, 2017, September 30, 2017, June 30, 2017, March 31, 2017 and December 31, 2016 include $12.5 million, $12.1 million, $12.2 million, $12.2 million, $12.5 million, $12.6 million, $12.7 million and $12.7 million, respectively, of Thomson Reuters market data fees.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jc w:val="both"/>
        <w:ind w:left="1260" w:right="1300" w:firstLine="360"/>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79" w:lineRule="exact"/>
        <w:rPr>
          <w:sz w:val="20"/>
          <w:szCs w:val="20"/>
          <w:color w:val="auto"/>
        </w:rPr>
      </w:pPr>
    </w:p>
    <w:p>
      <w:pPr>
        <w:ind w:left="1260" w:right="1840" w:firstLine="36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62" w:lineRule="exact"/>
        <w:rPr>
          <w:sz w:val="20"/>
          <w:szCs w:val="20"/>
          <w:color w:val="auto"/>
        </w:rPr>
      </w:pPr>
    </w:p>
    <w:p>
      <w:pPr>
        <w:ind w:left="1260" w:right="1240" w:firstLine="360"/>
        <w:spacing w:after="0" w:line="288"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following the consummation of this offering, our expected dividend payments. In addition, following the consummation of this offering, we will be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60"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Following the consummation of this offering, we expect to fund our liquidity requirements through cash and cash equivalents and cash flows from operations.</w:t>
      </w:r>
    </w:p>
    <w:p>
      <w:pPr>
        <w:spacing w:after="0" w:line="62" w:lineRule="exact"/>
        <w:rPr>
          <w:sz w:val="20"/>
          <w:szCs w:val="20"/>
          <w:color w:val="auto"/>
        </w:rPr>
      </w:pPr>
    </w:p>
    <w:p>
      <w:pPr>
        <w:ind w:left="1260" w:right="1280" w:firstLine="360"/>
        <w:spacing w:after="0" w:line="289" w:lineRule="auto"/>
        <w:rPr>
          <w:sz w:val="20"/>
          <w:szCs w:val="20"/>
          <w:color w:val="auto"/>
        </w:rPr>
      </w:pPr>
      <w:r>
        <w:rPr>
          <w:rFonts w:ascii="Arial" w:cs="Arial" w:eastAsia="Arial" w:hAnsi="Arial"/>
          <w:sz w:val="16"/>
          <w:szCs w:val="16"/>
          <w:color w:val="auto"/>
        </w:rPr>
        <w:t>We believe that our projected cash position and cash flows from operations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58" w:lineRule="exact"/>
        <w:rPr>
          <w:sz w:val="20"/>
          <w:szCs w:val="20"/>
          <w:color w:val="auto"/>
        </w:rPr>
      </w:pPr>
    </w:p>
    <w:p>
      <w:pPr>
        <w:ind w:left="1260" w:right="1260" w:firstLine="360"/>
        <w:spacing w:after="0" w:line="296" w:lineRule="auto"/>
        <w:rPr>
          <w:sz w:val="20"/>
          <w:szCs w:val="20"/>
          <w:color w:val="auto"/>
        </w:rPr>
      </w:pPr>
      <w:r>
        <w:rPr>
          <w:rFonts w:ascii="Arial" w:cs="Arial" w:eastAsia="Arial" w:hAnsi="Arial"/>
          <w:sz w:val="16"/>
          <w:szCs w:val="16"/>
          <w:color w:val="auto"/>
        </w:rPr>
        <w:t>As of September 30, 2018 and December 31, 2017, we had cash and cash equivalents of approximately $350.2 million and $352.6 million, respectively. All cash and cash equivalents are held with independent financial institutions with a minimum credit rating of A as defined by the three main credit rating agencies. As of September 30, 2018 and December 31, 2017, all cash and cash equivalents were held in accounts with banks such that the funds are immediately available or in fixed term deposits with a maximum maturity of three months.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Policy</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the completion of this offering and subject to legally available funds, we intend to pay quarterly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gridSpan w:val="4"/>
          </w:tcPr>
          <w:p>
            <w:pPr>
              <w:ind w:left="1260"/>
              <w:spacing w:after="0"/>
              <w:rPr>
                <w:sz w:val="20"/>
                <w:szCs w:val="20"/>
                <w:color w:val="auto"/>
              </w:rPr>
            </w:pPr>
            <w:r>
              <w:rPr>
                <w:rFonts w:ascii="Arial" w:cs="Arial" w:eastAsia="Arial" w:hAnsi="Arial"/>
                <w:sz w:val="18"/>
                <w:szCs w:val="18"/>
                <w:color w:val="auto"/>
                <w:w w:val="96"/>
              </w:rPr>
              <w:t>cash dividends on our Class A common stock and Class B common stock initially equal to $</w:t>
            </w:r>
          </w:p>
        </w:tc>
        <w:tc>
          <w:tcPr>
            <w:tcW w:w="2420" w:type="dxa"/>
            <w:vAlign w:val="bottom"/>
          </w:tcPr>
          <w:p>
            <w:pPr>
              <w:ind w:left="20"/>
              <w:spacing w:after="0"/>
              <w:rPr>
                <w:sz w:val="20"/>
                <w:szCs w:val="20"/>
                <w:color w:val="auto"/>
              </w:rPr>
            </w:pPr>
            <w:r>
              <w:rPr>
                <w:rFonts w:ascii="Arial" w:cs="Arial" w:eastAsia="Arial" w:hAnsi="Arial"/>
                <w:sz w:val="18"/>
                <w:szCs w:val="18"/>
                <w:color w:val="auto"/>
              </w:rPr>
              <w:t>per share,</w:t>
            </w:r>
          </w:p>
        </w:tc>
      </w:tr>
      <w:tr>
        <w:trPr>
          <w:trHeight w:val="216"/>
        </w:trPr>
        <w:tc>
          <w:tcPr>
            <w:tcW w:w="3060" w:type="dxa"/>
            <w:vAlign w:val="bottom"/>
          </w:tcPr>
          <w:p>
            <w:pPr>
              <w:ind w:left="1260"/>
              <w:spacing w:after="0"/>
              <w:rPr>
                <w:sz w:val="20"/>
                <w:szCs w:val="20"/>
                <w:color w:val="auto"/>
              </w:rPr>
            </w:pPr>
            <w:r>
              <w:rPr>
                <w:rFonts w:ascii="Arial" w:cs="Arial" w:eastAsia="Arial" w:hAnsi="Arial"/>
                <w:sz w:val="18"/>
                <w:szCs w:val="18"/>
                <w:color w:val="auto"/>
              </w:rPr>
              <w:t>commencing with the</w:t>
            </w:r>
          </w:p>
        </w:tc>
        <w:tc>
          <w:tcPr>
            <w:tcW w:w="1140" w:type="dxa"/>
            <w:vAlign w:val="bottom"/>
          </w:tcPr>
          <w:p>
            <w:pPr>
              <w:ind w:left="220"/>
              <w:spacing w:after="0"/>
              <w:rPr>
                <w:sz w:val="20"/>
                <w:szCs w:val="20"/>
                <w:color w:val="auto"/>
              </w:rPr>
            </w:pPr>
            <w:r>
              <w:rPr>
                <w:rFonts w:ascii="Arial" w:cs="Arial" w:eastAsia="Arial" w:hAnsi="Arial"/>
                <w:sz w:val="18"/>
                <w:szCs w:val="18"/>
                <w:color w:val="auto"/>
              </w:rPr>
              <w:t>quarter of</w:t>
            </w:r>
          </w:p>
        </w:tc>
        <w:tc>
          <w:tcPr>
            <w:tcW w:w="1000" w:type="dxa"/>
            <w:vAlign w:val="bottom"/>
          </w:tcPr>
          <w:p>
            <w:pPr>
              <w:ind w:left="220"/>
              <w:spacing w:after="0"/>
              <w:rPr>
                <w:sz w:val="20"/>
                <w:szCs w:val="20"/>
                <w:color w:val="auto"/>
              </w:rPr>
            </w:pPr>
            <w:r>
              <w:rPr>
                <w:rFonts w:ascii="Arial" w:cs="Arial" w:eastAsia="Arial" w:hAnsi="Arial"/>
                <w:sz w:val="18"/>
                <w:szCs w:val="18"/>
                <w:color w:val="auto"/>
                <w:w w:val="88"/>
              </w:rPr>
              <w:t>. Based on</w:t>
            </w:r>
          </w:p>
        </w:tc>
        <w:tc>
          <w:tcPr>
            <w:tcW w:w="3100" w:type="dxa"/>
            <w:vAlign w:val="bottom"/>
          </w:tcPr>
          <w:p>
            <w:pPr>
              <w:jc w:val="right"/>
              <w:spacing w:after="0"/>
              <w:rPr>
                <w:sz w:val="20"/>
                <w:szCs w:val="20"/>
                <w:color w:val="auto"/>
              </w:rPr>
            </w:pPr>
            <w:r>
              <w:rPr>
                <w:rFonts w:ascii="Arial" w:cs="Arial" w:eastAsia="Arial" w:hAnsi="Arial"/>
                <w:sz w:val="18"/>
                <w:szCs w:val="18"/>
                <w:color w:val="auto"/>
              </w:rPr>
              <w:t>shares of Class A common stock and</w:t>
            </w:r>
          </w:p>
        </w:tc>
        <w:tc>
          <w:tcPr>
            <w:tcW w:w="2420" w:type="dxa"/>
            <w:vAlign w:val="bottom"/>
          </w:tcPr>
          <w:p>
            <w:pPr>
              <w:ind w:left="440"/>
              <w:spacing w:after="0"/>
              <w:rPr>
                <w:sz w:val="20"/>
                <w:szCs w:val="20"/>
                <w:color w:val="auto"/>
              </w:rPr>
            </w:pPr>
            <w:r>
              <w:rPr>
                <w:rFonts w:ascii="Arial" w:cs="Arial" w:eastAsia="Arial" w:hAnsi="Arial"/>
                <w:sz w:val="18"/>
                <w:szCs w:val="18"/>
                <w:color w:val="auto"/>
              </w:rPr>
              <w:t>shares of</w:t>
            </w:r>
          </w:p>
        </w:tc>
      </w:tr>
      <w:tr>
        <w:trPr>
          <w:trHeight w:val="230"/>
        </w:trPr>
        <w:tc>
          <w:tcPr>
            <w:tcW w:w="8300" w:type="dxa"/>
            <w:vAlign w:val="bottom"/>
            <w:gridSpan w:val="4"/>
          </w:tcPr>
          <w:p>
            <w:pPr>
              <w:ind w:left="1260"/>
              <w:spacing w:after="0"/>
              <w:rPr>
                <w:sz w:val="20"/>
                <w:szCs w:val="20"/>
                <w:color w:val="auto"/>
              </w:rPr>
            </w:pPr>
            <w:r>
              <w:rPr>
                <w:rFonts w:ascii="Arial" w:cs="Arial" w:eastAsia="Arial" w:hAnsi="Arial"/>
                <w:sz w:val="18"/>
                <w:szCs w:val="18"/>
                <w:color w:val="auto"/>
                <w:w w:val="99"/>
              </w:rPr>
              <w:t>Class B common stock expected to be outstanding after this offering, this dividend policy</w:t>
            </w:r>
          </w:p>
        </w:tc>
        <w:tc>
          <w:tcPr>
            <w:tcW w:w="2420" w:type="dxa"/>
            <w:vAlign w:val="bottom"/>
          </w:tcPr>
          <w:p>
            <w:pPr>
              <w:spacing w:after="0"/>
              <w:rPr>
                <w:sz w:val="20"/>
                <w:szCs w:val="20"/>
                <w:color w:val="auto"/>
              </w:rPr>
            </w:pPr>
          </w:p>
        </w:tc>
      </w:tr>
      <w:tr>
        <w:trPr>
          <w:trHeight w:val="499"/>
        </w:trPr>
        <w:tc>
          <w:tcPr>
            <w:tcW w:w="3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tcPr>
          <w:p>
            <w:pPr>
              <w:jc w:val="right"/>
              <w:ind w:right="2710"/>
              <w:spacing w:after="0"/>
              <w:rPr>
                <w:sz w:val="20"/>
                <w:szCs w:val="20"/>
                <w:color w:val="auto"/>
              </w:rPr>
            </w:pPr>
            <w:r>
              <w:rPr>
                <w:rFonts w:ascii="Arial" w:cs="Arial" w:eastAsia="Arial" w:hAnsi="Arial"/>
                <w:sz w:val="18"/>
                <w:szCs w:val="18"/>
                <w:color w:val="auto"/>
                <w:w w:val="93"/>
              </w:rPr>
              <w:t>102</w:t>
            </w:r>
          </w:p>
        </w:tc>
        <w:tc>
          <w:tcPr>
            <w:tcW w:w="2420" w:type="dxa"/>
            <w:vAlign w:val="bottom"/>
          </w:tcPr>
          <w:p>
            <w:pPr>
              <w:spacing w:after="0"/>
              <w:rPr>
                <w:sz w:val="24"/>
                <w:szCs w:val="24"/>
                <w:color w:val="auto"/>
              </w:rPr>
            </w:pPr>
          </w:p>
        </w:tc>
      </w:tr>
      <w:tr>
        <w:trPr>
          <w:trHeight w:val="385"/>
        </w:trPr>
        <w:tc>
          <w:tcPr>
            <w:tcW w:w="30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74" w:lineRule="auto"/>
        <w:rPr>
          <w:sz w:val="20"/>
          <w:szCs w:val="20"/>
          <w:color w:val="auto"/>
        </w:rPr>
      </w:pPr>
      <w:r>
        <w:rPr>
          <w:rFonts w:ascii="Arial" w:cs="Arial" w:eastAsia="Arial" w:hAnsi="Arial"/>
          <w:sz w:val="17"/>
          <w:szCs w:val="17"/>
          <w:color w:val="auto"/>
        </w:rPr>
        <w:t>implies a quarterly cash requirement of approximately $ million (or an annual cash requirement of approximately $ million). The declaration, amount and payment of any future dividends will be at the sole</w:t>
      </w:r>
    </w:p>
    <w:p>
      <w:pPr>
        <w:ind w:left="1260" w:right="779"/>
        <w:spacing w:after="0" w:line="255" w:lineRule="auto"/>
        <w:rPr>
          <w:sz w:val="20"/>
          <w:szCs w:val="20"/>
          <w:color w:val="auto"/>
        </w:rPr>
      </w:pPr>
      <w:r>
        <w:rPr>
          <w:rFonts w:ascii="Arial" w:cs="Arial" w:eastAsia="Arial" w:hAnsi="Arial"/>
          <w:sz w:val="18"/>
          <w:szCs w:val="18"/>
          <w:color w:val="auto"/>
        </w:rPr>
        <w:t>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w:t>
      </w:r>
    </w:p>
    <w:p>
      <w:pPr>
        <w:spacing w:after="0" w:line="82"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Continuing LLC Owners will be entitled to receive proportionate distributions based on their economic interests in TWM LLC.</w:t>
      </w:r>
    </w:p>
    <w:p>
      <w:pPr>
        <w:spacing w:after="0" w:line="7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 — Our principal asset after the completion of this offering will be our interest in TWM LLC, and, accordingly, we will depend on distributions from TWM LLC to pay our taxes and expenses” and “Risk Factors — Risks Relating to This Offering and Ownership of our Class A common stock — We intend to pay regular dividends on our Class A common stock and Class B common stock, but our ability to do so may be limited.”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Indebtedness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September 30, 2018 and December 31, 2017, we had no outstanding indebtedness.</w:t>
      </w:r>
    </w:p>
    <w:p>
      <w:pPr>
        <w:spacing w:after="0" w:line="117"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76"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Requirements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Japanese Financial Services Agency, the Japanese Securities Dealers Association and other foreign regulators, and must maintain financial resources, as defined in the applicable regulations, in excess of the applicable financial resources requirement. As of September 30, 2018 and December 31, 2017, each of our regulated subsidiaries had net capital or financial resources in excess of their minimum requirements which in aggregate was $41.2 million and $38.9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Fails to Deliver/Fails to Receive</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At times, transactions executed on our Dealerweb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offset.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cash flows for the nine months ended September 30, 2018 and 2017 and the years ended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 were as follows: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3"/>
          </w:tcPr>
          <w:p>
            <w:pPr>
              <w:jc w:val="right"/>
              <w:ind w:right="600"/>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Pr>
          <w:p>
            <w:pPr>
              <w:spacing w:after="0"/>
              <w:rPr>
                <w:sz w:val="15"/>
                <w:szCs w:val="15"/>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w w:val="92"/>
              </w:rPr>
              <w:t>Year Ended December 31,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10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7"/>
                <w:szCs w:val="17"/>
                <w:color w:val="auto"/>
              </w:rPr>
            </w:pPr>
          </w:p>
        </w:tc>
        <w:tc>
          <w:tcPr>
            <w:tcW w:w="640" w:type="dxa"/>
            <w:vAlign w:val="bottom"/>
          </w:tcPr>
          <w:p>
            <w:pPr>
              <w:jc w:val="right"/>
              <w:ind w:right="125"/>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Change</w:t>
            </w:r>
          </w:p>
        </w:tc>
        <w:tc>
          <w:tcPr>
            <w:tcW w:w="84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w w:val="98"/>
              </w:rPr>
              <w:t>% Change</w:t>
            </w:r>
          </w:p>
        </w:tc>
        <w:tc>
          <w:tcPr>
            <w:tcW w:w="560" w:type="dxa"/>
            <w:vAlign w:val="bottom"/>
          </w:tcPr>
          <w:p>
            <w:pPr>
              <w:jc w:val="right"/>
              <w:ind w:right="125"/>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05"/>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 Change</w:t>
            </w:r>
          </w:p>
        </w:tc>
        <w:tc>
          <w:tcPr>
            <w:tcW w:w="680" w:type="dxa"/>
            <w:vAlign w:val="bottom"/>
            <w:gridSpan w:val="4"/>
          </w:tcPr>
          <w:p>
            <w:pPr>
              <w:ind w:left="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8"/>
        </w:trPr>
        <w:tc>
          <w:tcPr>
            <w:tcW w:w="2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8"/>
          </w:tcPr>
          <w:p>
            <w:pPr>
              <w:jc w:val="right"/>
              <w:ind w:right="133"/>
              <w:spacing w:after="0"/>
              <w:rPr>
                <w:sz w:val="20"/>
                <w:szCs w:val="20"/>
                <w:color w:val="auto"/>
              </w:rPr>
            </w:pPr>
            <w:r>
              <w:rPr>
                <w:rFonts w:ascii="Arial" w:cs="Arial" w:eastAsia="Arial" w:hAnsi="Arial"/>
                <w:sz w:val="13"/>
                <w:szCs w:val="13"/>
                <w:b w:val="1"/>
                <w:bCs w:val="1"/>
                <w:color w:val="auto"/>
                <w:w w:val="95"/>
              </w:rPr>
              <w:t>(dollars in thousands)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flows provided by operating</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9"/>
              </w:rPr>
              <w:t>164,828</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2"/>
              </w:rPr>
              <w:t>$ 141,295</w:t>
            </w: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23,533</w:t>
            </w:r>
          </w:p>
        </w:tc>
        <w:tc>
          <w:tcPr>
            <w:tcW w:w="840" w:type="dxa"/>
            <w:vAlign w:val="bottom"/>
            <w:gridSpan w:val="6"/>
            <w:vMerge w:val="restart"/>
            <w:shd w:val="clear" w:color="auto" w:fill="CCEEFF"/>
          </w:tcPr>
          <w:p>
            <w:pPr>
              <w:jc w:val="right"/>
              <w:spacing w:after="0"/>
              <w:rPr>
                <w:sz w:val="20"/>
                <w:szCs w:val="20"/>
                <w:color w:val="auto"/>
              </w:rPr>
            </w:pPr>
            <w:r>
              <w:rPr>
                <w:rFonts w:ascii="Arial" w:cs="Arial" w:eastAsia="Arial" w:hAnsi="Arial"/>
                <w:sz w:val="15"/>
                <w:szCs w:val="15"/>
                <w:color w:val="auto"/>
              </w:rPr>
              <w:t>16.7%  $</w:t>
            </w:r>
          </w:p>
        </w:tc>
        <w:tc>
          <w:tcPr>
            <w:tcW w:w="68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5"/>
                <w:szCs w:val="15"/>
                <w:color w:val="auto"/>
                <w:w w:val="99"/>
              </w:rPr>
              <w:t>224,580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9"/>
              </w:rPr>
              <w:t>171,845</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$ 52,735</w:t>
            </w:r>
          </w:p>
        </w:tc>
        <w:tc>
          <w:tcPr>
            <w:tcW w:w="6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30.7%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activities</w:t>
            </w:r>
          </w:p>
        </w:tc>
        <w:tc>
          <w:tcPr>
            <w:tcW w:w="8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40" w:type="dxa"/>
            <w:vAlign w:val="bottom"/>
            <w:gridSpan w:val="6"/>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00" w:type="dxa"/>
            <w:vAlign w:val="bottom"/>
            <w:gridSpan w:val="2"/>
          </w:tcPr>
          <w:p>
            <w:pPr>
              <w:spacing w:after="0"/>
              <w:rPr>
                <w:sz w:val="20"/>
                <w:szCs w:val="20"/>
                <w:color w:val="auto"/>
              </w:rPr>
            </w:pPr>
            <w:r>
              <w:rPr>
                <w:rFonts w:ascii="Arial" w:cs="Arial" w:eastAsia="Arial" w:hAnsi="Arial"/>
                <w:sz w:val="15"/>
                <w:szCs w:val="15"/>
                <w:color w:val="auto"/>
              </w:rPr>
              <w:t>Net cash flows (used in) investing</w:t>
            </w:r>
          </w:p>
        </w:tc>
        <w:tc>
          <w:tcPr>
            <w:tcW w:w="80" w:type="dxa"/>
            <w:vAlign w:val="bottom"/>
          </w:tcPr>
          <w:p>
            <w:pPr>
              <w:spacing w:after="0"/>
              <w:rPr>
                <w:sz w:val="15"/>
                <w:szCs w:val="15"/>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(25,850)</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(35,013)</w:t>
            </w:r>
          </w:p>
        </w:tc>
        <w:tc>
          <w:tcPr>
            <w:tcW w:w="8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9,163</w:t>
            </w:r>
          </w:p>
        </w:tc>
        <w:tc>
          <w:tcPr>
            <w:tcW w:w="740" w:type="dxa"/>
            <w:vAlign w:val="bottom"/>
            <w:gridSpan w:val="4"/>
            <w:vMerge w:val="restart"/>
          </w:tcPr>
          <w:p>
            <w:pPr>
              <w:jc w:val="right"/>
              <w:ind w:right="20"/>
              <w:spacing w:after="0"/>
              <w:rPr>
                <w:sz w:val="20"/>
                <w:szCs w:val="20"/>
                <w:color w:val="auto"/>
              </w:rPr>
            </w:pPr>
            <w:r>
              <w:rPr>
                <w:rFonts w:ascii="Arial" w:cs="Arial" w:eastAsia="Arial" w:hAnsi="Arial"/>
                <w:sz w:val="15"/>
                <w:szCs w:val="15"/>
                <w:color w:val="auto"/>
              </w:rPr>
              <w:t>(26.2)%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restart"/>
          </w:tcPr>
          <w:p>
            <w:pPr>
              <w:jc w:val="right"/>
              <w:ind w:right="13"/>
              <w:spacing w:after="0"/>
              <w:rPr>
                <w:sz w:val="20"/>
                <w:szCs w:val="20"/>
                <w:color w:val="auto"/>
              </w:rPr>
            </w:pPr>
            <w:r>
              <w:rPr>
                <w:rFonts w:ascii="Arial" w:cs="Arial" w:eastAsia="Arial" w:hAnsi="Arial"/>
                <w:sz w:val="15"/>
                <w:szCs w:val="15"/>
                <w:color w:val="auto"/>
              </w:rPr>
              <w:t>(45,552)</w:t>
            </w: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(50,565)</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5,013</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00" w:type="dxa"/>
            <w:vAlign w:val="bottom"/>
            <w:gridSpan w:val="2"/>
          </w:tcPr>
          <w:p>
            <w:pPr>
              <w:ind w:left="180"/>
              <w:spacing w:after="0"/>
              <w:rPr>
                <w:sz w:val="20"/>
                <w:szCs w:val="20"/>
                <w:color w:val="auto"/>
              </w:rPr>
            </w:pPr>
            <w:r>
              <w:rPr>
                <w:rFonts w:ascii="Arial" w:cs="Arial" w:eastAsia="Arial" w:hAnsi="Arial"/>
                <w:sz w:val="15"/>
                <w:szCs w:val="15"/>
                <w:color w:val="auto"/>
              </w:rPr>
              <w:t>activities</w:t>
            </w:r>
          </w:p>
        </w:tc>
        <w:tc>
          <w:tcPr>
            <w:tcW w:w="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flows (used in) financing</w:t>
            </w:r>
          </w:p>
        </w:tc>
        <w:tc>
          <w:tcPr>
            <w:tcW w:w="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w w:val="93"/>
              </w:rPr>
              <w:t>(139,350)</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(116,461)</w:t>
            </w:r>
          </w:p>
        </w:tc>
        <w:tc>
          <w:tcPr>
            <w:tcW w:w="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w w:val="89"/>
              </w:rPr>
              <w:t>(22,889)</w:t>
            </w:r>
          </w:p>
        </w:tc>
        <w:tc>
          <w:tcPr>
            <w:tcW w:w="74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19.7%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5"/>
                <w:szCs w:val="15"/>
                <w:color w:val="auto"/>
                <w:w w:val="90"/>
              </w:rPr>
              <w:t>(153,461)</w:t>
            </w:r>
          </w:p>
        </w:tc>
        <w:tc>
          <w:tcPr>
            <w:tcW w:w="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w w:val="90"/>
              </w:rPr>
              <w:t>(130,521)</w:t>
            </w: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(22,940)</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activities</w:t>
            </w: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740" w:type="dxa"/>
            <w:vAlign w:val="bottom"/>
            <w:gridSpan w:val="4"/>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5"/>
                <w:szCs w:val="15"/>
                <w:color w:val="auto"/>
              </w:rPr>
              <w:t>Effect of exchange rate changes on</w:t>
            </w:r>
          </w:p>
        </w:tc>
        <w:tc>
          <w:tcPr>
            <w:tcW w:w="80" w:type="dxa"/>
            <w:vAlign w:val="bottom"/>
          </w:tcPr>
          <w:p>
            <w:pPr>
              <w:spacing w:after="0"/>
              <w:rPr>
                <w:sz w:val="16"/>
                <w:szCs w:val="16"/>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(2,043)</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2,754</w:t>
            </w:r>
          </w:p>
        </w:tc>
        <w:tc>
          <w:tcPr>
            <w:tcW w:w="80" w:type="dxa"/>
            <w:vAlign w:val="bottom"/>
          </w:tcPr>
          <w:p>
            <w:pPr>
              <w:spacing w:after="0"/>
              <w:rPr>
                <w:sz w:val="16"/>
                <w:szCs w:val="16"/>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(4,797)</w:t>
            </w:r>
          </w:p>
        </w:tc>
        <w:tc>
          <w:tcPr>
            <w:tcW w:w="740" w:type="dxa"/>
            <w:vAlign w:val="bottom"/>
            <w:gridSpan w:val="4"/>
            <w:vMerge w:val="restart"/>
          </w:tcPr>
          <w:p>
            <w:pPr>
              <w:jc w:val="right"/>
              <w:ind w:right="20"/>
              <w:spacing w:after="0"/>
              <w:rPr>
                <w:sz w:val="20"/>
                <w:szCs w:val="20"/>
                <w:color w:val="auto"/>
              </w:rPr>
            </w:pPr>
            <w:r>
              <w:rPr>
                <w:rFonts w:ascii="Arial" w:cs="Arial" w:eastAsia="Arial" w:hAnsi="Arial"/>
                <w:sz w:val="15"/>
                <w:szCs w:val="15"/>
                <w:color w:val="auto"/>
              </w:rPr>
              <w:t>(174.2)%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right"/>
              <w:ind w:right="53"/>
              <w:spacing w:after="0"/>
              <w:rPr>
                <w:sz w:val="20"/>
                <w:szCs w:val="20"/>
                <w:color w:val="auto"/>
              </w:rPr>
            </w:pPr>
            <w:r>
              <w:rPr>
                <w:rFonts w:ascii="Arial" w:cs="Arial" w:eastAsia="Arial" w:hAnsi="Arial"/>
                <w:sz w:val="15"/>
                <w:szCs w:val="15"/>
                <w:color w:val="auto"/>
              </w:rPr>
              <w:t>3,157</w:t>
            </w:r>
          </w:p>
        </w:tc>
        <w:tc>
          <w:tcPr>
            <w:tcW w:w="80" w:type="dxa"/>
            <w:vAlign w:val="bottom"/>
          </w:tcPr>
          <w:p>
            <w:pPr>
              <w:spacing w:after="0"/>
              <w:rPr>
                <w:sz w:val="16"/>
                <w:szCs w:val="16"/>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(6,200)</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9,357</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150.9%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increase/(decrease) in cash and</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(2,415)</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  (7,425)</w:t>
            </w: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5,010</w:t>
            </w:r>
          </w:p>
        </w:tc>
        <w:tc>
          <w:tcPr>
            <w:tcW w:w="840" w:type="dxa"/>
            <w:vAlign w:val="bottom"/>
            <w:gridSpan w:val="6"/>
            <w:vMerge w:val="restart"/>
            <w:shd w:val="clear" w:color="auto" w:fill="CCEEFF"/>
          </w:tcPr>
          <w:p>
            <w:pPr>
              <w:jc w:val="right"/>
              <w:spacing w:after="0"/>
              <w:rPr>
                <w:sz w:val="20"/>
                <w:szCs w:val="20"/>
                <w:color w:val="auto"/>
              </w:rPr>
            </w:pPr>
            <w:r>
              <w:rPr>
                <w:rFonts w:ascii="Arial" w:cs="Arial" w:eastAsia="Arial" w:hAnsi="Arial"/>
                <w:sz w:val="15"/>
                <w:szCs w:val="15"/>
                <w:color w:val="auto"/>
              </w:rPr>
              <w:t>(67.5)% $</w:t>
            </w:r>
          </w:p>
        </w:tc>
        <w:tc>
          <w:tcPr>
            <w:tcW w:w="68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5"/>
                <w:szCs w:val="15"/>
                <w:color w:val="auto"/>
              </w:rPr>
              <w:t>28,724</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(15,441)</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$ 44,165</w:t>
            </w:r>
          </w:p>
        </w:tc>
        <w:tc>
          <w:tcPr>
            <w:tcW w:w="6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286.0%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cash equivalents</w:t>
            </w:r>
          </w:p>
        </w:tc>
        <w:tc>
          <w:tcPr>
            <w:tcW w:w="8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40" w:type="dxa"/>
            <w:vAlign w:val="bottom"/>
            <w:gridSpan w:val="6"/>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-281940</wp:posOffset>
            </wp:positionV>
            <wp:extent cx="857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-281940</wp:posOffset>
            </wp:positionV>
            <wp:extent cx="1460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-281940</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-281940</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-281940</wp:posOffset>
            </wp:positionV>
            <wp:extent cx="1460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-281940</wp:posOffset>
            </wp:positionV>
            <wp:extent cx="1289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-281940</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-281940</wp:posOffset>
            </wp:positionV>
            <wp:extent cx="20656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-1388110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-1388110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-1388110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-1388110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-1388110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-1388110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-1388110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63"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Net cash provided by operating activities increased to $164.8 million for the nine months ended September 30, 2018 from $141.3 million for the nine months ended September 30, 2017. The $23.5 million increase was primarily due to increased gross revenue partially offset by an increase in accounts receivable due to changes to the billing process associated with MiFID II resulting in less billings annually in advance and more billings monthly in arrears.</w:t>
      </w:r>
    </w:p>
    <w:p>
      <w:pPr>
        <w:spacing w:after="0" w:line="80"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Net cash provided by operating activities increased to $224.6 million for the year ended December 31, 2017 from $171.8 million for the year ended December 31, 2016. The $52.7 million increase was primarily due to increased gross revenue and an improvement in working capital.</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6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Net cash used in investing activities decreased to $25.9 million for the nine months ended September 30, 2018 from $35.0 million for the nine months ended September 30, 2017. The $9.2 million decrease was primarily due to a $4.9 million reduction in business acquisitions and investments in the nine months ended September 30, 2018 along with a reduction in purchases of furniture, equipment, purchased software and leasehold improvements and capitalized software development costs.</w:t>
      </w:r>
    </w:p>
    <w:p>
      <w:pPr>
        <w:spacing w:after="0" w:line="68"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7"/>
          <w:szCs w:val="17"/>
          <w:color w:val="auto"/>
        </w:rPr>
        <w:t>Net cash used in investing activities decreased to $45.6 million for the year ended December 31, 2017 from $50.6 million for the year ended December 31, 2016. The $5.0 million decrease was primarily due to a</w:t>
      </w:r>
    </w:p>
    <w:p>
      <w:pPr>
        <w:jc w:val="both"/>
        <w:ind w:left="1260" w:right="1079"/>
        <w:spacing w:after="0" w:line="255" w:lineRule="auto"/>
        <w:rPr>
          <w:sz w:val="20"/>
          <w:szCs w:val="20"/>
          <w:color w:val="auto"/>
        </w:rPr>
      </w:pPr>
      <w:r>
        <w:rPr>
          <w:rFonts w:ascii="Arial" w:cs="Arial" w:eastAsia="Arial" w:hAnsi="Arial"/>
          <w:sz w:val="18"/>
          <w:szCs w:val="18"/>
          <w:color w:val="auto"/>
        </w:rPr>
        <w:t>$10.3 million reduction in business acquisitions and investments in 2017 offset by a $5.3 million increase in purchases of furniture, equipment, purchased software and leasehold improvements and the capitalization of software development costs.</w:t>
      </w: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Financing activities primarily consist of distributions to our existing stockholders.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Net cash used in financing activities increased to $139.4 million for the nine months ended September 30,</w:t>
      </w:r>
    </w:p>
    <w:p>
      <w:pPr>
        <w:spacing w:after="0" w:line="46" w:lineRule="exact"/>
        <w:rPr>
          <w:sz w:val="20"/>
          <w:szCs w:val="20"/>
          <w:color w:val="auto"/>
        </w:rPr>
      </w:pPr>
    </w:p>
    <w:p>
      <w:pPr>
        <w:ind w:left="1260" w:right="1079"/>
        <w:spacing w:after="0" w:line="323" w:lineRule="auto"/>
        <w:rPr>
          <w:sz w:val="20"/>
          <w:szCs w:val="20"/>
          <w:color w:val="auto"/>
        </w:rPr>
      </w:pPr>
      <w:r>
        <w:rPr>
          <w:rFonts w:ascii="Arial" w:cs="Arial" w:eastAsia="Arial" w:hAnsi="Arial"/>
          <w:sz w:val="16"/>
          <w:szCs w:val="16"/>
          <w:color w:val="auto"/>
        </w:rPr>
        <w:t>2018 from $116.5 million for the nine months ended September 30, 2017. The $22.9 million increase was principally due to an increase in capital distributions of $22.9 million as a result of increased free cash flow.</w:t>
      </w:r>
    </w:p>
    <w:p>
      <w:pPr>
        <w:spacing w:after="0" w:line="30"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Net cash used in financing activities increased to $153.5 million for the year ended December 31, 2017 from $130.5 million for the year ended December 31, 2016. The $22.9 million increase was principally due to an increase in capital distributions of $22.0 million as a result of increased free cash flow.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04" w:lineRule="exact"/>
        <w:rPr>
          <w:sz w:val="20"/>
          <w:szCs w:val="20"/>
          <w:color w:val="auto"/>
        </w:rPr>
      </w:pPr>
    </w:p>
    <w:p>
      <w:pPr>
        <w:ind w:left="1260" w:right="759" w:firstLine="360"/>
        <w:spacing w:after="0" w:line="311" w:lineRule="auto"/>
        <w:rPr>
          <w:sz w:val="20"/>
          <w:szCs w:val="20"/>
          <w:color w:val="auto"/>
        </w:rPr>
      </w:pPr>
      <w:r>
        <w:rPr>
          <w:rFonts w:ascii="Arial" w:cs="Arial" w:eastAsia="Arial" w:hAnsi="Arial"/>
          <w:sz w:val="16"/>
          <w:szCs w:val="16"/>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41" w:lineRule="exact"/>
        <w:rPr>
          <w:sz w:val="20"/>
          <w:szCs w:val="20"/>
          <w:color w:val="auto"/>
        </w:rPr>
      </w:pPr>
    </w:p>
    <w:p>
      <w:pPr>
        <w:jc w:val="both"/>
        <w:ind w:left="1260" w:right="739" w:firstLine="360"/>
        <w:spacing w:after="0" w:line="311"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41"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69" w:lineRule="exact"/>
        <w:rPr>
          <w:sz w:val="20"/>
          <w:szCs w:val="20"/>
          <w:color w:val="auto"/>
        </w:rPr>
      </w:pPr>
    </w:p>
    <w:p>
      <w:pPr>
        <w:ind w:left="1260" w:right="699" w:firstLine="360"/>
        <w:spacing w:after="0" w:line="342" w:lineRule="auto"/>
        <w:rPr>
          <w:sz w:val="20"/>
          <w:szCs w:val="20"/>
          <w:color w:val="auto"/>
        </w:rPr>
      </w:pPr>
      <w:r>
        <w:rPr>
          <w:rFonts w:ascii="Arial" w:cs="Arial" w:eastAsia="Arial" w:hAnsi="Arial"/>
          <w:sz w:val="16"/>
          <w:szCs w:val="16"/>
          <w:color w:val="auto"/>
        </w:rPr>
        <w:t>The table set forth below presents a reconciliation of our cash flow from operating activities to Free Cash Flow for the nine months ended September 30, 2018 and 2017 and the years ended December 31, 2017 and 2016:</w:t>
      </w:r>
    </w:p>
    <w:p>
      <w:pPr>
        <w:spacing w:after="0" w:line="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$164,828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$141,295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$224,580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$171,845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(19,523)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(20,042)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(27,157)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 equipment and leasehold</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(6,327)</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(10,037)</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(13,461)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92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Free Cash Flow</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138,978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$ 111,216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-950595</wp:posOffset>
            </wp:positionV>
            <wp:extent cx="137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-950595</wp:posOffset>
            </wp:positionV>
            <wp:extent cx="137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-950595</wp:posOffset>
            </wp:positionV>
            <wp:extent cx="137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0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In addition to net income presented in accordance with GAAP, we present Adjusted EBITDA as a measure of our operating performance and Adjusted Net Income as a measure of our profitability.</w:t>
      </w:r>
    </w:p>
    <w:p>
      <w:pPr>
        <w:spacing w:after="0" w:line="62"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w:t>
      </w: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1" w:lineRule="auto"/>
        <w:rPr>
          <w:sz w:val="20"/>
          <w:szCs w:val="20"/>
          <w:color w:val="auto"/>
        </w:rPr>
      </w:pPr>
      <w:r>
        <w:rPr>
          <w:rFonts w:ascii="Arial" w:cs="Arial" w:eastAsia="Arial" w:hAnsi="Arial"/>
          <w:sz w:val="17"/>
          <w:szCs w:val="17"/>
          <w:color w:val="auto"/>
        </w:rPr>
        <w:t>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below under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70"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Adjusted Net Income is defined as net income before contingent consideration, acquisition related intangible amortization and unrealized foreign exchange gains/losses. We use Adjusted Net Income as a supplemental metric to evaluate our business performance in a way that also considers our ability to generate profit without the impact of certain items. In addition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7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7"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The table set forth below presents a reconciliation of net income to Adjusted EBITDA for the nine months ended September 30, 2018 and 2017 and the years ended December 31, 2017 and 2016:</w:t>
      </w:r>
    </w:p>
    <w:p>
      <w:pPr>
        <w:spacing w:after="0" w:line="7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5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4760" w:type="dxa"/>
            <w:vAlign w:val="bottom"/>
          </w:tcPr>
          <w:p>
            <w:pPr>
              <w:spacing w:after="0"/>
              <w:rPr>
                <w:sz w:val="16"/>
                <w:szCs w:val="16"/>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25"/>
        </w:trPr>
        <w:tc>
          <w:tcPr>
            <w:tcW w:w="4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76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4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$130,160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2"/>
                <w:szCs w:val="22"/>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29,535</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26,224</w:t>
            </w:r>
          </w:p>
        </w:tc>
      </w:tr>
      <w:tr>
        <w:trPr>
          <w:trHeight w:val="25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2"/>
                <w:szCs w:val="22"/>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48,808</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52,645</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r>
      <w:tr>
        <w:trPr>
          <w:trHeight w:val="25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22"/>
                <w:szCs w:val="22"/>
                <w:color w:val="auto"/>
              </w:rPr>
            </w:pPr>
          </w:p>
        </w:tc>
      </w:tr>
      <w:tr>
        <w:trPr>
          <w:trHeight w:val="263"/>
        </w:trPr>
        <w:tc>
          <w:tcPr>
            <w:tcW w:w="476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r>
      <w:tr>
        <w:trPr>
          <w:trHeight w:val="20"/>
        </w:trPr>
        <w:tc>
          <w:tcPr>
            <w:tcW w:w="47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215,012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162,546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215,863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202,086</w:t>
            </w:r>
          </w:p>
        </w:tc>
        <w:tc>
          <w:tcPr>
            <w:tcW w:w="60" w:type="dxa"/>
            <w:vAlign w:val="bottom"/>
          </w:tcPr>
          <w:p>
            <w:pPr>
              <w:spacing w:after="0"/>
              <w:rPr>
                <w:sz w:val="22"/>
                <w:szCs w:val="22"/>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-196850</wp:posOffset>
            </wp:positionV>
            <wp:extent cx="14605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41916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-1310640</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-1310640</wp:posOffset>
            </wp:positionV>
            <wp:extent cx="137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-1310640</wp:posOffset>
            </wp:positionV>
            <wp:extent cx="137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19" w:firstLine="360"/>
        <w:spacing w:after="0" w:line="342" w:lineRule="auto"/>
        <w:rPr>
          <w:sz w:val="20"/>
          <w:szCs w:val="20"/>
          <w:color w:val="auto"/>
        </w:rPr>
      </w:pPr>
      <w:r>
        <w:rPr>
          <w:rFonts w:ascii="Arial" w:cs="Arial" w:eastAsia="Arial" w:hAnsi="Arial"/>
          <w:sz w:val="16"/>
          <w:szCs w:val="16"/>
          <w:color w:val="auto"/>
        </w:rPr>
        <w:t>The table set forth below provides a reconciliation of net income to Adjusted Net Income for the nine months ended September 30, 2018 and 2017 and the years ended December 31, 2017 and 2016:</w:t>
      </w:r>
    </w:p>
    <w:p>
      <w:pPr>
        <w:spacing w:after="0" w:line="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5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Year Ended</w:t>
            </w:r>
          </w:p>
        </w:tc>
      </w:tr>
      <w:tr>
        <w:trPr>
          <w:trHeight w:val="186"/>
        </w:trPr>
        <w:tc>
          <w:tcPr>
            <w:tcW w:w="4760" w:type="dxa"/>
            <w:vAlign w:val="bottom"/>
          </w:tcPr>
          <w:p>
            <w:pPr>
              <w:spacing w:after="0"/>
              <w:rPr>
                <w:sz w:val="16"/>
                <w:szCs w:val="16"/>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5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476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r>
      <w:tr>
        <w:trPr>
          <w:trHeight w:val="26"/>
        </w:trPr>
        <w:tc>
          <w:tcPr>
            <w:tcW w:w="4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4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5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$130,160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29,535</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26,224</w:t>
            </w: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intangible amortization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19,576</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31,326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r>
      <w:tr>
        <w:trPr>
          <w:trHeight w:val="263"/>
        </w:trPr>
        <w:tc>
          <w:tcPr>
            <w:tcW w:w="476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0"/>
        </w:trPr>
        <w:tc>
          <w:tcPr>
            <w:tcW w:w="47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175,606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131,840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173,040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162,382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-196850</wp:posOffset>
            </wp:positionV>
            <wp:extent cx="14605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41916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-985520</wp:posOffset>
            </wp:positionV>
            <wp:extent cx="137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-985520</wp:posOffset>
            </wp:positionV>
            <wp:extent cx="137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-985520</wp:posOffset>
            </wp:positionV>
            <wp:extent cx="137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2017, we had the following contractual obligations: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Payments due by period</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3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r>
      <w:tr>
        <w:trPr>
          <w:trHeight w:val="197"/>
        </w:trPr>
        <w:tc>
          <w:tcPr>
            <w:tcW w:w="32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Less than 1 year</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1 to 3 years</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3 to 5 years</w:t>
            </w:r>
          </w:p>
        </w:tc>
        <w:tc>
          <w:tcPr>
            <w:tcW w:w="12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4"/>
              </w:rPr>
              <w:t>More than 5 years</w:t>
            </w:r>
          </w:p>
        </w:tc>
      </w:tr>
      <w:tr>
        <w:trPr>
          <w:trHeight w:val="26"/>
        </w:trPr>
        <w:tc>
          <w:tcPr>
            <w:tcW w:w="3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7"/>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$49,329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$9,179</w:t>
            </w:r>
          </w:p>
        </w:tc>
        <w:tc>
          <w:tcPr>
            <w:tcW w:w="10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$15,221</w:t>
            </w:r>
          </w:p>
        </w:tc>
        <w:tc>
          <w:tcPr>
            <w:tcW w:w="8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$9,359</w:t>
            </w:r>
          </w:p>
        </w:tc>
        <w:tc>
          <w:tcPr>
            <w:tcW w:w="9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9"/>
              </w:rPr>
              <w:t>$15,570</w:t>
            </w:r>
          </w:p>
        </w:tc>
        <w:tc>
          <w:tcPr>
            <w:tcW w:w="280" w:type="dxa"/>
            <w:vAlign w:val="bottom"/>
            <w:shd w:val="clear" w:color="auto" w:fill="CCEEFF"/>
          </w:tcPr>
          <w:p>
            <w:pPr>
              <w:spacing w:after="0"/>
              <w:rPr>
                <w:sz w:val="24"/>
                <w:szCs w:val="24"/>
                <w:color w:val="auto"/>
              </w:rPr>
            </w:pPr>
          </w:p>
        </w:tc>
      </w:tr>
      <w:tr>
        <w:trPr>
          <w:trHeight w:val="20"/>
        </w:trPr>
        <w:tc>
          <w:tcPr>
            <w:tcW w:w="3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49,329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9,179</w:t>
            </w:r>
          </w:p>
        </w:tc>
        <w:tc>
          <w:tcPr>
            <w:tcW w:w="102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15,221</w:t>
            </w:r>
          </w:p>
        </w:tc>
        <w:tc>
          <w:tcPr>
            <w:tcW w:w="82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9,359</w:t>
            </w:r>
          </w:p>
        </w:tc>
        <w:tc>
          <w:tcPr>
            <w:tcW w:w="960" w:type="dxa"/>
            <w:vAlign w:val="bottom"/>
            <w:gridSpan w:val="2"/>
          </w:tcPr>
          <w:p>
            <w:pPr>
              <w:jc w:val="center"/>
              <w:ind w:left="29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15,570</w:t>
            </w:r>
          </w:p>
        </w:tc>
        <w:tc>
          <w:tcPr>
            <w:tcW w:w="2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-505460</wp:posOffset>
            </wp:positionV>
            <wp:extent cx="1371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-505460</wp:posOffset>
            </wp:positionV>
            <wp:extent cx="1371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-505460</wp:posOffset>
            </wp:positionV>
            <wp:extent cx="13716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-505460</wp:posOffset>
            </wp:positionV>
            <wp:extent cx="137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 Minimum rent is expensed on a straight-line basis over the term of the lease.</w:t>
      </w:r>
    </w:p>
    <w:p>
      <w:pPr>
        <w:spacing w:after="0" w:line="76"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 as this would involve estimating future claims against the Company that have not yet occurred. However, based on our experience, we expect the risk of a material loss to be remote.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September 30, 2018, we did not have any off-balance sheet arrangements.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intangible assets, goodwill, software development costs, stock based compensation, contingent consideration payable and current and deferred income taxes.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fair value. Intangible assets are amortized over their estimated useful lives of three to sixteen years.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6"/>
          <w:szCs w:val="16"/>
          <w:color w:val="auto"/>
        </w:rPr>
        <w:t>Goodwill arises out of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reporting units that we have identified for goodwill impairment testing are Institutional, Wholesale and Retail.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Once the product is ready for its intended use, such costs are amortized on a straight-line basis over three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The stock-based compensation that our employees receive is accounted for as liability award.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6"/>
          <w:szCs w:val="16"/>
          <w:color w:val="auto"/>
        </w:rPr>
        <w:t>In October 2018, following the closing of the Refinitiv Transaction, we made a special award of options to management and other employees (the “Special Option Award”) under our Option Plan. In accounting for the options issued under this plan, we measure and recognize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our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additional paid-in capital. We expect the non-cash stock-based compensation expense associated with the Special Option Award to be between approximately $52.8 million and $56.5 million, which is expected to be expensed beginning in the first quarter of 2019 and continuing over the following three years. For more information, please see “Executive Compensation — Narrative Disclosure to Summary Compensation Table — Amended and Restated Tradeweb Markets Inc. 2018 Share Option Plan.”</w:t>
      </w:r>
    </w:p>
    <w:p>
      <w:pPr>
        <w:spacing w:after="0" w:line="7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are currently a multiple member limited liability company taxed as a partnership and accordingly we are not required to maintain an income tax provision on our earnings. Therefore, the remaining tax effects of our activities accrue directly to our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After the consummation of this offering, we will become subject to U.S. federal, state and local income taxes with respect to our allocable share of any taxable income of Tradeweb Markets LLC and will be taxed at prevailing corporate tax rates.</w:t>
      </w:r>
    </w:p>
    <w:p>
      <w:pPr>
        <w:spacing w:after="0" w:line="77" w:lineRule="exact"/>
        <w:rPr>
          <w:sz w:val="20"/>
          <w:szCs w:val="20"/>
          <w:color w:val="auto"/>
        </w:rPr>
      </w:pPr>
    </w:p>
    <w:p>
      <w:pPr>
        <w:ind w:left="1260" w:right="1039" w:firstLine="360"/>
        <w:spacing w:after="0" w:line="311" w:lineRule="auto"/>
        <w:rPr>
          <w:sz w:val="20"/>
          <w:szCs w:val="20"/>
          <w:color w:val="auto"/>
        </w:rPr>
      </w:pPr>
      <w:r>
        <w:rPr>
          <w:rFonts w:ascii="Arial" w:cs="Arial" w:eastAsia="Arial" w:hAnsi="Arial"/>
          <w:sz w:val="16"/>
          <w:szCs w:val="16"/>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27"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7"/>
          <w:szCs w:val="17"/>
          <w:color w:val="auto"/>
        </w:rPr>
        <w:t>The SEC issued Staff Accounting Bulletin (“SAB 118”) on December 22, 2017, which guides entities on how to account for tax effects resulting from the Tax Act. SAB 118 allows a period of measurement that should not exceed one year from the enactment date of the Tax Act for companies to comply with the accounting treatment under ASC 740. SAB 118 also provides guidance to the extent that measurement of the effects of the Tax Act is complete or if it can be reasonably estimated. For income tax effects that have been measured, registrants must reflect the income tax effects. If the tax effects of the Tax Act are reasonably estimable, registrants must record a provisional amount in the financial statements. If the income tax effects cannot be reasonably estimated, registrants should apply ASC 740 on the basis of the provision of the tax laws that were in effect immediately before the enactment of the Tax Act. We believe we are able to make reasonable estimates about the impact of the new taxation legislation. However, the final impact of the Tax Act may differ from these estimates, due to but not limited to, any additional guidance or legislation that may be issued and actions taken by the Company pursuant to the Tax Act.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4"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 in the earnings of the Company</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72" w:lineRule="auto"/>
        <w:rPr>
          <w:sz w:val="20"/>
          <w:szCs w:val="20"/>
          <w:color w:val="auto"/>
        </w:rPr>
      </w:pPr>
      <w:r>
        <w:rPr>
          <w:rFonts w:ascii="Arial" w:cs="Arial" w:eastAsia="Arial" w:hAnsi="Arial"/>
          <w:sz w:val="17"/>
          <w:szCs w:val="17"/>
          <w:color w:val="auto"/>
        </w:rPr>
        <w:t>together with the other Class A Shares, Class P(A) Shares, Class C Shares and Class P(C) Shares of the Company. Most of the holders of Class A shares have the right to appoint members to the board of managers of the Company. The Class P-1(A) Shares and Class P-1(C) Shares do not have any earnings participation rights, nor do any of the Class P-1(A) Shares have the right to appoint members to the board of managers, until they vest.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69" w:lineRule="exact"/>
        <w:rPr>
          <w:sz w:val="20"/>
          <w:szCs w:val="20"/>
          <w:color w:val="auto"/>
        </w:rPr>
      </w:pPr>
    </w:p>
    <w:p>
      <w:pPr>
        <w:ind w:left="1260" w:right="659" w:firstLine="360"/>
        <w:spacing w:after="0" w:line="290" w:lineRule="auto"/>
        <w:rPr>
          <w:sz w:val="20"/>
          <w:szCs w:val="20"/>
          <w:color w:val="auto"/>
        </w:rPr>
      </w:pPr>
      <w:r>
        <w:rPr>
          <w:rFonts w:ascii="Arial" w:cs="Arial" w:eastAsia="Arial" w:hAnsi="Arial"/>
          <w:sz w:val="16"/>
          <w:szCs w:val="16"/>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5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is included in employee equity compensation payable because the Class P-1(C) have been owned for less than six months by employees who have the ability to exercise a put option of those shares under certain conditions under their control.</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1179" w:firstLine="360"/>
        <w:spacing w:after="0" w:line="342" w:lineRule="auto"/>
        <w:rPr>
          <w:sz w:val="20"/>
          <w:szCs w:val="20"/>
          <w:color w:val="auto"/>
        </w:rPr>
      </w:pPr>
      <w:r>
        <w:rPr>
          <w:rFonts w:ascii="Arial" w:cs="Arial" w:eastAsia="Arial" w:hAnsi="Arial"/>
          <w:sz w:val="16"/>
          <w:szCs w:val="16"/>
          <w:color w:val="auto"/>
        </w:rPr>
        <w:t>See “Note 2 — Summary of Significant Accounting Policies” to our consolidated financial statements included elsewhere in this prospectus for a discussion of recent accounting pronouncements.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Inflation</w:t>
      </w:r>
    </w:p>
    <w:p>
      <w:pPr>
        <w:spacing w:after="0" w:line="108"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4"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6"/>
          <w:szCs w:val="16"/>
          <w:color w:val="auto"/>
        </w:rPr>
        <w:t>We have global operations and substantial portions of our revenues, expenses, assets and liabilities are generated and denominated in non-U.S. dollar currencies. During the nine months ended September 30, 2018 and the year ended December 31, 2017, approximately 28.6% and 24.7%, respectively, of our gross revenue and 17.0% and 15.6%, respectively, of our operating expenses were denominated in currencies other than the U.S.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dollar, almost entirely the Euro for gross revenue and the British pound sterling for operating expenses.</w:t>
      </w:r>
    </w:p>
    <w:p>
      <w:pPr>
        <w:spacing w:after="0" w:line="103"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96" w:lineRule="auto"/>
        <w:rPr>
          <w:sz w:val="20"/>
          <w:szCs w:val="20"/>
          <w:color w:val="auto"/>
        </w:rPr>
      </w:pPr>
      <w:r>
        <w:rPr>
          <w:rFonts w:ascii="Arial" w:cs="Arial" w:eastAsia="Arial" w:hAnsi="Arial"/>
          <w:sz w:val="16"/>
          <w:szCs w:val="16"/>
          <w:color w:val="auto"/>
        </w:rPr>
        <w:t>Fluctuations in foreign currency rates increased our gross revenue by approximately $9.6 million for the nine months ended September 30, 2018 and increased our operating income by approximately $11.2 million for the nine months ended September 30, 2018. Based on actual results for the nine months ended September 30, 2018, a hypothetical 10% increase or decrease in the U.S. dollar against all other currencies would have increased or decreased gross revenue by approximately $14.3 million and operating income by approximately $8.6 million.</w:t>
      </w:r>
    </w:p>
    <w:p>
      <w:pPr>
        <w:spacing w:after="0" w:line="53" w:lineRule="exact"/>
        <w:rPr>
          <w:sz w:val="20"/>
          <w:szCs w:val="20"/>
          <w:color w:val="auto"/>
        </w:rPr>
      </w:pPr>
    </w:p>
    <w:p>
      <w:pPr>
        <w:jc w:val="both"/>
        <w:ind w:left="1260" w:right="839" w:firstLine="360"/>
        <w:spacing w:after="0" w:line="287" w:lineRule="auto"/>
        <w:rPr>
          <w:sz w:val="20"/>
          <w:szCs w:val="20"/>
          <w:color w:val="auto"/>
        </w:rPr>
      </w:pPr>
      <w:r>
        <w:rPr>
          <w:rFonts w:ascii="Arial" w:cs="Arial" w:eastAsia="Arial" w:hAnsi="Arial"/>
          <w:sz w:val="16"/>
          <w:szCs w:val="16"/>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w:t>
      </w:r>
    </w:p>
    <w:p>
      <w:pPr>
        <w:spacing w:after="0" w:line="2" w:lineRule="exact"/>
        <w:rPr>
          <w:sz w:val="20"/>
          <w:szCs w:val="20"/>
          <w:color w:val="auto"/>
        </w:rPr>
      </w:pPr>
    </w:p>
    <w:p>
      <w:pPr>
        <w:ind w:left="1260" w:right="659"/>
        <w:spacing w:after="0" w:line="260" w:lineRule="auto"/>
        <w:rPr>
          <w:sz w:val="20"/>
          <w:szCs w:val="20"/>
          <w:color w:val="auto"/>
        </w:rPr>
      </w:pPr>
      <w:r>
        <w:rPr>
          <w:rFonts w:ascii="Arial" w:cs="Arial" w:eastAsia="Arial" w:hAnsi="Arial"/>
          <w:sz w:val="18"/>
          <w:szCs w:val="18"/>
          <w:color w:val="auto"/>
        </w:rPr>
        <w:t>As of September 30, 2018 and December 31, 2017, the notional amount of our foreign currency forward contracts was $11.5 million and $80.0 million, respectively.</w:t>
      </w:r>
    </w:p>
    <w:p>
      <w:pPr>
        <w:spacing w:after="0" w:line="77"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September 30, 2018 and December 31, 2017, we established an allowance for doubtful accounts of $1.1 million and $0.9 million, respectively, with regard to these receivables.</w:t>
      </w:r>
    </w:p>
    <w:p>
      <w:pPr>
        <w:spacing w:after="0" w:line="79"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08" w:lineRule="exact"/>
        <w:rPr>
          <w:sz w:val="20"/>
          <w:szCs w:val="20"/>
          <w:color w:val="auto"/>
        </w:rPr>
      </w:pPr>
    </w:p>
    <w:p>
      <w:pPr>
        <w:ind w:left="1260" w:right="699" w:firstLine="360"/>
        <w:spacing w:after="0" w:line="296"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controls over financial reporting. We will be required to comply with the management certification requirements of Section 404 in our annual report on Form 10-K for the year following our first annual report that is filed with the SEC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the first nine months of 2018 of over $530 billion across more than 40 products.</w:t>
      </w:r>
    </w:p>
    <w:p>
      <w:pPr>
        <w:spacing w:after="0" w:line="64"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82550</wp:posOffset>
            </wp:positionV>
            <wp:extent cx="3385820" cy="23488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8582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markets are large and growing. Electronic trading continues to develop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environments across multiple regions and regulatory regimes. As market participants seek to reduce their costs of trading and increase the effectiveness of their trading through the use of our data and analytics, we believe the demand for our platforms and electronic trading solutions will continue to grow.</w:t>
      </w:r>
    </w:p>
    <w:p>
      <w:pPr>
        <w:spacing w:after="0" w:line="70"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have a powerful network of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8"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This allows us to partner closely with our clients to develop customized solutions for their</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301" w:lineRule="auto"/>
        <w:rPr>
          <w:sz w:val="20"/>
          <w:szCs w:val="20"/>
          <w:color w:val="auto"/>
        </w:rPr>
      </w:pPr>
      <w:r>
        <w:rPr>
          <w:rFonts w:ascii="Arial" w:cs="Arial" w:eastAsia="Arial" w:hAnsi="Arial"/>
          <w:sz w:val="16"/>
          <w:szCs w:val="16"/>
          <w:color w:val="auto"/>
        </w:rPr>
        <w:t>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4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2017, we had annual compound average daily trading volume growth of 10.8% and annual compound gross revenue growth of 11.5%. Approximately 52% of our gross revenue for the year ended December 31, 2017 was fixed and generated from subscription fees and minimum volume floors. For the last twelve months ended September 30, 2018, respectively, our gross revenue was $649.2 million and $551.4 million, an increase of 17.7%, our net income was $137.7 million and $101.5 million, our Adjusted EBITDA was $263.8 million and $211.8 million, with an Adjusted EBITDA margin of 41.3% and 38.4%, and our Adjusted Net Income was $216.8 million and $175.7 million. For the definitions of Adjusted EBITDA, Adjusted EBITDA margin and Adjusted Net Income and reconciliations to net income, their most directly comparable financial measure presented in accordance with GAAP, see footnote 5 in “Prospectus Summary — Summary Historical and Pro Forma Consolidated Financial and Other Data.”</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60" w:right="65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certain equities. Client demand for better trading workflow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2005, where our first local product was Japanese government bonds. We have since continued to expand our product and client base in Europe and Asia.</w:t>
      </w:r>
    </w:p>
    <w:p>
      <w:pPr>
        <w:spacing w:after="0" w:line="58"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We identified an opportunity to expand our marketplaces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69"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 Quote (“RFQ”) protocol across the fixed income markets. We have also integrated our trading platforms with our proprietary post-trade systems as well as our clients’ systems for efficient post-trade processing. We expect to continue to leverage our success to expand into new products, asset classes and geographies, while growing our powerful network of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have continued to solve inefficiencies by adding new products across our rates, credit, money markets and equities asset classes, thereby increasing our opportunities in related addressable markets, where average daily trading volumes have grown from approximately $0.6 trillion in 1998 to $4.0 trillion through the first nine months of 2018, according to industry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50165</wp:posOffset>
            </wp:positionV>
            <wp:extent cx="5194935" cy="24174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77"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Based on industry sources, we estimate that the global notional value outstanding for rates and credit was approximately $524 trillion at the end of 2017.When combined with money markets and equities, the market size for our platforms increases to an estimated notional value of approximately $539 trillion. The markets in which we participate are actively traded, generating an estimated average daily trading volume of approximately $4.0 trillion through the first nine months of 2018. Major market participants include large, asset managers, hedge funds, central banks, banks and dealers, insurance companies, corporations, proprietary trading, brokerage and retail advisory firms, governments and retail investors.</w:t>
      </w:r>
    </w:p>
    <w:p>
      <w:pPr>
        <w:spacing w:after="0" w:line="42"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6"/>
          <w:szCs w:val="16"/>
          <w:color w:val="auto"/>
        </w:rPr>
        <w:t>Trading activity is influenced by, among other things, the amount of notional securities outstanding, new issuances, market volatility, regulation and economic factors such as growth and monetary policy. The</w:t>
      </w:r>
    </w:p>
    <w:p>
      <w:pPr>
        <w:ind w:left="1260" w:right="759"/>
        <w:spacing w:after="0" w:line="285" w:lineRule="auto"/>
        <w:rPr>
          <w:sz w:val="20"/>
          <w:szCs w:val="20"/>
          <w:color w:val="auto"/>
        </w:rPr>
      </w:pPr>
      <w:r>
        <w:rPr>
          <w:rFonts w:ascii="Arial" w:cs="Arial" w:eastAsia="Arial" w:hAnsi="Arial"/>
          <w:sz w:val="16"/>
          <w:szCs w:val="16"/>
          <w:color w:val="auto"/>
        </w:rPr>
        <w:t>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CFETS. The U.S. and European ETF markets have each grown annually at nearly 20% respectively since 2007 according to etfgi.com and Thomson Reuters. Continuing growth in these markets may be driven by increasing global trading volumes, resulting from increased economic activity, including growing international securities trading, new debt and equity issuances and continued economic growth. Additionally, after a period of historically low interest rates, trading volumes in our rates asset class may benefit from interest rates normalizing to higher levels as global central banks move toward monetary policy normalization. These markets have also migrated to electronic trading platforms at different adoption rates — some gradually over time (e.g., government bonds and credit bonds) and others on a more accelerated basis due to regulation (e.g., interest rate swaps).</w:t>
      </w:r>
    </w:p>
    <w:p>
      <w:pPr>
        <w:spacing w:after="0" w:line="53"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more global. Our platforms operate throughout the global 24-hour trading day as market participants have become increasingly global and comprehensive, trading across multiple geographies, asset classes and currencies.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77" w:lineRule="exact"/>
        <w:rPr>
          <w:sz w:val="20"/>
          <w:szCs w:val="20"/>
          <w:color w:val="auto"/>
        </w:rPr>
      </w:pPr>
    </w:p>
    <w:p>
      <w:pPr>
        <w:ind w:left="1260" w:right="879" w:firstLine="360"/>
        <w:spacing w:after="0" w:line="342" w:lineRule="auto"/>
        <w:rPr>
          <w:sz w:val="20"/>
          <w:szCs w:val="20"/>
          <w:color w:val="auto"/>
        </w:rPr>
      </w:pPr>
      <w:r>
        <w:rPr>
          <w:rFonts w:ascii="Arial" w:cs="Arial" w:eastAsia="Arial" w:hAnsi="Arial"/>
          <w:sz w:val="16"/>
          <w:szCs w:val="16"/>
          <w:color w:val="auto"/>
        </w:rPr>
        <w:t>Trading in fixed income and derivative markets historically was a highly manual process. Buyers lacked a centralized source of price discovery and automated post-trade processing solutions, and as a result, were</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4" w:lineRule="auto"/>
        <w:rPr>
          <w:sz w:val="20"/>
          <w:szCs w:val="20"/>
          <w:color w:val="auto"/>
        </w:rPr>
      </w:pPr>
      <w:r>
        <w:rPr>
          <w:rFonts w:ascii="Arial" w:cs="Arial" w:eastAsia="Arial" w:hAnsi="Arial"/>
          <w:sz w:val="18"/>
          <w:szCs w:val="18"/>
          <w:color w:val="auto"/>
        </w:rPr>
        <w:t>required to telephone multiple dealers to receive price quotes, compare quotes among multiple dealers, confirm orders via telephone and then engage in manual trade settlement via fax. The process was time-consuming and error-prone, leading to poor price transparency and execution quality, limited connectivity among market participants and high levels of operational risk. Even as other markets, such as the equity, FX and futures, markets transitioned to electronic processes, large components of the fixed income and derivative markets have been slower to migrate to electronic execution because of the diversity and heterogeneous nature of those instruments.</w:t>
      </w:r>
    </w:p>
    <w:p>
      <w:pPr>
        <w:spacing w:after="0" w:line="8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clients demand more efficient solutions to improve outcomes and reduce costs. Over the last 20 years, we have been a leader in the electronification of fixed income and other markets, using proprietary and innovative technologies and collaborating hand-in-hand with clients on product innovation. Electronification has made markets more efficient by improving price transparency and execution, while also reducing operational risk and allowing market participants to create organizational cost efficiencies, by reducing front office headcount and by eliminating manual errors.</w:t>
      </w:r>
    </w:p>
    <w:p>
      <w:pPr>
        <w:spacing w:after="0" w:line="84"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The process of market electronification is ongoing. Markets — even in asset classes we already offer — continue to have meaningful volumes traded manually, with liquidity-taking investors calling multiple dealers for quotes and engaging in manual post-trade processing. Our product innovation is driven by client demand for efficiencies in additional products and geographies, which, combined with our entrepreneurial culture and domain expertise, are expected to attract additional market participants to Tradeweb.</w:t>
      </w:r>
    </w:p>
    <w:p>
      <w:pPr>
        <w:spacing w:after="0" w:line="6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Act, Basel III and MiFID II, are to increase transparency and reduce systemic risk. These objectives have generally led to increased adoption of electronic trading on regulated markets where price transparency, counterparty credit checks, reporting and clearing are essential components. In addition, higher capital requirements have driven dealers to reduce the size of their balance sheets and utilize the distribution and scale provided by electronic trading venues.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protocols. These applications are supported by advancements in technology and the increased prevalence of electronic trading, both of which have made it easier to generate, capture, store and analyze data.</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liquidity-trading volumes growing together and re-enforcing each other. We expect our existing clients to trade more volume on our trading venues and to attract new users to our already powerful network, as liquidity on our marketplaces grows and we offer more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7"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For our institutional clients, which is our largest client sector, we estimate that we have the leading market position in four of our five largest products — U.S. Treasuries, TBA MBS, European government bonds, U.S.</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dollar-denominated interest rate swaps and euro-denominated interest rate swaps. We cover all major client sectors participating in electronic trading, including the institutional, wholesale and retail client sectors. We are a global business with users accessing our platforms and solutions in 62 countries, and in 2017, we generated 32% of our gross revenue from clients outside of the United States. We have built a business that is diverse across more than 40 products and provides the full spectrum of trading protocols from voice through RFQ to CLOB (central limit order book).</w:t>
      </w:r>
    </w:p>
    <w:p>
      <w:pPr>
        <w:spacing w:after="0" w:line="71"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6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bond trading for the institutional client sector.</w:t>
      </w:r>
    </w:p>
    <w:p>
      <w:pPr>
        <w:spacing w:after="0" w:line="66"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reduced the operational risk and costs associated with delivery failures that often plagued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and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63"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connectivity to pre-and post-trade systems necessary to comply with their regulatory obligations.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77" w:lineRule="exact"/>
        <w:rPr>
          <w:sz w:val="20"/>
          <w:szCs w:val="20"/>
          <w:color w:val="auto"/>
        </w:rPr>
      </w:pPr>
    </w:p>
    <w:p>
      <w:pPr>
        <w:ind w:left="1260" w:right="1359" w:firstLine="360"/>
        <w:spacing w:after="0" w:line="342" w:lineRule="auto"/>
        <w:rPr>
          <w:sz w:val="20"/>
          <w:szCs w:val="20"/>
          <w:color w:val="auto"/>
        </w:rPr>
      </w:pPr>
      <w:r>
        <w:rPr>
          <w:rFonts w:ascii="Arial" w:cs="Arial" w:eastAsia="Arial" w:hAnsi="Arial"/>
          <w:sz w:val="16"/>
          <w:szCs w:val="16"/>
          <w:color w:val="auto"/>
        </w:rPr>
        <w:t>Our data and analytics enhance the value proposition of our trading venues and improve the trading experience of our clients. We support our clients’ core trading functions by offering trusted pre- and</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post-trade services, value-added analytics and predictive insights informed by our deep understanding of how market participants interact. Our data and analytics help clients make better trading decisions, benefitting current market participants and attracting new ones to our financial ecosystem. For example, data powers our AiEX functionality which allows traders to execute their smaller, low touch trades more efficiently and to focus their attention on larger, more nuanced trades.</w:t>
      </w:r>
    </w:p>
    <w:p>
      <w:pPr>
        <w:spacing w:after="0" w:line="8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Our marketplaces generate valuable data, processing over 950 million pre-trade price updates daily, that we collect centrally and use as inputs to our pre-trade indicative pricing and analytics. We maintain a full history of inquiries and transactions, which means, for example, we have 20 years of U.S. Treasury data. We also will seek to further monetize our data both through potential expansion of our existing market data license agreement with Refinitiv and through distributing additional data sets and analytics offerings through our own network or through other third-party networks.</w:t>
      </w:r>
    </w:p>
    <w:p>
      <w:pPr>
        <w:spacing w:after="0" w:line="69" w:lineRule="exact"/>
        <w:rPr>
          <w:sz w:val="20"/>
          <w:szCs w:val="20"/>
          <w:color w:val="auto"/>
        </w:rPr>
      </w:pPr>
    </w:p>
    <w:p>
      <w:pPr>
        <w:ind w:left="1260" w:right="919" w:firstLine="360"/>
        <w:spacing w:after="0" w:line="296" w:lineRule="auto"/>
        <w:rPr>
          <w:sz w:val="20"/>
          <w:szCs w:val="20"/>
          <w:color w:val="auto"/>
        </w:rPr>
      </w:pPr>
      <w:r>
        <w:rPr>
          <w:rFonts w:ascii="Arial" w:cs="Arial" w:eastAsia="Arial" w:hAnsi="Arial"/>
          <w:sz w:val="16"/>
          <w:szCs w:val="16"/>
          <w:color w:val="auto"/>
        </w:rPr>
        <w:t>We are consistently developing new offerings and solutions to meet the changing needs of our clients and will benefit from helping them comply with new regulations. For example, in January 2018, we launched our APA reporting service in response to demand by our clients to satisfy new off-venue and OTC reporting requirements under MiFID II. We now operate one of the largest fixed income APA services with over 100 clients, including 20 leading global banks, and expect to expand our APA service in the coming years.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60" w:right="71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tailwinds in our existing markets: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jc w:val="both"/>
        <w:ind w:left="1260" w:right="699" w:firstLine="360"/>
        <w:spacing w:after="0" w:line="287"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higher market volatility and a rising interest rate environment. In addition, the government bond market is foundational to and correlative to virtually every asset class in the cash and derivatives fixed income markets.</w:t>
      </w:r>
    </w:p>
    <w:p>
      <w:pPr>
        <w:spacing w:after="0" w:line="2"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Based on industry sources,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include global government bonds, derivatives, ETFs and credit.</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Many of our asset manager, hedge fund, insurance, central bank/sovereign entity and regional dealer clients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We are well positioned to continue to innovate and provide better electronic markets that satisfy the needs of our clients.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80"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In addition, we believe our business model is well suited to serve clients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We believe we can continue to develop trading models in one product or asset class and deliver those models to other products or asset classes, irrespective of geography. For example, we are leveraging session-based trading technology in European credit bonds for session-based trading in U.S. credit bonds and Off-the-Run U.S. Treasury securities. We have significant scale and breadth across our platforms, which position us well to take advantage of favorable market dynamics.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7" w:lineRule="exact"/>
        <w:rPr>
          <w:sz w:val="20"/>
          <w:szCs w:val="20"/>
          <w:color w:val="auto"/>
        </w:rPr>
      </w:pPr>
    </w:p>
    <w:p>
      <w:pPr>
        <w:ind w:left="1260" w:right="1079" w:firstLine="360"/>
        <w:spacing w:after="0" w:line="311"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Client Sectors</w:t>
      </w:r>
    </w:p>
    <w:p>
      <w:pPr>
        <w:spacing w:after="0" w:line="10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have a powerful network of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our clients and have invested to integrate with their capital markets technology infrastructures. This has facilitated the collaborative approach we employ to solve our clients’ evolving workflow needs.</w:t>
      </w:r>
    </w:p>
    <w:p>
      <w:pPr>
        <w:spacing w:after="0" w:line="7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$530 billion in average daily trading volume for the first nine months of 2018 across more than 40 products, and we have multi-year agreements with many of our significant dealer clients.</w:t>
      </w:r>
    </w:p>
    <w:p>
      <w:pPr>
        <w:spacing w:after="0" w:line="79"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Many of our asset manager, hedge fund, insurance, central bank/sovereign entity and regional dealer clients actively trade multiple products on our platforms. For example, many of the commercial banks and dealers providing liquidity on Tradeweb Institutional are also active traders on Dealerweb, our wholesale platform, and provide odd-lot inventory for our retail client sector. We strengthen our growth opportunities by serving these client sectors in multiple asset classes through a variety of trading protocols. Our client sectors are interwoven and we are able to deliver the benefits of cross-marketplace network effects.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Institutional</w:t>
      </w:r>
    </w:p>
    <w:p>
      <w:pPr>
        <w:spacing w:after="0" w:line="10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more than 90% of the world’s largest 100 asset managers, 75% of the top 25 insurance companies and more than 50 central banks/sovereign entities with more than 140 dealers providing liquidity. Tradeweb Institutional offers trading in a wide variety of products, including U.S. Treasuries, European government bonds, TBA MBS, global interest rate swaps, global corporate bonds and ETFs.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We provide fully electronic, hybrid and voice trading for the wholesale community on our Dealerweb platform. Our clients include more than 300 dealers with more than 90 actively trading on our electronic and hybrid markets. Nearly all of our electronic and hybrid dealer clients also trade on the Tradeweb Institutional and Tradeweb Direct platforms. Dealerweb’s leading markets include TBA MBS, global credit, U.S. Treasuries, repurchase agreements and U.S. Dollar swaps. Our electronic trading protocols include central limit orderbook and session-based trading. We are well positioned to facilitate and capitalize on the continued transition of wholesale client trading from voice or hybrid trading to fully electronic trading. To that end, we have had over 20% growth in the number of dealers on our electronic markets since the first quarter of 2016.</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Retail</w:t>
      </w:r>
    </w:p>
    <w:p>
      <w:pPr>
        <w:spacing w:after="0" w:line="104"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54,000 financial advisors at more than 200 retail brokerage and advisory firms. In addition, certain Tradeweb Direct clients provide access to more than 64,000 retail clients through white-labeled, web-based front ends. Tradeweb Direct also provides access to its ATS to large and middle-market asset managers. Tradeweb Direct offers trading in a range of products, including U.S. corporate bonds, municipal bonds and certificates of deposit (CDs). Participants on Tradeweb Direct have the ability to connect to our marketplaces via workstations or APIs or through access to websites that are white-labeled for our clients.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Asset Classes and Products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offer efficient and transparent trading across a diverse range of asset classes:</w:t>
      </w:r>
    </w:p>
    <w:p>
      <w:pPr>
        <w:spacing w:after="0" w:line="181" w:lineRule="exact"/>
        <w:rPr>
          <w:sz w:val="20"/>
          <w:szCs w:val="20"/>
          <w:color w:val="auto"/>
        </w:rPr>
      </w:pPr>
    </w:p>
    <w:p>
      <w:pPr>
        <w:ind w:left="1980" w:right="719" w:hanging="352"/>
        <w:spacing w:after="0" w:line="266"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w:t>
      </w:r>
      <w:r>
        <w:rPr>
          <w:rFonts w:ascii="Arial" w:cs="Arial" w:eastAsia="Arial" w:hAnsi="Arial"/>
          <w:sz w:val="18"/>
          <w:szCs w:val="18"/>
          <w:b w:val="1"/>
          <w:bCs w:val="1"/>
          <w:color w:val="auto"/>
        </w:rPr>
        <w:t xml:space="preserve"> </w:t>
      </w:r>
      <w:r>
        <w:rPr>
          <w:rFonts w:ascii="Arial" w:cs="Arial" w:eastAsia="Arial" w:hAnsi="Arial"/>
          <w:sz w:val="18"/>
          <w:szCs w:val="18"/>
          <w:color w:val="auto"/>
        </w:rPr>
        <w:t>We facilitate trading in major government securities including U.S. Treasury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1980" w:right="879" w:hanging="352"/>
        <w:spacing w:after="0" w:line="266"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deep pools of liquidity for our clients in U.S. and European high grade and high</w:t>
      </w:r>
      <w:r>
        <w:rPr>
          <w:rFonts w:ascii="Arial" w:cs="Arial" w:eastAsia="Arial" w:hAnsi="Arial"/>
          <w:sz w:val="18"/>
          <w:szCs w:val="18"/>
          <w:b w:val="1"/>
          <w:bCs w:val="1"/>
          <w:color w:val="auto"/>
        </w:rPr>
        <w:t xml:space="preserve"> </w:t>
      </w:r>
      <w:r>
        <w:rPr>
          <w:rFonts w:ascii="Arial" w:cs="Arial" w:eastAsia="Arial" w:hAnsi="Arial"/>
          <w:sz w:val="18"/>
          <w:szCs w:val="18"/>
          <w:color w:val="auto"/>
        </w:rPr>
        <w:t>yield bonds, municipal bonds, index, single name and sovereign credit default swaps and other credit products.</w:t>
      </w:r>
    </w:p>
    <w:p>
      <w:pPr>
        <w:spacing w:after="0" w:line="135" w:lineRule="exact"/>
        <w:rPr>
          <w:rFonts w:ascii="Arial" w:cs="Arial" w:eastAsia="Arial" w:hAnsi="Arial"/>
          <w:sz w:val="18"/>
          <w:szCs w:val="18"/>
          <w:color w:val="auto"/>
        </w:rPr>
      </w:pPr>
    </w:p>
    <w:p>
      <w:pPr>
        <w:ind w:left="1980" w:right="1059" w:hanging="352"/>
        <w:spacing w:after="0" w:line="266"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broad range of money market products including commercial paper,</w:t>
      </w:r>
      <w:r>
        <w:rPr>
          <w:rFonts w:ascii="Arial" w:cs="Arial" w:eastAsia="Arial" w:hAnsi="Arial"/>
          <w:sz w:val="18"/>
          <w:szCs w:val="18"/>
          <w:b w:val="1"/>
          <w:bCs w:val="1"/>
          <w:color w:val="auto"/>
        </w:rPr>
        <w:t xml:space="preserve"> </w:t>
      </w:r>
      <w:r>
        <w:rPr>
          <w:rFonts w:ascii="Arial" w:cs="Arial" w:eastAsia="Arial" w:hAnsi="Arial"/>
          <w:sz w:val="18"/>
          <w:szCs w:val="18"/>
          <w:color w:val="auto"/>
        </w:rPr>
        <w:t>agency discount notes, repurchase agreements, certificates of deposit and treasury bills and other money markets products.</w:t>
      </w:r>
    </w:p>
    <w:p>
      <w:pPr>
        <w:spacing w:after="0" w:line="121" w:lineRule="exact"/>
        <w:rPr>
          <w:rFonts w:ascii="Arial" w:cs="Arial" w:eastAsia="Arial" w:hAnsi="Arial"/>
          <w:sz w:val="18"/>
          <w:szCs w:val="18"/>
          <w:color w:val="auto"/>
        </w:rPr>
      </w:pPr>
    </w:p>
    <w:p>
      <w:pPr>
        <w:ind w:left="1980" w:right="1139" w:hanging="352"/>
        <w:spacing w:after="0" w:line="282"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equity trading products include global ETFs, equity derivatives and other equities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71120</wp:posOffset>
            </wp:positionV>
            <wp:extent cx="5194935" cy="24257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9493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Geographies</w:t>
      </w:r>
    </w:p>
    <w:p>
      <w:pPr>
        <w:spacing w:after="0" w:line="10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have a global footprint, serving over 1,900 institutional liquidity-taking clients in 62 countries across the Americas, EMEA (Europe, Middle East and Africa) and APAC (Asia Pacific) regions and with offices in North America, Europe and Asia. By region:</w:t>
      </w:r>
    </w:p>
    <w:p>
      <w:pPr>
        <w:spacing w:after="0" w:line="143" w:lineRule="exact"/>
        <w:rPr>
          <w:sz w:val="20"/>
          <w:szCs w:val="20"/>
          <w:color w:val="auto"/>
        </w:rPr>
      </w:pPr>
    </w:p>
    <w:p>
      <w:pPr>
        <w:ind w:left="1980" w:right="799" w:hanging="352"/>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serve over 900 clients in the Americas, including 8 central banks / sovereign entities across North, Central and South America.</w:t>
      </w:r>
    </w:p>
    <w:p>
      <w:pPr>
        <w:spacing w:after="0" w:line="129"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serve over 700 clients in EMEA, including 42 central banks / sovereign entities across Europe, the Middle East and North Africa.</w:t>
      </w:r>
    </w:p>
    <w:p>
      <w:pPr>
        <w:spacing w:after="0" w:line="129"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serve nearly 300 clients in APAC, including 12 central banks / sovereign entities across Asia, the Pacific, Oceania and the Indian sub-continent.</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addition, we currently support trading across 22 currencies globally.</w:t>
      </w:r>
    </w:p>
    <w:p>
      <w:pPr>
        <w:spacing w:after="0" w:line="11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0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85" w:lineRule="exact"/>
        <w:rPr>
          <w:sz w:val="20"/>
          <w:szCs w:val="20"/>
          <w:color w:val="auto"/>
        </w:rPr>
      </w:pPr>
    </w:p>
    <w:p>
      <w:pPr>
        <w:ind w:left="1980" w:right="739" w:hanging="352"/>
        <w:spacing w:after="0" w:line="292" w:lineRule="auto"/>
        <w:tabs>
          <w:tab w:leader="none" w:pos="1980"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Pre-Trade Data and Analytics</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clients with accurate, real-time market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streaming price updates across more than 40 products. Major financial publications across the globe reference our market data. Our real-time market data services include major government bonds, corporate bonds, mortgage-backed securities, fixed income derivatives and money markets.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80" w:lineRule="exact"/>
        <w:rPr>
          <w:rFonts w:ascii="Arial" w:cs="Arial" w:eastAsia="Arial" w:hAnsi="Arial"/>
          <w:sz w:val="16"/>
          <w:szCs w:val="16"/>
          <w:color w:val="auto"/>
        </w:rPr>
      </w:pPr>
    </w:p>
    <w:p>
      <w:pPr>
        <w:ind w:left="1980" w:right="699" w:hanging="352"/>
        <w:spacing w:after="0" w:line="281"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Trade 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Trade execution is at the core of our business. We provide marketplaces and tools</w:t>
      </w:r>
      <w:r>
        <w:rPr>
          <w:rFonts w:ascii="Arial" w:cs="Arial" w:eastAsia="Arial" w:hAnsi="Arial"/>
          <w:sz w:val="17"/>
          <w:szCs w:val="17"/>
          <w:b w:val="1"/>
          <w:bCs w:val="1"/>
          <w:color w:val="auto"/>
        </w:rPr>
        <w:t xml:space="preserve"> </w:t>
      </w:r>
      <w:r>
        <w:rPr>
          <w:rFonts w:ascii="Arial" w:cs="Arial" w:eastAsia="Arial" w:hAnsi="Arial"/>
          <w:sz w:val="17"/>
          <w:szCs w:val="17"/>
          <w:color w:val="auto"/>
        </w:rPr>
        <w:t>that facilitate trading by our global clients and streamline their related workflow. Our market specialists and technology team work closely with our clients to continuously innovate and improve their trading practices. The trading protocols we currently offer on our platforms include:</w:t>
      </w:r>
    </w:p>
    <w:p>
      <w:pPr>
        <w:spacing w:after="0" w:line="87" w:lineRule="exact"/>
        <w:rPr>
          <w:rFonts w:ascii="Arial" w:cs="Arial" w:eastAsia="Arial" w:hAnsi="Arial"/>
          <w:sz w:val="17"/>
          <w:szCs w:val="17"/>
          <w:color w:val="auto"/>
        </w:rPr>
      </w:pPr>
    </w:p>
    <w:p>
      <w:pPr>
        <w:ind w:left="2340" w:right="759" w:hanging="352"/>
        <w:spacing w:after="0" w:line="293" w:lineRule="auto"/>
        <w:tabs>
          <w:tab w:leader="none" w:pos="2340" w:val="left"/>
        </w:tabs>
        <w:numPr>
          <w:ilvl w:val="1"/>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Request-for-quote</w:t>
      </w:r>
      <w:r>
        <w:rPr>
          <w:rFonts w:ascii="Arial" w:cs="Arial" w:eastAsia="Arial" w:hAnsi="Arial"/>
          <w:sz w:val="16"/>
          <w:szCs w:val="16"/>
          <w:i w:val="1"/>
          <w:iCs w:val="1"/>
          <w:color w:val="auto"/>
        </w:rPr>
        <w:t xml:space="preserve">. </w:t>
      </w:r>
      <w:r>
        <w:rPr>
          <w:rFonts w:ascii="Arial" w:cs="Arial" w:eastAsia="Arial" w:hAnsi="Arial"/>
          <w:sz w:val="16"/>
          <w:szCs w:val="16"/>
          <w:color w:val="auto"/>
        </w:rPr>
        <w:t>The multi-dealer request-for-quote, or RFQ, protocol provides institutional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with the ability to hold a real-time auction with multiple dealers and select the best price. RFQ was pioneered by Tradeweb in 1998 and has been deployed across all of our global interest rate markets, including government bonds, mortgage-backed securities and U.S. agencies. The RFQ is a fully-disclosed trading protocol — both buy-side and sell-side names are known prior to execution. Multi-dealer RFQ assists clients with achieving best execution.</w:t>
      </w:r>
    </w:p>
    <w:p>
      <w:pPr>
        <w:spacing w:after="0" w:line="83" w:lineRule="exact"/>
        <w:rPr>
          <w:rFonts w:ascii="Arial" w:cs="Arial" w:eastAsia="Arial" w:hAnsi="Arial"/>
          <w:sz w:val="16"/>
          <w:szCs w:val="16"/>
          <w:color w:val="auto"/>
        </w:rPr>
      </w:pPr>
    </w:p>
    <w:p>
      <w:pPr>
        <w:ind w:left="2340" w:right="699" w:hanging="352"/>
        <w:spacing w:after="0" w:line="296" w:lineRule="auto"/>
        <w:tabs>
          <w:tab w:leader="none" w:pos="2340" w:val="left"/>
        </w:tabs>
        <w:numPr>
          <w:ilvl w:val="1"/>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Request-for-market</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request-for-market, or RFM, protocol provides institutional clients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to request a two-sided market from a particular dealer. This mirrors the approach of a client calling a specific trader for market prices and rates before showing the direction they want to trade. The RFM has been effective in some of our newer markets, including credit default swap indices, where it is integrated with the RFQ and click-to-trade protocols on a single trading screen.</w:t>
      </w:r>
    </w:p>
    <w:p>
      <w:pPr>
        <w:spacing w:after="0" w:line="80" w:lineRule="exact"/>
        <w:rPr>
          <w:rFonts w:ascii="Arial" w:cs="Arial" w:eastAsia="Arial" w:hAnsi="Arial"/>
          <w:sz w:val="16"/>
          <w:szCs w:val="16"/>
          <w:color w:val="auto"/>
        </w:rPr>
      </w:pPr>
    </w:p>
    <w:p>
      <w:pPr>
        <w:ind w:left="2340" w:right="959" w:hanging="352"/>
        <w:spacing w:after="0" w:line="263" w:lineRule="auto"/>
        <w:tabs>
          <w:tab w:leader="none" w:pos="2340" w:val="left"/>
        </w:tabs>
        <w:numPr>
          <w:ilvl w:val="1"/>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request-for-stream, or RFS, protocol allows multiple dealers to show</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continuously updating rates, in line with market movements, during a client’s request window.</w:t>
      </w:r>
    </w:p>
    <w:p>
      <w:pPr>
        <w:spacing w:after="0" w:line="102" w:lineRule="exact"/>
        <w:rPr>
          <w:rFonts w:ascii="Arial" w:cs="Arial" w:eastAsia="Arial" w:hAnsi="Arial"/>
          <w:sz w:val="18"/>
          <w:szCs w:val="18"/>
          <w:color w:val="auto"/>
        </w:rPr>
      </w:pPr>
    </w:p>
    <w:p>
      <w:pPr>
        <w:ind w:left="2340" w:right="679" w:hanging="352"/>
        <w:spacing w:after="0" w:line="259" w:lineRule="auto"/>
        <w:tabs>
          <w:tab w:leader="none" w:pos="2340" w:val="left"/>
        </w:tabs>
        <w:numPr>
          <w:ilvl w:val="1"/>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List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clients with multiple transactions to complete list trading is a highly</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05" w:lineRule="exact"/>
        <w:rPr>
          <w:rFonts w:ascii="Arial" w:cs="Arial" w:eastAsia="Arial" w:hAnsi="Arial"/>
          <w:sz w:val="18"/>
          <w:szCs w:val="18"/>
          <w:color w:val="auto"/>
        </w:rPr>
      </w:pPr>
    </w:p>
    <w:p>
      <w:pPr>
        <w:ind w:left="2340" w:right="719" w:hanging="352"/>
        <w:spacing w:after="0" w:line="254" w:lineRule="auto"/>
        <w:tabs>
          <w:tab w:leader="none" w:pos="2340" w:val="left"/>
        </w:tabs>
        <w:numPr>
          <w:ilvl w:val="1"/>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Compression</w:t>
      </w:r>
      <w:r>
        <w:rPr>
          <w:rFonts w:ascii="Arial" w:cs="Arial" w:eastAsia="Arial" w:hAnsi="Arial"/>
          <w:sz w:val="18"/>
          <w:szCs w:val="18"/>
          <w:color w:val="auto"/>
        </w:rPr>
        <w:t>. Clients utilize the interest rate swap compression tool as an efficient means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number of line items they have outstanding at a clearinghouse by netting offsetting positions in a single transaction. This functionality allows clients to submit up to 250 line 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13" w:lineRule="exact"/>
        <w:rPr>
          <w:rFonts w:ascii="Arial" w:cs="Arial" w:eastAsia="Arial" w:hAnsi="Arial"/>
          <w:sz w:val="18"/>
          <w:szCs w:val="18"/>
          <w:color w:val="auto"/>
        </w:rPr>
      </w:pPr>
    </w:p>
    <w:p>
      <w:pPr>
        <w:ind w:left="2340" w:right="819" w:hanging="352"/>
        <w:spacing w:after="0" w:line="291" w:lineRule="auto"/>
        <w:tabs>
          <w:tab w:leader="none" w:pos="2340" w:val="left"/>
        </w:tabs>
        <w:numPr>
          <w:ilvl w:val="1"/>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Blast all-to-all</w:t>
      </w:r>
      <w:r>
        <w:rPr>
          <w:rFonts w:ascii="Arial" w:cs="Arial" w:eastAsia="Arial" w:hAnsi="Arial"/>
          <w:sz w:val="16"/>
          <w:szCs w:val="16"/>
          <w:i w:val="1"/>
          <w:iCs w:val="1"/>
          <w:color w:val="auto"/>
        </w:rPr>
        <w:t xml:space="preserve">. </w:t>
      </w:r>
      <w:r>
        <w:rPr>
          <w:rFonts w:ascii="Arial" w:cs="Arial" w:eastAsia="Arial" w:hAnsi="Arial"/>
          <w:sz w:val="16"/>
          <w:szCs w:val="16"/>
          <w:color w:val="auto"/>
        </w:rPr>
        <w:t>The Blast all-to-all, or A2A, protocol allows clients to send RFQ trade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market participants in a given market and receive responses for executions. Trades are exposed to all liquidity providers simultaneously to broaden their liquidity sources. Blast A2A is currently used by our institutional clients in our global credit marketplaces.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40" w:right="739" w:hanging="352"/>
        <w:spacing w:after="0" w:line="259" w:lineRule="auto"/>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The click-to-trade, or CTT, protocol enables a liquidity-taking client to view a set</w:t>
      </w:r>
      <w:r>
        <w:rPr>
          <w:rFonts w:ascii="Arial" w:cs="Arial" w:eastAsia="Arial" w:hAnsi="Arial"/>
          <w:sz w:val="18"/>
          <w:szCs w:val="18"/>
          <w:i w:val="1"/>
          <w:iCs w:val="1"/>
          <w:color w:val="auto"/>
        </w:rPr>
        <w:t xml:space="preserve"> </w:t>
      </w:r>
      <w:r>
        <w:rPr>
          <w:rFonts w:ascii="Arial" w:cs="Arial" w:eastAsia="Arial" w:hAnsi="Arial"/>
          <w:sz w:val="18"/>
          <w:szCs w:val="18"/>
          <w:color w:val="auto"/>
        </w:rPr>
        <w:t>of prices in real-time and click on the price and the dealer with whom they wish to execute. This trading protocol is especially popular with clients that are looking to view a range of executable, real-time prices across dealers.</w:t>
      </w:r>
    </w:p>
    <w:p>
      <w:pPr>
        <w:spacing w:after="0" w:line="78" w:lineRule="exact"/>
        <w:rPr>
          <w:rFonts w:ascii="Arial" w:cs="Arial" w:eastAsia="Arial" w:hAnsi="Arial"/>
          <w:sz w:val="18"/>
          <w:szCs w:val="18"/>
          <w:color w:val="auto"/>
        </w:rPr>
      </w:pPr>
    </w:p>
    <w:p>
      <w:pPr>
        <w:ind w:left="2340" w:right="759" w:hanging="352"/>
        <w:spacing w:after="0" w:line="279" w:lineRule="auto"/>
        <w:tabs>
          <w:tab w:leader="none" w:pos="2340" w:val="left"/>
        </w:tabs>
        <w:numPr>
          <w:ilvl w:val="0"/>
          <w:numId w:val="80"/>
        </w:numPr>
        <w:rPr>
          <w:rFonts w:ascii="Arial" w:cs="Arial" w:eastAsia="Arial" w:hAnsi="Arial"/>
          <w:sz w:val="17"/>
          <w:szCs w:val="17"/>
          <w:color w:val="auto"/>
        </w:rPr>
      </w:pPr>
      <w:r>
        <w:rPr>
          <w:rFonts w:ascii="Arial" w:cs="Arial" w:eastAsia="Arial" w:hAnsi="Arial"/>
          <w:sz w:val="17"/>
          <w:szCs w:val="17"/>
          <w:i w:val="1"/>
          <w:iCs w:val="1"/>
          <w:u w:val="single" w:color="auto"/>
          <w:color w:val="auto"/>
        </w:rPr>
        <w:t>Session-based</w:t>
      </w:r>
      <w:r>
        <w:rPr>
          <w:rFonts w:ascii="Arial" w:cs="Arial" w:eastAsia="Arial" w:hAnsi="Arial"/>
          <w:sz w:val="17"/>
          <w:szCs w:val="17"/>
          <w:color w:val="auto"/>
        </w:rPr>
        <w:t>. The Sweep session-based protocol allows clients to enter orders to be matched</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opposite orders at a specified time and price, concentrating market liquidity to a particular point in time. This protocol leverages our broker relationships, technology, pricing from institutional and retail markets and the overall Tradeweb financial ecosystem.</w:t>
      </w:r>
    </w:p>
    <w:p>
      <w:pPr>
        <w:spacing w:after="0" w:line="76" w:lineRule="exact"/>
        <w:rPr>
          <w:rFonts w:ascii="Arial" w:cs="Arial" w:eastAsia="Arial" w:hAnsi="Arial"/>
          <w:sz w:val="17"/>
          <w:szCs w:val="17"/>
          <w:color w:val="auto"/>
        </w:rPr>
      </w:pPr>
    </w:p>
    <w:p>
      <w:pPr>
        <w:ind w:left="2340" w:right="739" w:hanging="352"/>
        <w:spacing w:after="0" w:line="259" w:lineRule="auto"/>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The central limit order book, or CLOB, is a continuous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that allows clients to trade on firm bids and offers from other market participants, as well as enter their own resting bids and offers for display to the market participants, typically anonymously.</w:t>
      </w:r>
    </w:p>
    <w:p>
      <w:pPr>
        <w:spacing w:after="0" w:line="92" w:lineRule="exact"/>
        <w:rPr>
          <w:rFonts w:ascii="Arial" w:cs="Arial" w:eastAsia="Arial" w:hAnsi="Arial"/>
          <w:sz w:val="18"/>
          <w:szCs w:val="18"/>
          <w:color w:val="auto"/>
        </w:rPr>
      </w:pPr>
    </w:p>
    <w:p>
      <w:pPr>
        <w:ind w:left="2340" w:right="779" w:hanging="352"/>
        <w:spacing w:after="0" w:line="273" w:lineRule="auto"/>
        <w:tabs>
          <w:tab w:leader="none" w:pos="2340" w:val="left"/>
        </w:tabs>
        <w:numPr>
          <w:ilvl w:val="0"/>
          <w:numId w:val="80"/>
        </w:numPr>
        <w:rPr>
          <w:rFonts w:ascii="Arial" w:cs="Arial" w:eastAsia="Arial" w:hAnsi="Arial"/>
          <w:sz w:val="17"/>
          <w:szCs w:val="17"/>
          <w:color w:val="auto"/>
        </w:rPr>
      </w:pPr>
      <w:r>
        <w:rPr>
          <w:rFonts w:ascii="Arial" w:cs="Arial" w:eastAsia="Arial" w:hAnsi="Arial"/>
          <w:sz w:val="17"/>
          <w:szCs w:val="17"/>
          <w:i w:val="1"/>
          <w:iCs w:val="1"/>
          <w:u w:val="single" w:color="auto"/>
          <w:color w:val="auto"/>
        </w:rPr>
        <w:t>Directed streams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directed streams protocol, which is currently used by our wholesale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83" w:lineRule="exact"/>
        <w:rPr>
          <w:rFonts w:ascii="Arial" w:cs="Arial" w:eastAsia="Arial" w:hAnsi="Arial"/>
          <w:sz w:val="17"/>
          <w:szCs w:val="17"/>
          <w:color w:val="auto"/>
        </w:rPr>
      </w:pPr>
    </w:p>
    <w:p>
      <w:pPr>
        <w:ind w:left="2340" w:right="899" w:hanging="352"/>
        <w:spacing w:after="0" w:line="296" w:lineRule="auto"/>
        <w:tabs>
          <w:tab w:leader="none" w:pos="2340" w:val="left"/>
        </w:tabs>
        <w:numPr>
          <w:ilvl w:val="0"/>
          <w:numId w:val="80"/>
        </w:numPr>
        <w:rPr>
          <w:rFonts w:ascii="Arial" w:cs="Arial" w:eastAsia="Arial" w:hAnsi="Arial"/>
          <w:sz w:val="16"/>
          <w:szCs w:val="16"/>
          <w:color w:val="auto"/>
        </w:rPr>
      </w:pPr>
      <w:r>
        <w:rPr>
          <w:rFonts w:ascii="Arial" w:cs="Arial" w:eastAsia="Arial" w:hAnsi="Arial"/>
          <w:sz w:val="16"/>
          <w:szCs w:val="16"/>
          <w:i w:val="1"/>
          <w:iCs w:val="1"/>
          <w:u w:val="single" w:color="auto"/>
          <w:color w:val="auto"/>
        </w:rPr>
        <w:t>Inventory-based</w:t>
      </w:r>
      <w:r>
        <w:rPr>
          <w:rFonts w:ascii="Arial" w:cs="Arial" w:eastAsia="Arial" w:hAnsi="Arial"/>
          <w:sz w:val="16"/>
          <w:szCs w:val="16"/>
          <w:i w:val="1"/>
          <w:iCs w:val="1"/>
          <w:color w:val="auto"/>
        </w:rPr>
        <w:t xml:space="preserve">. </w:t>
      </w:r>
      <w:r>
        <w:rPr>
          <w:rFonts w:ascii="Arial" w:cs="Arial" w:eastAsia="Arial" w:hAnsi="Arial"/>
          <w:sz w:val="16"/>
          <w:szCs w:val="16"/>
          <w:color w:val="auto"/>
        </w:rPr>
        <w:t>The inventory-based protocol allows liquidity-providing clients to submit a</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bids 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our credit and some money marketplaces.</w:t>
      </w:r>
    </w:p>
    <w:p>
      <w:pPr>
        <w:spacing w:after="0" w:line="66" w:lineRule="exact"/>
        <w:rPr>
          <w:rFonts w:ascii="Arial" w:cs="Arial" w:eastAsia="Arial" w:hAnsi="Arial"/>
          <w:sz w:val="16"/>
          <w:szCs w:val="16"/>
          <w:color w:val="auto"/>
        </w:rPr>
      </w:pPr>
    </w:p>
    <w:p>
      <w:pPr>
        <w:ind w:left="2340" w:right="919" w:hanging="352"/>
        <w:spacing w:after="0" w:line="263" w:lineRule="auto"/>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products still trade by voice intermediation in the wholesale markets. Our voice</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provide anonymity and insight for sell side traders and give us valuable high- touch relationships and market understanding and access.</w:t>
      </w:r>
    </w:p>
    <w:p>
      <w:pPr>
        <w:spacing w:after="0" w:line="76" w:lineRule="exact"/>
        <w:rPr>
          <w:sz w:val="20"/>
          <w:szCs w:val="20"/>
          <w:color w:val="auto"/>
        </w:rPr>
      </w:pPr>
    </w:p>
    <w:p>
      <w:pPr>
        <w:ind w:left="1980" w:right="819"/>
        <w:spacing w:after="0" w:line="272" w:lineRule="auto"/>
        <w:rPr>
          <w:sz w:val="20"/>
          <w:szCs w:val="20"/>
          <w:color w:val="auto"/>
        </w:rPr>
      </w:pPr>
      <w:r>
        <w:rPr>
          <w:rFonts w:ascii="Arial" w:cs="Arial" w:eastAsia="Arial" w:hAnsi="Arial"/>
          <w:sz w:val="17"/>
          <w:szCs w:val="17"/>
          <w:color w:val="auto"/>
        </w:rPr>
        <w:t>Tradeweb Automated Intelligent Execution is an innovative automated trading technology that allows clients to execute large volumes of trade tickets at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79" w:lineRule="exact"/>
        <w:rPr>
          <w:sz w:val="20"/>
          <w:szCs w:val="20"/>
          <w:color w:val="auto"/>
        </w:rPr>
      </w:pPr>
    </w:p>
    <w:p>
      <w:pPr>
        <w:ind w:left="1980" w:right="699" w:hanging="352"/>
        <w:spacing w:after="0" w:line="289" w:lineRule="auto"/>
        <w:tabs>
          <w:tab w:leader="none" w:pos="1980"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Our trade processing technology allows our clients to increase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reduce risk and improve overall performance. Our post-trade solutions allow clients to allocate their trades electronically, including storing and communicating organizational and sub-account settlement, identity and confirmation preference information for processing trades. Our post-trade solutions also make it easier for clients to allocate electronic or phone-executed trades and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achieve direct server-to-server connections. By eliminating manual re-entry of trade and allocation information, our solutions assist clients in reducing failed trades and saving time, effort and money.</w:t>
      </w:r>
    </w:p>
    <w:p>
      <w:pPr>
        <w:spacing w:after="0" w:line="66" w:lineRule="exact"/>
        <w:rPr>
          <w:rFonts w:ascii="Arial" w:cs="Arial" w:eastAsia="Arial" w:hAnsi="Arial"/>
          <w:sz w:val="16"/>
          <w:szCs w:val="16"/>
          <w:color w:val="auto"/>
        </w:rPr>
      </w:pPr>
    </w:p>
    <w:p>
      <w:pPr>
        <w:ind w:left="1980" w:right="679" w:hanging="352"/>
        <w:spacing w:after="0" w:line="274" w:lineRule="auto"/>
        <w:tabs>
          <w:tab w:leader="none" w:pos="1980"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Post-Trade Data, Analytics and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comprehensive post-trade services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cost 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19"/>
        <w:spacing w:after="0" w:line="257" w:lineRule="auto"/>
        <w:rPr>
          <w:sz w:val="20"/>
          <w:szCs w:val="20"/>
          <w:color w:val="auto"/>
        </w:rPr>
      </w:pPr>
      <w:r>
        <w:rPr>
          <w:rFonts w:ascii="Arial" w:cs="Arial" w:eastAsia="Arial" w:hAnsi="Arial"/>
          <w:sz w:val="18"/>
          <w:szCs w:val="18"/>
          <w:color w:val="auto"/>
        </w:rPr>
        <w:t>comparisons. In response to MiFID II, we also launched an APA reporting service to allow clients to meet post-trade transparency requirements for off-venue or OTC trading activity. Our APA service provides regulatory pre-trade and post-trade reporting across all asset classes, including those not offered Tradeweb. The APA service also provides venue reporting for clients for Refinitiv’s FX trading venues and Forte Securities.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Alliances</w:t>
      </w:r>
    </w:p>
    <w:p>
      <w:pPr>
        <w:spacing w:after="0" w:line="10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left="1260" w:right="719" w:firstLine="360"/>
        <w:spacing w:after="0" w:line="288" w:lineRule="auto"/>
        <w:rPr>
          <w:sz w:val="20"/>
          <w:szCs w:val="20"/>
          <w:color w:val="auto"/>
        </w:rPr>
      </w:pPr>
      <w:r>
        <w:rPr>
          <w:rFonts w:ascii="Arial" w:cs="Arial" w:eastAsia="Arial" w:hAnsi="Arial"/>
          <w:sz w:val="16"/>
          <w:szCs w:val="16"/>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for educating clients more broadly on the benefits of electronic trading, including how to optimize their trading performance and efficiency through our various trading protocols.</w:t>
      </w:r>
    </w:p>
    <w:p>
      <w:pPr>
        <w:spacing w:after="0" w:line="6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87"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our public website, advertising, digital and social media, earned media, direct marketing, promotional mailings, industry conferences and hosted events.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markets for our solutions continue to evolve and are competitive in the asset classes and geographies in which we operate. We compete with a broad range of market participants globally. Some of these market participants can compete in a particular market, while select others compete against the entire spectrum of our offerings and solutions. In addition, there are other companies that have the platform breadth and global reach that we provide. We believe that our comprehensive offerings, global reach and broad network increasingly differentiate us from other market participants.</w:t>
      </w:r>
    </w:p>
    <w:p>
      <w:pPr>
        <w:spacing w:after="0" w:line="84"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We primarily compete on the basis of our expansive client network, domain expertise, breadth of offerings and solutions and ease of integration of our platforms with our client’s technology, as well as the reliablity, security and ease of our platforms and solutions. We face six main areas of competition:</w:t>
      </w:r>
    </w:p>
    <w:p>
      <w:pPr>
        <w:spacing w:after="0" w:line="134" w:lineRule="exact"/>
        <w:rPr>
          <w:sz w:val="20"/>
          <w:szCs w:val="20"/>
          <w:color w:val="auto"/>
        </w:rPr>
      </w:pPr>
    </w:p>
    <w:p>
      <w:pPr>
        <w:ind w:left="1980" w:right="779" w:hanging="352"/>
        <w:spacing w:after="0" w:line="281" w:lineRule="auto"/>
        <w:tabs>
          <w:tab w:leader="none" w:pos="1980" w:val="left"/>
        </w:tabs>
        <w:numPr>
          <w:ilvl w:val="0"/>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electronic trading platforms</w:t>
      </w:r>
      <w:r>
        <w:rPr>
          <w:rFonts w:ascii="Arial" w:cs="Arial" w:eastAsia="Arial" w:hAnsi="Arial"/>
          <w:sz w:val="17"/>
          <w:szCs w:val="17"/>
          <w:b w:val="1"/>
          <w:bCs w:val="1"/>
          <w:color w:val="auto"/>
        </w:rPr>
        <w:t xml:space="preserve">: </w:t>
      </w:r>
      <w:r>
        <w:rPr>
          <w:rFonts w:ascii="Arial" w:cs="Arial" w:eastAsia="Arial" w:hAnsi="Arial"/>
          <w:sz w:val="17"/>
          <w:szCs w:val="17"/>
          <w:color w:val="auto"/>
        </w:rPr>
        <w:t>We compete with a number of other electronic trading venues.</w:t>
      </w:r>
      <w:r>
        <w:rPr>
          <w:rFonts w:ascii="Arial" w:cs="Arial" w:eastAsia="Arial" w:hAnsi="Arial"/>
          <w:sz w:val="17"/>
          <w:szCs w:val="17"/>
          <w:b w:val="1"/>
          <w:bCs w:val="1"/>
          <w:color w:val="auto"/>
        </w:rPr>
        <w:t xml:space="preserve"> </w:t>
      </w:r>
      <w:r>
        <w:rPr>
          <w:rFonts w:ascii="Arial" w:cs="Arial" w:eastAsia="Arial" w:hAnsi="Arial"/>
          <w:sz w:val="17"/>
          <w:szCs w:val="17"/>
          <w:color w:val="auto"/>
        </w:rPr>
        <w:t>These include MarketAxess, Bloomberg, London Stock Exchange Group (“LSEG”) (MTS BondsPro), ICE (Bondpoint, TMC Bonds, Creditex) and others in the credit and municipal markets; Bloomberg, LSEG (MTS BondVision), Nasdaq (Nasdaq Fixed Income), CME Group</w:t>
      </w: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8"/>
          <w:szCs w:val="18"/>
          <w:color w:val="auto"/>
        </w:rPr>
        <w:t>(NEX Group) and others in the rates and derivatives markets; and ITG (RFQ-hub) and Bloomberg in the equities and ETF markets. Additionally, new platform providers have entered the market, such as Trumid, trueEX, LiquidityEdge and Liquidnet.</w:t>
      </w:r>
    </w:p>
    <w:p>
      <w:pPr>
        <w:spacing w:after="0" w:line="72" w:lineRule="exact"/>
        <w:rPr>
          <w:sz w:val="20"/>
          <w:szCs w:val="20"/>
          <w:color w:val="auto"/>
        </w:rPr>
      </w:pPr>
    </w:p>
    <w:p>
      <w:pPr>
        <w:ind w:left="1980" w:right="699" w:hanging="352"/>
        <w:spacing w:after="0" w:line="274"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b w:val="1"/>
          <w:bCs w:val="1"/>
          <w:u w:val="single" w:color="auto"/>
          <w:color w:val="auto"/>
        </w:rPr>
        <w:t>Exchanges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recent years, exchanges have pursued acquisitions that have put them in 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Tradeweb. For example, ICE recently acquired BondPoint and TMC Bonds, retail-focused platforms, and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65" w:lineRule="exact"/>
        <w:rPr>
          <w:rFonts w:ascii="Arial" w:cs="Arial" w:eastAsia="Arial" w:hAnsi="Arial"/>
          <w:sz w:val="17"/>
          <w:szCs w:val="17"/>
          <w:color w:val="auto"/>
        </w:rPr>
      </w:pPr>
    </w:p>
    <w:p>
      <w:pPr>
        <w:ind w:left="1980" w:right="759" w:hanging="352"/>
        <w:spacing w:after="0" w:line="298" w:lineRule="auto"/>
        <w:tabs>
          <w:tab w:leader="none" w:pos="1980" w:val="left"/>
        </w:tabs>
        <w:numPr>
          <w:ilvl w:val="0"/>
          <w:numId w:val="83"/>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Inter-dealer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We compete with inter-dealer brokers, particularly in wholesale markets in</w:t>
      </w:r>
      <w:r>
        <w:rPr>
          <w:rFonts w:ascii="Arial" w:cs="Arial" w:eastAsia="Arial" w:hAnsi="Arial"/>
          <w:sz w:val="16"/>
          <w:szCs w:val="16"/>
          <w:b w:val="1"/>
          <w:bCs w:val="1"/>
          <w:color w:val="auto"/>
        </w:rPr>
        <w:t xml:space="preserve"> </w:t>
      </w:r>
      <w:r>
        <w:rPr>
          <w:rFonts w:ascii="Arial" w:cs="Arial" w:eastAsia="Arial" w:hAnsi="Arial"/>
          <w:sz w:val="16"/>
          <w:szCs w:val="16"/>
          <w:color w:val="auto"/>
        </w:rPr>
        <w:t>asset classes such as MBS, U.S. Treasuries, U.S. repo and products traded on SEFs. Major competitors include TP ICAP, BGC Partners and Tradition. Many of these firms offer voice, electronic and hybrid trading protocols. As larger, full service inter-dealer brokers have consolidated, numerous boutique firms and alternative electronic start-ups are attempting to capture select markets.</w:t>
      </w:r>
    </w:p>
    <w:p>
      <w:pPr>
        <w:spacing w:after="0" w:line="45" w:lineRule="exact"/>
        <w:rPr>
          <w:rFonts w:ascii="Arial" w:cs="Arial" w:eastAsia="Arial" w:hAnsi="Arial"/>
          <w:sz w:val="16"/>
          <w:szCs w:val="16"/>
          <w:color w:val="auto"/>
        </w:rPr>
      </w:pPr>
    </w:p>
    <w:p>
      <w:pPr>
        <w:ind w:left="1980" w:right="739" w:hanging="352"/>
        <w:spacing w:after="0" w:line="261"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Major global and regional investment and commercial banks offer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electronic trade execution through proprietary trading systems. Many of these banks expend considerable resources on product development, sales and support to promote their single-bank systems.</w:t>
      </w:r>
    </w:p>
    <w:p>
      <w:pPr>
        <w:spacing w:after="0" w:line="71" w:lineRule="exact"/>
        <w:rPr>
          <w:rFonts w:ascii="Arial" w:cs="Arial" w:eastAsia="Arial" w:hAnsi="Arial"/>
          <w:sz w:val="18"/>
          <w:szCs w:val="18"/>
          <w:color w:val="auto"/>
        </w:rPr>
      </w:pPr>
    </w:p>
    <w:p>
      <w:pPr>
        <w:ind w:left="1980" w:right="719" w:hanging="352"/>
        <w:spacing w:after="0" w:line="303" w:lineRule="auto"/>
        <w:tabs>
          <w:tab w:leader="none" w:pos="1980" w:val="left"/>
        </w:tabs>
        <w:numPr>
          <w:ilvl w:val="0"/>
          <w:numId w:val="83"/>
        </w:numPr>
        <w:rPr>
          <w:rFonts w:ascii="Arial" w:cs="Arial" w:eastAsia="Arial" w:hAnsi="Arial"/>
          <w:sz w:val="16"/>
          <w:szCs w:val="16"/>
          <w:color w:val="auto"/>
        </w:rPr>
      </w:pPr>
      <w:r>
        <w:rPr>
          <w:rFonts w:ascii="Arial" w:cs="Arial" w:eastAsia="Arial" w:hAnsi="Arial"/>
          <w:sz w:val="16"/>
          <w:szCs w:val="16"/>
          <w:b w:val="1"/>
          <w:bCs w:val="1"/>
          <w:u w:val="single" w:color="auto"/>
          <w:color w:val="auto"/>
        </w:rPr>
        <w:t>Dealers</w:t>
      </w:r>
      <w:r>
        <w:rPr>
          <w:rFonts w:ascii="Arial" w:cs="Arial" w:eastAsia="Arial" w:hAnsi="Arial"/>
          <w:sz w:val="16"/>
          <w:szCs w:val="16"/>
          <w:b w:val="1"/>
          <w:bCs w:val="1"/>
          <w:color w:val="auto"/>
        </w:rPr>
        <w:t xml:space="preserve">: </w:t>
      </w:r>
      <w:r>
        <w:rPr>
          <w:rFonts w:ascii="Arial" w:cs="Arial" w:eastAsia="Arial" w:hAnsi="Arial"/>
          <w:sz w:val="16"/>
          <w:szCs w:val="16"/>
          <w:color w:val="auto"/>
        </w:rPr>
        <w:t>Many of our markets are still traded through traditional voice-based protocols. Institutional</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42" w:lineRule="exact"/>
        <w:rPr>
          <w:rFonts w:ascii="Arial" w:cs="Arial" w:eastAsia="Arial" w:hAnsi="Arial"/>
          <w:sz w:val="16"/>
          <w:szCs w:val="16"/>
          <w:color w:val="auto"/>
        </w:rPr>
      </w:pPr>
    </w:p>
    <w:p>
      <w:pPr>
        <w:ind w:left="1980" w:right="779" w:hanging="352"/>
        <w:spacing w:after="0" w:line="261"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information providers such as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Interactive Data Corporation (now part of ICE) and IHS Markit have a pervasive presence across the financial trading community. Their data and pre-and post-trade analytics compete with offerings we provide to support trading on our marketplaces.</w:t>
      </w:r>
    </w:p>
    <w:p>
      <w:pPr>
        <w:spacing w:after="0" w:line="76" w:lineRule="exact"/>
        <w:rPr>
          <w:sz w:val="20"/>
          <w:szCs w:val="20"/>
          <w:color w:val="auto"/>
        </w:rPr>
      </w:pPr>
    </w:p>
    <w:p>
      <w:pPr>
        <w:jc w:val="both"/>
        <w:ind w:left="1260" w:right="859" w:firstLine="360"/>
        <w:spacing w:after="0" w:line="311" w:lineRule="auto"/>
        <w:rPr>
          <w:sz w:val="20"/>
          <w:szCs w:val="20"/>
          <w:color w:val="auto"/>
        </w:rPr>
      </w:pPr>
      <w:r>
        <w:rPr>
          <w:rFonts w:ascii="Arial" w:cs="Arial" w:eastAsia="Arial" w:hAnsi="Arial"/>
          <w:sz w:val="16"/>
          <w:szCs w:val="16"/>
          <w:color w:val="auto"/>
        </w:rPr>
        <w:t>We face intense competition, and we expect competition with a broad range of competitors to continue to intensify in the future. See “Risk Factors — Risks Relating to Our Business and Industry — Failure to compete successfully could materially adversely affect our business, financial condition and results of operations.”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Proprietary Technology</w:t>
      </w:r>
    </w:p>
    <w:p>
      <w:pPr>
        <w:spacing w:after="0" w:line="108" w:lineRule="exact"/>
        <w:rPr>
          <w:sz w:val="20"/>
          <w:szCs w:val="20"/>
          <w:color w:val="auto"/>
        </w:rPr>
      </w:pPr>
    </w:p>
    <w:p>
      <w:pPr>
        <w:jc w:val="both"/>
        <w:ind w:left="1260" w:right="939" w:firstLine="360"/>
        <w:spacing w:after="0" w:line="311" w:lineRule="auto"/>
        <w:rPr>
          <w:sz w:val="20"/>
          <w:szCs w:val="20"/>
          <w:color w:val="auto"/>
        </w:rPr>
      </w:pPr>
      <w:r>
        <w:rPr>
          <w:rFonts w:ascii="Arial" w:cs="Arial" w:eastAsia="Arial" w:hAnsi="Arial"/>
          <w:sz w:val="16"/>
          <w:szCs w:val="16"/>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w:t>
      </w:r>
    </w:p>
    <w:p>
      <w:pPr>
        <w:spacing w:after="0" w:line="41"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76"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79"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72" w:lineRule="exact"/>
        <w:rPr>
          <w:sz w:val="20"/>
          <w:szCs w:val="20"/>
          <w:color w:val="auto"/>
        </w:rPr>
      </w:pPr>
    </w:p>
    <w:p>
      <w:pPr>
        <w:ind w:left="1980" w:right="799" w:hanging="352"/>
        <w:spacing w:after="0" w:line="347" w:lineRule="auto"/>
        <w:tabs>
          <w:tab w:leader="none" w:pos="1980" w:val="left"/>
        </w:tabs>
        <w:numPr>
          <w:ilvl w:val="0"/>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Nimble product development in collaboration with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Our approach to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facilitates continuous releases of important product features. This allows us to be opportunistic in</w:t>
      </w:r>
    </w:p>
    <w:p>
      <w:pPr>
        <w:spacing w:after="0" w:line="1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80" w:right="819"/>
        <w:spacing w:after="0" w:line="311" w:lineRule="auto"/>
        <w:rPr>
          <w:sz w:val="20"/>
          <w:szCs w:val="20"/>
          <w:color w:val="auto"/>
        </w:rPr>
      </w:pPr>
      <w:r>
        <w:rPr>
          <w:rFonts w:ascii="Arial" w:cs="Arial" w:eastAsia="Arial" w:hAnsi="Arial"/>
          <w:sz w:val="16"/>
          <w:szCs w:val="16"/>
          <w:color w:val="auto"/>
        </w:rPr>
        <w:t>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118" w:lineRule="exact"/>
        <w:rPr>
          <w:sz w:val="20"/>
          <w:szCs w:val="20"/>
          <w:color w:val="auto"/>
        </w:rPr>
      </w:pPr>
    </w:p>
    <w:p>
      <w:pPr>
        <w:ind w:left="1980" w:right="699" w:hanging="352"/>
        <w:spacing w:after="0" w:line="258"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Scalable architecture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scalable architecture was designed to address increased trading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evolving 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42" w:lineRule="exact"/>
        <w:rPr>
          <w:rFonts w:ascii="Arial" w:cs="Arial" w:eastAsia="Arial" w:hAnsi="Arial"/>
          <w:sz w:val="18"/>
          <w:szCs w:val="18"/>
          <w:color w:val="auto"/>
        </w:rPr>
      </w:pPr>
    </w:p>
    <w:p>
      <w:pPr>
        <w:ind w:left="1980" w:right="859" w:hanging="352"/>
        <w:spacing w:after="0" w:line="281"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Strong disaster recovery and business continuity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We maintain redundant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data centers and alternate operational facilities to address interruptions. We have eight datacenters across the United States, the United Kingdom and Japan. Our data center infrastructure is designed to be resilient and responsive with built-in redundancies.</w:t>
      </w:r>
    </w:p>
    <w:p>
      <w:pPr>
        <w:spacing w:after="0" w:line="60" w:lineRule="exact"/>
        <w:rPr>
          <w:rFonts w:ascii="Arial" w:cs="Arial" w:eastAsia="Arial" w:hAnsi="Arial"/>
          <w:sz w:val="17"/>
          <w:szCs w:val="17"/>
          <w:color w:val="auto"/>
        </w:rPr>
      </w:pPr>
    </w:p>
    <w:p>
      <w:pPr>
        <w:ind w:left="1980" w:right="699"/>
        <w:spacing w:after="0" w:line="288" w:lineRule="auto"/>
        <w:rPr>
          <w:rFonts w:ascii="Arial" w:cs="Arial" w:eastAsia="Arial" w:hAnsi="Arial"/>
          <w:sz w:val="17"/>
          <w:szCs w:val="17"/>
          <w:color w:val="auto"/>
        </w:rPr>
      </w:pPr>
      <w:r>
        <w:rPr>
          <w:rFonts w:ascii="Arial" w:cs="Arial" w:eastAsia="Arial" w:hAnsi="Arial"/>
          <w:sz w:val="16"/>
          <w:szCs w:val="16"/>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23" w:lineRule="exact"/>
        <w:rPr>
          <w:rFonts w:ascii="Arial" w:cs="Arial" w:eastAsia="Arial" w:hAnsi="Arial"/>
          <w:sz w:val="17"/>
          <w:szCs w:val="17"/>
          <w:color w:val="auto"/>
        </w:rPr>
      </w:pPr>
    </w:p>
    <w:p>
      <w:pPr>
        <w:ind w:left="1980" w:right="779" w:hanging="352"/>
        <w:spacing w:after="0" w:line="269"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Ongoing security, system monitoring and alerting</w:t>
      </w:r>
      <w:r>
        <w:rPr>
          <w:rFonts w:ascii="Arial" w:cs="Arial" w:eastAsia="Arial" w:hAnsi="Arial"/>
          <w:sz w:val="17"/>
          <w:szCs w:val="17"/>
          <w:b w:val="1"/>
          <w:bCs w:val="1"/>
          <w:color w:val="auto"/>
        </w:rPr>
        <w:t xml:space="preserve">: </w:t>
      </w:r>
      <w:r>
        <w:rPr>
          <w:rFonts w:ascii="Arial" w:cs="Arial" w:eastAsia="Arial" w:hAnsi="Arial"/>
          <w:sz w:val="17"/>
          <w:szCs w:val="17"/>
          <w:color w:val="auto"/>
        </w:rPr>
        <w:t>We prioritize security throughout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operations 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 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left="1260" w:right="1079" w:firstLine="360"/>
        <w:spacing w:after="0" w:line="263"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76"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84"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products and services to clients. We have registered for trademarks in many of our markets, including our major markets, with registrations pending in others. Trademarks registered include, but are not limited to, “Tradeweb,” “Dealerweb,” and “Tradeweb Direct.”</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Many aspects of our business are subject to regulation in a number of jurisdictions, including the United States, the United Kingdom, Japan, Hong Kong and Singapore.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8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70"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Regulation</w:t>
      </w:r>
    </w:p>
    <w:p>
      <w:pPr>
        <w:spacing w:after="0" w:line="10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93" w:lineRule="auto"/>
        <w:rPr>
          <w:sz w:val="20"/>
          <w:szCs w:val="20"/>
          <w:color w:val="auto"/>
        </w:rPr>
      </w:pPr>
      <w:r>
        <w:rPr>
          <w:rFonts w:ascii="Arial" w:cs="Arial" w:eastAsia="Arial" w:hAnsi="Arial"/>
          <w:sz w:val="16"/>
          <w:szCs w:val="16"/>
          <w:color w:val="auto"/>
        </w:rPr>
        <w:t>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4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71"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NFA, a self-regulatory organization that regulates certain CFTC registrants.</w:t>
      </w:r>
    </w:p>
    <w:p>
      <w:pPr>
        <w:spacing w:after="0" w:line="46"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55"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52"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 and we continue to expect the industry to be more heavily regulated than it was prior to the 2008 financial crisis.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63" w:lineRule="exact"/>
        <w:rPr>
          <w:sz w:val="20"/>
          <w:szCs w:val="20"/>
          <w:color w:val="auto"/>
        </w:rPr>
      </w:pPr>
    </w:p>
    <w:p>
      <w:pPr>
        <w:ind w:left="1260" w:right="1099" w:firstLine="360"/>
        <w:spacing w:after="0" w:line="342" w:lineRule="auto"/>
        <w:rPr>
          <w:sz w:val="20"/>
          <w:szCs w:val="20"/>
          <w:color w:val="auto"/>
        </w:rPr>
      </w:pPr>
      <w:r>
        <w:rPr>
          <w:rFonts w:ascii="Arial" w:cs="Arial" w:eastAsia="Arial" w:hAnsi="Arial"/>
          <w:sz w:val="16"/>
          <w:szCs w:val="16"/>
          <w:color w:val="auto"/>
        </w:rPr>
        <w:t>Outside of the United States, we are currently regulated by: the FCA in the United Kingdom, the Japan Financial Services Agency (the “JFSA”), the Japan Securities Dealers Association (the “JSDA”), the</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86" w:lineRule="auto"/>
        <w:rPr>
          <w:sz w:val="20"/>
          <w:szCs w:val="20"/>
          <w:color w:val="auto"/>
        </w:rPr>
      </w:pPr>
      <w:r>
        <w:rPr>
          <w:rFonts w:ascii="Arial" w:cs="Arial" w:eastAsia="Arial" w:hAnsi="Arial"/>
          <w:sz w:val="17"/>
          <w:szCs w:val="17"/>
          <w:color w:val="auto"/>
        </w:rPr>
        <w:t>Securities &amp; Futures Commission (“SFC”) of Hong Kong, the Monetary Authority of Singapore (“MAS”), the Investment Industry Regulatory Organization of Canada and provincial regulators in Canada. We currently have an exemption from the Australian Securities and Investment Commission in Australia (“ASIC”).</w:t>
      </w:r>
    </w:p>
    <w:p>
      <w:pPr>
        <w:spacing w:after="0" w:line="5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Much of our derivatives volumes continue to be executed by non-U.S. based clients outside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United States and is subject to local regulations. In particular, the European Union has recently enhanced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laws and developed new rules and regulations targeted at the financial services industry, including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MiFID II and MiFIR, which were implemented in January 2018 and which introduced significant changes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 financial markets designed to facilitate more efficient markets and greater transparency for participants.</w:t>
      </w:r>
    </w:p>
    <w:p>
      <w:pPr>
        <w:spacing w:after="0" w:line="11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these derivative instruments to trade on regulated trading venues which are subject to transparency regimes,</w:t>
      </w:r>
    </w:p>
    <w:p>
      <w:pPr>
        <w:ind w:left="1260" w:right="719" w:firstLine="8"/>
        <w:spacing w:after="0" w:line="285" w:lineRule="auto"/>
        <w:tabs>
          <w:tab w:leader="none" w:pos="1525"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enhance pre- and post-trade transparency for instruments within the scope of 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 (v) 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to MiFID. In addition, the new regulated execution venue category introduced by MiFID II known as the Organized Trading Facility (“OTF”) (in addition to the venue category of Multilateral Trading Facility (“MTF”) for electronic trading) is intended to capture much of the voices and hybrid oriented trading within the EU.</w:t>
      </w:r>
    </w:p>
    <w:p>
      <w:pPr>
        <w:spacing w:after="0" w:line="6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as such this is currently our sole MiFID investment firm with such permissions operating in Europe. In March 2017, following the United Kingdom’s vote to leave the EU, the U.K. Prime Minister gave the European Council of the EU formal written notification of the United Kingdom’s intention to leave the EU, triggering the withdrawal process under Article 50 of the Lisbon Treaty. The effects of Brexit will depend on any agreements the United Kingdom makes to retain access to EU markets, including for financial services, either during a transitional period or more permanently. Negotiations to determine the future terms of the United Kingdom’s relationship with the EU, including the terms of access to EU financial markets, are continuing. We are making all reasonable preparations to ensure, in any scenario, that services can continue to be provided in the UK and throughout the EEA, post-Brexit. Accordingly, we have established a new legal entity in the Netherlands, Tradeweb EU B.V., and will offer services from a new Amsterdam office, subject to regulatory approval. We have applied to the Dutch regulatory authorities to operate an MTF, an OTF and an APA, essentially replicating our current UK regulatory permissions. Following approval, we will operate two MTFs, two OTFs and two APAs in Europe, increasing the complexity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0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Certain of our subsidiaries are subject to jurisdictional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04" w:lineRule="exact"/>
        <w:rPr>
          <w:sz w:val="20"/>
          <w:szCs w:val="20"/>
          <w:color w:val="auto"/>
        </w:rPr>
      </w:pPr>
    </w:p>
    <w:p>
      <w:pPr>
        <w:ind w:left="1260" w:right="859" w:firstLine="360"/>
        <w:spacing w:after="0" w:line="342" w:lineRule="auto"/>
        <w:rPr>
          <w:sz w:val="20"/>
          <w:szCs w:val="20"/>
          <w:color w:val="auto"/>
        </w:rPr>
      </w:pPr>
      <w:r>
        <w:rPr>
          <w:rFonts w:ascii="Arial" w:cs="Arial" w:eastAsia="Arial" w:hAnsi="Arial"/>
          <w:sz w:val="16"/>
          <w:szCs w:val="16"/>
          <w:color w:val="auto"/>
        </w:rPr>
        <w:t>Our operations span jurisdictions across North America, Europe and Asia, and we operate through various regulated entities. The current regulatory status of many of our business entities is described below.</w:t>
      </w:r>
    </w:p>
    <w:p>
      <w:pPr>
        <w:spacing w:after="0" w:line="16"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7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w:t>
      </w:r>
    </w:p>
    <w:p>
      <w:pPr>
        <w:spacing w:after="0" w:line="7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w:t>
      </w:r>
    </w:p>
    <w:p>
      <w:pPr>
        <w:spacing w:after="0" w:line="76" w:lineRule="exact"/>
        <w:rPr>
          <w:sz w:val="20"/>
          <w:szCs w:val="20"/>
          <w:color w:val="auto"/>
        </w:rPr>
      </w:pPr>
    </w:p>
    <w:p>
      <w:pPr>
        <w:ind w:left="1260" w:right="1339" w:firstLine="360"/>
        <w:spacing w:after="0" w:line="308" w:lineRule="auto"/>
        <w:rPr>
          <w:sz w:val="20"/>
          <w:szCs w:val="20"/>
          <w:color w:val="auto"/>
        </w:rPr>
      </w:pPr>
      <w:r>
        <w:rPr>
          <w:rFonts w:ascii="Arial" w:cs="Arial" w:eastAsia="Arial" w:hAnsi="Arial"/>
          <w:sz w:val="17"/>
          <w:szCs w:val="17"/>
          <w:color w:val="auto"/>
        </w:rPr>
        <w:t>DW SEF LLC is a CFTC-registered SEF. DW SEF LLC is formally exempt from registration in the Canadian province of Ontario and is recognized as a foreign trading venue in Switzerland.</w:t>
      </w:r>
    </w:p>
    <w:p>
      <w:pPr>
        <w:spacing w:after="0" w:line="3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76" w:lineRule="exact"/>
        <w:rPr>
          <w:sz w:val="20"/>
          <w:szCs w:val="20"/>
          <w:color w:val="auto"/>
        </w:rPr>
      </w:pPr>
    </w:p>
    <w:p>
      <w:pPr>
        <w:ind w:left="1260" w:right="719" w:firstLine="360"/>
        <w:spacing w:after="0" w:line="301" w:lineRule="auto"/>
        <w:rPr>
          <w:sz w:val="20"/>
          <w:szCs w:val="20"/>
          <w:color w:val="auto"/>
        </w:rPr>
      </w:pPr>
      <w:r>
        <w:rPr>
          <w:rFonts w:ascii="Arial" w:cs="Arial" w:eastAsia="Arial" w:hAnsi="Arial"/>
          <w:sz w:val="16"/>
          <w:szCs w:val="16"/>
          <w:color w:val="auto"/>
        </w:rPr>
        <w:t>Tradeweb Europe Limited is authorized and regulated in the United Kingdom by the FCA as a MiFID Investment Firm. It has permissions to operate a MTF, an organized OTF and an APA. Tradeweb Europe Limited passports its permissions under MiFID and accordingly provides services throughout the EEA. In addition, Tradeweb Europe Limited is also registered with the CFTC as an introducing broker and is a member of NFA.</w:t>
      </w:r>
    </w:p>
    <w:p>
      <w:pPr>
        <w:spacing w:after="0" w:line="49" w:lineRule="exact"/>
        <w:rPr>
          <w:sz w:val="20"/>
          <w:szCs w:val="20"/>
          <w:color w:val="auto"/>
        </w:rPr>
      </w:pPr>
    </w:p>
    <w:p>
      <w:pPr>
        <w:ind w:left="1260" w:right="1219" w:firstLine="360"/>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62"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62"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color w:val="auto"/>
        </w:rPr>
        <w:t>The Australia branch of Tradeweb Europe Limited is currently exempt from registration with ASIC, but, following amendments to the Australian Corporations Act, an application for an Overseas Australian Market Operator License is pending with ASIC.</w:t>
      </w:r>
    </w:p>
    <w:p>
      <w:pPr>
        <w:spacing w:after="0" w:line="76"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79"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Tradeweb EU B.V. has applied to the Netherlands Authority for the Financial Markets (“AFM”) seeking approval to be a MiFID Investment Firm with permissions to operate a MTF, an OTF and an APA. Approval is expected to be provided by the end of 2018 or early 2019. Subject to regulatory approval, Tradeweb EU B.V. will passport its permissions under MiFID and accordingly will provide services throughout the EEA.</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As of September 30, 2018, we had 896 employees, 662 of whom were based in the United States and 234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Our corporate headquarters is located in New York, New York. As of September 30, 2018, our principal offices consisted of the following properties: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Square feet</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expiration date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6"/>
        </w:trPr>
        <w:tc>
          <w:tcPr>
            <w:tcW w:w="3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41,062</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5/31/2021</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Space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Jersey City, New Jersey</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65,242</w:t>
            </w:r>
          </w:p>
        </w:tc>
        <w:tc>
          <w:tcPr>
            <w:tcW w:w="200" w:type="dxa"/>
            <w:vAlign w:val="bottom"/>
          </w:tcPr>
          <w:p>
            <w:pPr>
              <w:spacing w:after="0"/>
              <w:rPr>
                <w:sz w:val="22"/>
                <w:szCs w:val="22"/>
                <w:color w:val="auto"/>
              </w:rPr>
            </w:pP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12/31/2027</w:t>
            </w:r>
          </w:p>
        </w:tc>
        <w:tc>
          <w:tcPr>
            <w:tcW w:w="2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Office Space</w:t>
            </w: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16,259</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9/30/2024</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-496570</wp:posOffset>
            </wp:positionV>
            <wp:extent cx="137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-496570</wp:posOffset>
            </wp:positionV>
            <wp:extent cx="1371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-496570</wp:posOffset>
            </wp:positionV>
            <wp:extent cx="137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jc w:val="both"/>
        <w:ind w:left="1260" w:right="739" w:firstLine="360"/>
        <w:spacing w:after="0" w:line="311" w:lineRule="auto"/>
        <w:rPr>
          <w:sz w:val="20"/>
          <w:szCs w:val="20"/>
          <w:color w:val="auto"/>
        </w:rPr>
      </w:pPr>
      <w:r>
        <w:rPr>
          <w:rFonts w:ascii="Arial" w:cs="Arial" w:eastAsia="Arial" w:hAnsi="Arial"/>
          <w:sz w:val="16"/>
          <w:szCs w:val="16"/>
          <w:color w:val="auto"/>
        </w:rPr>
        <w:t>We also lease offices in Los Angeles, California, Boca Raton, Florida and Garden City, New York. Through a shared services agreement with Refinitiv, we lease offices in Boston, Massachusetts and Chicago, Illinois and, outside the United States, in Amsterdam, Tokyo, Hong Kong, Shanghai and Singapore.</w:t>
      </w:r>
    </w:p>
    <w:p>
      <w:pPr>
        <w:spacing w:after="0" w:line="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infrastructure operates out of third-party data centers in Secaucus, New Jersey, Weehawken,</w:t>
      </w:r>
    </w:p>
    <w:p>
      <w:pPr>
        <w:spacing w:after="0" w:line="23" w:lineRule="exact"/>
        <w:rPr>
          <w:sz w:val="20"/>
          <w:szCs w:val="20"/>
          <w:color w:val="auto"/>
        </w:rPr>
      </w:pPr>
    </w:p>
    <w:p>
      <w:pPr>
        <w:ind w:left="1260" w:right="839"/>
        <w:spacing w:after="0" w:line="290" w:lineRule="auto"/>
        <w:rPr>
          <w:sz w:val="20"/>
          <w:szCs w:val="20"/>
          <w:color w:val="auto"/>
        </w:rPr>
      </w:pPr>
      <w:r>
        <w:rPr>
          <w:rFonts w:ascii="Arial" w:cs="Arial" w:eastAsia="Arial" w:hAnsi="Arial"/>
          <w:sz w:val="17"/>
          <w:szCs w:val="17"/>
          <w:color w:val="auto"/>
        </w:rPr>
        <w:t>New Jersey, Piscataway, New Jersey, Chicago, Illinois and Elk Grove, Illinois and, outside the United States, in Hounslow, United Kingdom, Slough, United Kingdom, Saitama, Japan and Tokyo, Japan.</w:t>
      </w:r>
    </w:p>
    <w:p>
      <w:pPr>
        <w:spacing w:after="0" w:line="53"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and other factors.</w:t>
      </w:r>
    </w:p>
    <w:p>
      <w:pPr>
        <w:spacing w:after="0" w:line="71"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IDC Matter</w:t>
      </w:r>
    </w:p>
    <w:p>
      <w:pPr>
        <w:spacing w:after="0" w:line="90"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7"/>
          <w:szCs w:val="17"/>
          <w:i w:val="1"/>
          <w:iCs w:val="1"/>
          <w:color w:val="auto"/>
        </w:rPr>
        <w:t>IDC Financial Publishing Inc. v. BondDesk</w:t>
      </w:r>
      <w:r>
        <w:rPr>
          <w:rFonts w:ascii="Arial" w:cs="Arial" w:eastAsia="Arial" w:hAnsi="Arial"/>
          <w:sz w:val="17"/>
          <w:szCs w:val="17"/>
          <w:color w:val="auto"/>
        </w:rPr>
        <w:t xml:space="preserve"> </w:t>
      </w:r>
      <w:r>
        <w:rPr>
          <w:rFonts w:ascii="Arial" w:cs="Arial" w:eastAsia="Arial" w:hAnsi="Arial"/>
          <w:sz w:val="17"/>
          <w:szCs w:val="17"/>
          <w:i w:val="1"/>
          <w:iCs w:val="1"/>
          <w:color w:val="auto"/>
        </w:rPr>
        <w:t>Group LLC, et al.</w:t>
      </w:r>
      <w:r>
        <w:rPr>
          <w:rFonts w:ascii="Arial" w:cs="Arial" w:eastAsia="Arial" w:hAnsi="Arial"/>
          <w:sz w:val="17"/>
          <w:szCs w:val="17"/>
          <w:color w:val="auto"/>
        </w:rPr>
        <w:t>, Case No. 2:15-cv-01085-PP, relating to the distribution of IDC’s financial strength ratings over</w:t>
      </w:r>
      <w:r>
        <w:rPr>
          <w:rFonts w:ascii="Arial" w:cs="Arial" w:eastAsia="Arial" w:hAnsi="Arial"/>
          <w:sz w:val="17"/>
          <w:szCs w:val="17"/>
          <w:i w:val="1"/>
          <w:iCs w:val="1"/>
          <w:color w:val="auto"/>
        </w:rPr>
        <w:t xml:space="preserve"> </w:t>
      </w:r>
      <w:r>
        <w:rPr>
          <w:rFonts w:ascii="Arial" w:cs="Arial" w:eastAsia="Arial" w:hAnsi="Arial"/>
          <w:sz w:val="17"/>
          <w:szCs w:val="17"/>
          <w:color w:val="auto"/>
        </w:rPr>
        <w:t>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case is scheduled for trial in July 2019. We intend to continue to vigorously defend what we believe to be meritless and excessive claims.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Treasuries Matter</w:t>
      </w:r>
    </w:p>
    <w:p>
      <w:pPr>
        <w:spacing w:after="0" w:line="90"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Treasuries Securities Auction Antitrust Litigation</w:t>
      </w:r>
      <w:r>
        <w:rPr>
          <w:rFonts w:ascii="Arial" w:cs="Arial" w:eastAsia="Arial" w:hAnsi="Arial"/>
          <w:sz w:val="16"/>
          <w:szCs w:val="16"/>
          <w:color w:val="auto"/>
        </w:rPr>
        <w:t>, No. 1:15-md-2673 (S.D.N.Y.) (PGG). In November 2017, the</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66"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8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Swaps Matter</w:t>
      </w:r>
    </w:p>
    <w:p>
      <w:pPr>
        <w:spacing w:after="0" w:line="77"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Retirement Fund of Chicago v. Bank of America Corporation, Case No. 15-cv-09219 (S.D.N.Y.)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plaintiffs, including Tera Group Inc. and Javelin Capital Markets LLC, filed lawsuits and, ultimately, the cases were consolidated under the caption </w:t>
      </w:r>
      <w:r>
        <w:rPr>
          <w:rFonts w:ascii="Arial" w:cs="Arial" w:eastAsia="Arial" w:hAnsi="Arial"/>
          <w:sz w:val="16"/>
          <w:szCs w:val="16"/>
          <w:i w:val="1"/>
          <w:iCs w:val="1"/>
          <w:color w:val="auto"/>
        </w:rPr>
        <w:t>In re Interest Rate Swaps Antitrust Litigation, No. 1:16-md-2704</w:t>
      </w:r>
      <w:r>
        <w:rPr>
          <w:rFonts w:ascii="Arial" w:cs="Arial" w:eastAsia="Arial" w:hAnsi="Arial"/>
          <w:sz w:val="16"/>
          <w:szCs w:val="16"/>
          <w:color w:val="auto"/>
        </w:rPr>
        <w:t>.</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alleged that Tradeweb agreed with the Dealer Defendants to shutter its plans to launch an exchange-like trading platform for IRS in furtherance of the conspiracy and provided a forum where the Dealer Defendants carried out their alleged collusion.</w:t>
      </w:r>
    </w:p>
    <w:p>
      <w:pPr>
        <w:spacing w:after="0" w:line="80" w:lineRule="exact"/>
        <w:rPr>
          <w:sz w:val="20"/>
          <w:szCs w:val="20"/>
          <w:color w:val="auto"/>
        </w:rPr>
      </w:pPr>
    </w:p>
    <w:p>
      <w:pPr>
        <w:ind w:left="1260" w:right="659" w:firstLine="360"/>
        <w:spacing w:after="0" w:line="288"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is actively engaged in third-party discovery and has responded to the parties’ data and document requests. Additionally, in July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The following table sets forth information about our executive officers and directors, including their ages as of December 19, 2018. With respect to our directors, each biography contains information regarding the person’s service as a director, business experience, director positions held currently or at any time during the past</w:t>
      </w:r>
    </w:p>
    <w:p>
      <w:pPr>
        <w:spacing w:after="0" w:line="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50"/>
        </w:trPr>
        <w:tc>
          <w:tcPr>
            <w:tcW w:w="2700" w:type="dxa"/>
            <w:vAlign w:val="bottom"/>
            <w:gridSpan w:val="2"/>
          </w:tcPr>
          <w:p>
            <w:pPr>
              <w:spacing w:after="0"/>
              <w:rPr>
                <w:sz w:val="20"/>
                <w:szCs w:val="20"/>
                <w:color w:val="auto"/>
              </w:rPr>
            </w:pPr>
            <w:r>
              <w:rPr>
                <w:rFonts w:ascii="Arial" w:cs="Arial" w:eastAsia="Arial" w:hAnsi="Arial"/>
                <w:sz w:val="18"/>
                <w:szCs w:val="18"/>
                <w:color w:val="auto"/>
              </w:rPr>
              <w:t>Lee Olesky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w:t>
            </w:r>
          </w:p>
        </w:tc>
      </w:tr>
      <w:tr>
        <w:trPr>
          <w:trHeight w:val="257"/>
        </w:trPr>
        <w:tc>
          <w:tcPr>
            <w:tcW w:w="270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Head of Europe and Asia Business</w:t>
            </w:r>
          </w:p>
        </w:tc>
      </w:tr>
      <w:tr>
        <w:trPr>
          <w:trHeight w:val="257"/>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Global Head of Corporate Development</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James (“Jay”) Spencer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Administrative Officer</w:t>
            </w:r>
          </w:p>
        </w:tc>
      </w:tr>
    </w:tbl>
    <w:p>
      <w:pPr>
        <w:spacing w:after="0" w:line="3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104"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color w:val="auto"/>
        </w:rPr>
        <w:t>Mr. Olesky is our co-founder and has served as Tradeweb’s Chief Executive Officer and on the board of directors since its formation. Mr. Olesky has been the Chief Executive Officer since September 2008 and on the board of directors of TWM LLC since January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10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Mr. Hult has served as Tradeweb’s President since its formation and, following the completion of the Reorganization Transactions, will also serve on its board of directors. Mr. Hult has served as the President and on the board of directors of TWM LLC since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Mr. Bruni has served as Managing Director, Head of Europe and Asia Business of TWM LLC since February 2013 and, following the completion of the Reorganization Transactions, will serve in the same position at Tradeweb.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7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6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Mr. Maisey has served as Managing Director, Global Head of Corporate Development of TWM LLC since May 2016 and, following the completion of the Reorganization Transactions, will serve in the same position at Tradeweb.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63"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Mr. Spencer has served as Chief Technology Officer of TWM LLC since February 2008 and, following completion of the Reorganization Transactions, will serve in the same position at Tradeweb.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77" w:lineRule="exact"/>
        <w:rPr>
          <w:sz w:val="20"/>
          <w:szCs w:val="20"/>
          <w:color w:val="auto"/>
        </w:rPr>
      </w:pPr>
    </w:p>
    <w:p>
      <w:pPr>
        <w:ind w:left="1260" w:right="659" w:firstLine="360"/>
        <w:spacing w:after="0" w:line="289"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6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Mr. Zucker has served as Tradeweb’s Chief Administrative Officer since its formation and as the Chief Administrative Officer of TWM LLC since November 2009 and, following the completion of the Reorganization Transactions, will serve in the same position at Tradeweb.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67"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Our business and affairs are managed under the direction of our board of directors. Upon completion of this offering, our board of directors will consist of directors. In addition, our amended and restated</w:t>
      </w:r>
    </w:p>
    <w:p>
      <w:pPr>
        <w:sectPr>
          <w:pgSz w:w="11900" w:h="16838" w:orient="portrait"/>
          <w:cols w:equalWidth="0" w:num="1">
            <w:col w:w="10139"/>
          </w:cols>
          <w:pgMar w:left="320" w:top="131" w:right="1440" w:bottom="1440" w:gutter="0" w:footer="0" w:header="0"/>
        </w:sect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39"/>
        <w:spacing w:after="0" w:line="298" w:lineRule="auto"/>
        <w:rPr>
          <w:sz w:val="20"/>
          <w:szCs w:val="20"/>
          <w:color w:val="auto"/>
        </w:rPr>
      </w:pPr>
      <w:r>
        <w:rPr>
          <w:rFonts w:ascii="Arial" w:cs="Arial" w:eastAsia="Arial" w:hAnsi="Arial"/>
          <w:sz w:val="17"/>
          <w:szCs w:val="17"/>
          <w:color w:val="auto"/>
        </w:rPr>
        <w:t>certificate of incorporation and amended and restated bylaws will provide for a classified board of directors consisting of three classes of directors, each serving staggered three-year terms as follows: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w w:val="92"/>
              </w:rPr>
              <w:t>the Class I directors will be</w:t>
            </w:r>
          </w:p>
        </w:tc>
        <w:tc>
          <w:tcPr>
            <w:tcW w:w="380" w:type="dxa"/>
            <w:vAlign w:val="bottom"/>
          </w:tcPr>
          <w:p>
            <w:pPr>
              <w:spacing w:after="0"/>
              <w:rPr>
                <w:sz w:val="18"/>
                <w:szCs w:val="18"/>
                <w:color w:val="auto"/>
              </w:rPr>
            </w:pP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700" w:type="dxa"/>
            <w:vAlign w:val="bottom"/>
          </w:tcPr>
          <w:p>
            <w:pPr>
              <w:ind w:left="160"/>
              <w:spacing w:after="0"/>
              <w:rPr>
                <w:sz w:val="20"/>
                <w:szCs w:val="20"/>
                <w:color w:val="auto"/>
              </w:rPr>
            </w:pPr>
            <w:r>
              <w:rPr>
                <w:rFonts w:ascii="Arial" w:cs="Arial" w:eastAsia="Arial" w:hAnsi="Arial"/>
                <w:sz w:val="18"/>
                <w:szCs w:val="18"/>
                <w:color w:val="auto"/>
              </w:rPr>
              <w:t>and</w:t>
            </w:r>
          </w:p>
        </w:tc>
        <w:tc>
          <w:tcPr>
            <w:tcW w:w="3980" w:type="dxa"/>
            <w:vAlign w:val="bottom"/>
          </w:tcPr>
          <w:p>
            <w:pPr>
              <w:ind w:left="180"/>
              <w:spacing w:after="0"/>
              <w:rPr>
                <w:sz w:val="20"/>
                <w:szCs w:val="20"/>
                <w:color w:val="auto"/>
              </w:rPr>
            </w:pPr>
            <w:r>
              <w:rPr>
                <w:rFonts w:ascii="Arial" w:cs="Arial" w:eastAsia="Arial" w:hAnsi="Arial"/>
                <w:sz w:val="18"/>
                <w:szCs w:val="18"/>
                <w:color w:val="auto"/>
                <w:w w:val="93"/>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the Class II directors will be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ind w:left="220"/>
              <w:spacing w:after="0"/>
              <w:rPr>
                <w:sz w:val="20"/>
                <w:szCs w:val="20"/>
                <w:color w:val="auto"/>
              </w:rPr>
            </w:pPr>
            <w:r>
              <w:rPr>
                <w:rFonts w:ascii="Arial" w:cs="Arial" w:eastAsia="Arial" w:hAnsi="Arial"/>
                <w:sz w:val="18"/>
                <w:szCs w:val="18"/>
                <w:color w:val="auto"/>
              </w:rPr>
              <w:t>and</w:t>
            </w:r>
          </w:p>
        </w:tc>
        <w:tc>
          <w:tcPr>
            <w:tcW w:w="3980" w:type="dxa"/>
            <w:vAlign w:val="bottom"/>
          </w:tcPr>
          <w:p>
            <w:pPr>
              <w:ind w:left="240"/>
              <w:spacing w:after="0"/>
              <w:rPr>
                <w:sz w:val="20"/>
                <w:szCs w:val="20"/>
                <w:color w:val="auto"/>
              </w:rPr>
            </w:pPr>
            <w:r>
              <w:rPr>
                <w:rFonts w:ascii="Arial" w:cs="Arial" w:eastAsia="Arial" w:hAnsi="Arial"/>
                <w:sz w:val="18"/>
                <w:szCs w:val="18"/>
                <w:color w:val="auto"/>
                <w:w w:val="92"/>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 and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the Class III directors will be</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and</w:t>
            </w:r>
          </w:p>
        </w:tc>
        <w:tc>
          <w:tcPr>
            <w:tcW w:w="3980" w:type="dxa"/>
            <w:vAlign w:val="bottom"/>
          </w:tcPr>
          <w:p>
            <w:pPr>
              <w:ind w:left="300"/>
              <w:spacing w:after="0"/>
              <w:rPr>
                <w:sz w:val="20"/>
                <w:szCs w:val="20"/>
                <w:color w:val="auto"/>
              </w:rPr>
            </w:pPr>
            <w:r>
              <w:rPr>
                <w:rFonts w:ascii="Arial" w:cs="Arial" w:eastAsia="Arial" w:hAnsi="Arial"/>
                <w:sz w:val="18"/>
                <w:szCs w:val="18"/>
                <w:color w:val="auto"/>
                <w:w w:val="90"/>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94"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620"/>
        <w:spacing w:after="0"/>
        <w:tabs>
          <w:tab w:leader="none" w:pos="6860" w:val="left"/>
        </w:tabs>
        <w:rPr>
          <w:sz w:val="20"/>
          <w:szCs w:val="20"/>
          <w:color w:val="auto"/>
        </w:rPr>
      </w:pPr>
      <w:r>
        <w:rPr>
          <w:rFonts w:ascii="Arial" w:cs="Arial" w:eastAsia="Arial" w:hAnsi="Arial"/>
          <w:sz w:val="18"/>
          <w:szCs w:val="18"/>
          <w:color w:val="auto"/>
        </w:rPr>
        <w:t>In addition, we intend to enter into a Stockholders Agreement with</w:t>
      </w:r>
      <w:r>
        <w:rPr>
          <w:sz w:val="20"/>
          <w:szCs w:val="20"/>
          <w:color w:val="auto"/>
        </w:rPr>
        <w:tab/>
      </w:r>
      <w:r>
        <w:rPr>
          <w:rFonts w:ascii="Arial" w:cs="Arial" w:eastAsia="Arial" w:hAnsi="Arial"/>
          <w:sz w:val="16"/>
          <w:szCs w:val="16"/>
          <w:color w:val="auto"/>
        </w:rPr>
        <w:t>in connection with this offering.</w:t>
      </w:r>
    </w:p>
    <w:p>
      <w:pPr>
        <w:spacing w:after="0" w:line="23" w:lineRule="exact"/>
        <w:rPr>
          <w:sz w:val="20"/>
          <w:szCs w:val="20"/>
          <w:color w:val="auto"/>
        </w:rPr>
      </w:pPr>
    </w:p>
    <w:p>
      <w:pPr>
        <w:ind w:left="1260"/>
        <w:spacing w:after="0"/>
        <w:tabs>
          <w:tab w:leader="none" w:pos="3560" w:val="left"/>
        </w:tabs>
        <w:rPr>
          <w:sz w:val="20"/>
          <w:szCs w:val="20"/>
          <w:color w:val="auto"/>
        </w:rPr>
      </w:pPr>
      <w:r>
        <w:rPr>
          <w:rFonts w:ascii="Arial" w:cs="Arial" w:eastAsia="Arial" w:hAnsi="Arial"/>
          <w:sz w:val="18"/>
          <w:szCs w:val="18"/>
          <w:color w:val="auto"/>
        </w:rPr>
        <w:t>This agreement will grant</w:t>
      </w:r>
      <w:r>
        <w:rPr>
          <w:sz w:val="20"/>
          <w:szCs w:val="20"/>
          <w:color w:val="auto"/>
        </w:rPr>
        <w:tab/>
      </w:r>
      <w:r>
        <w:rPr>
          <w:rFonts w:ascii="Arial" w:cs="Arial" w:eastAsia="Arial" w:hAnsi="Arial"/>
          <w:sz w:val="16"/>
          <w:szCs w:val="16"/>
          <w:color w:val="auto"/>
        </w:rPr>
        <w:t>the right to designate nominees to our board of directors subject to the</w:t>
      </w:r>
    </w:p>
    <w:p>
      <w:pPr>
        <w:spacing w:after="0" w:line="9"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maintenance of certain ownership requirements in us. See “Certain Relationships and Related Party Transactions — Stockholders Agreement” for additional information.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ind w:left="1620"/>
        <w:spacing w:after="0"/>
        <w:tabs>
          <w:tab w:leader="none" w:pos="6100" w:val="left"/>
        </w:tabs>
        <w:rPr>
          <w:sz w:val="20"/>
          <w:szCs w:val="20"/>
          <w:color w:val="auto"/>
        </w:rPr>
      </w:pPr>
      <w:r>
        <w:rPr>
          <w:rFonts w:ascii="Arial" w:cs="Arial" w:eastAsia="Arial" w:hAnsi="Arial"/>
          <w:sz w:val="18"/>
          <w:szCs w:val="18"/>
          <w:color w:val="auto"/>
        </w:rPr>
        <w:t>Our board of directors has affirmatively determined that</w:t>
      </w:r>
      <w:r>
        <w:rPr>
          <w:sz w:val="20"/>
          <w:szCs w:val="20"/>
          <w:color w:val="auto"/>
        </w:rPr>
        <w:tab/>
      </w:r>
      <w:r>
        <w:rPr>
          <w:rFonts w:ascii="Arial" w:cs="Arial" w:eastAsia="Arial" w:hAnsi="Arial"/>
          <w:sz w:val="16"/>
          <w:szCs w:val="16"/>
          <w:color w:val="auto"/>
        </w:rPr>
        <w:t>are independent directors under the rules of</w:t>
      </w:r>
    </w:p>
    <w:p>
      <w:pPr>
        <w:spacing w:after="0" w:line="23"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 and are independent directors as such term is defined in Rule 10A-3(b)(1) under the Exchange Act. Our</w:t>
      </w:r>
    </w:p>
    <w:p>
      <w:pPr>
        <w:spacing w:after="0" w:line="32" w:lineRule="exact"/>
        <w:rPr>
          <w:sz w:val="20"/>
          <w:szCs w:val="20"/>
          <w:color w:val="auto"/>
        </w:rPr>
      </w:pPr>
    </w:p>
    <w:p>
      <w:pPr>
        <w:ind w:left="1260"/>
        <w:spacing w:after="0"/>
        <w:tabs>
          <w:tab w:leader="none" w:pos="5060" w:val="left"/>
        </w:tabs>
        <w:rPr>
          <w:sz w:val="20"/>
          <w:szCs w:val="20"/>
          <w:color w:val="auto"/>
        </w:rPr>
      </w:pPr>
      <w:r>
        <w:rPr>
          <w:rFonts w:ascii="Arial" w:cs="Arial" w:eastAsia="Arial" w:hAnsi="Arial"/>
          <w:sz w:val="18"/>
          <w:szCs w:val="18"/>
          <w:color w:val="auto"/>
        </w:rPr>
        <w:t>remaining directors are not independent due to</w:t>
      </w:r>
      <w:r>
        <w:rPr>
          <w:sz w:val="20"/>
          <w:szCs w:val="20"/>
          <w:color w:val="auto"/>
        </w:rPr>
        <w:tab/>
      </w:r>
      <w:r>
        <w:rPr>
          <w:rFonts w:ascii="Arial" w:cs="Arial" w:eastAsia="Arial" w:hAnsi="Arial"/>
          <w:sz w:val="13"/>
          <w:szCs w:val="13"/>
          <w:color w:val="auto"/>
        </w:rPr>
        <w:t>.</w:t>
      </w:r>
    </w:p>
    <w:p>
      <w:pPr>
        <w:spacing w:after="0" w:line="103" w:lineRule="exact"/>
        <w:rPr>
          <w:sz w:val="20"/>
          <w:szCs w:val="20"/>
          <w:color w:val="auto"/>
        </w:rPr>
      </w:pPr>
    </w:p>
    <w:p>
      <w:pPr>
        <w:jc w:val="both"/>
        <w:ind w:left="1260" w:right="1259" w:firstLine="360"/>
        <w:spacing w:after="0" w:line="287" w:lineRule="auto"/>
        <w:rPr>
          <w:sz w:val="20"/>
          <w:szCs w:val="20"/>
          <w:color w:val="auto"/>
        </w:rPr>
      </w:pPr>
      <w:r>
        <w:rPr>
          <w:rFonts w:ascii="Arial" w:cs="Arial" w:eastAsia="Arial" w:hAnsi="Arial"/>
          <w:sz w:val="16"/>
          <w:szCs w:val="16"/>
          <w:color w:val="auto"/>
        </w:rPr>
        <w:t>After completion of this offering, the Refinitiv Owners will hold Class B common stock and Class D common stock collectively representing a majority of the combined voting power of our total outstanding common stock. As a result, we expect to be a “controlled company” within the meaning of the corporate</w:t>
      </w:r>
    </w:p>
    <w:p>
      <w:pPr>
        <w:spacing w:after="0" w:line="2" w:lineRule="exact"/>
        <w:rPr>
          <w:sz w:val="20"/>
          <w:szCs w:val="20"/>
          <w:color w:val="auto"/>
        </w:rPr>
      </w:pPr>
    </w:p>
    <w:p>
      <w:pPr>
        <w:ind w:left="1260" w:right="799"/>
        <w:spacing w:after="0" w:line="260" w:lineRule="auto"/>
        <w:rPr>
          <w:sz w:val="20"/>
          <w:szCs w:val="20"/>
          <w:color w:val="auto"/>
        </w:rPr>
      </w:pPr>
      <w:r>
        <w:rPr>
          <w:rFonts w:ascii="Arial" w:cs="Arial" w:eastAsia="Arial" w:hAnsi="Arial"/>
          <w:sz w:val="18"/>
          <w:szCs w:val="18"/>
          <w:color w:val="auto"/>
        </w:rPr>
        <w:t>governance standards of . Under these rules, a “controlled company” may elect not to comply with certain corporate governance requirements, including:</w:t>
      </w:r>
    </w:p>
    <w:p>
      <w:pPr>
        <w:spacing w:after="0" w:line="23" w:lineRule="exact"/>
        <w:rPr>
          <w:sz w:val="20"/>
          <w:szCs w:val="20"/>
          <w:color w:val="auto"/>
        </w:rPr>
      </w:pPr>
    </w:p>
    <w:p>
      <w:pPr>
        <w:ind w:left="1980" w:hanging="352"/>
        <w:spacing w:after="0"/>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63" w:lineRule="exact"/>
        <w:rPr>
          <w:rFonts w:ascii="Arial" w:cs="Arial" w:eastAsia="Arial" w:hAnsi="Arial"/>
          <w:sz w:val="18"/>
          <w:szCs w:val="18"/>
          <w:color w:val="auto"/>
        </w:rPr>
      </w:pPr>
    </w:p>
    <w:p>
      <w:pPr>
        <w:ind w:left="1980" w:right="1119" w:hanging="352"/>
        <w:spacing w:after="0" w:line="263"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21" w:lineRule="exact"/>
        <w:rPr>
          <w:rFonts w:ascii="Arial" w:cs="Arial" w:eastAsia="Arial" w:hAnsi="Arial"/>
          <w:sz w:val="18"/>
          <w:szCs w:val="18"/>
          <w:color w:val="auto"/>
        </w:rPr>
      </w:pPr>
    </w:p>
    <w:p>
      <w:pPr>
        <w:ind w:left="1980" w:right="1119" w:hanging="352"/>
        <w:spacing w:after="0" w:line="316" w:lineRule="auto"/>
        <w:tabs>
          <w:tab w:leader="none" w:pos="1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 and</w:t>
      </w:r>
    </w:p>
    <w:p>
      <w:pPr>
        <w:spacing w:after="0" w:line="1" w:lineRule="exact"/>
        <w:rPr>
          <w:rFonts w:ascii="Arial" w:cs="Arial" w:eastAsia="Arial" w:hAnsi="Arial"/>
          <w:sz w:val="16"/>
          <w:szCs w:val="16"/>
          <w:color w:val="auto"/>
        </w:rPr>
      </w:pPr>
    </w:p>
    <w:p>
      <w:pPr>
        <w:ind w:left="1980" w:right="1039" w:hanging="352"/>
        <w:spacing w:after="0" w:line="277"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committee and compensation committee.</w:t>
      </w:r>
    </w:p>
    <w:p>
      <w:pPr>
        <w:spacing w:after="0" w:line="62" w:lineRule="exact"/>
        <w:rPr>
          <w:sz w:val="20"/>
          <w:szCs w:val="20"/>
          <w:color w:val="auto"/>
        </w:rPr>
      </w:pPr>
    </w:p>
    <w:p>
      <w:pPr>
        <w:ind w:left="1260" w:right="899" w:firstLine="360"/>
        <w:spacing w:after="0" w:line="284" w:lineRule="auto"/>
        <w:rPr>
          <w:sz w:val="20"/>
          <w:szCs w:val="20"/>
          <w:color w:val="auto"/>
        </w:rPr>
      </w:pPr>
      <w:r>
        <w:rPr>
          <w:rFonts w:ascii="Arial" w:cs="Arial" w:eastAsia="Arial" w:hAnsi="Arial"/>
          <w:sz w:val="16"/>
          <w:szCs w:val="16"/>
          <w:color w:val="auto"/>
        </w:rPr>
        <w:t>Following this offering, we intend to utilize certain of these exemptions. As a result, we will not have a majority of independent directors, our nominating and corporate governance committee and compensation committee will not consist entirely of independent directors and such committees will not be subject to annual performance evaluations. Accordingly, you will not have the same protections afforded to stockholders of companies that are subject to all of the applicable stock exchange rules. See “Risk Factors — Risks Relating to This Offering and Ownership of Our Class A Common Stock — We are a “controlled company” within the</w:t>
      </w:r>
    </w:p>
    <w:p>
      <w:pPr>
        <w:spacing w:after="0" w:line="4" w:lineRule="exact"/>
        <w:rPr>
          <w:sz w:val="20"/>
          <w:szCs w:val="20"/>
          <w:color w:val="auto"/>
        </w:rPr>
      </w:pPr>
    </w:p>
    <w:p>
      <w:pPr>
        <w:ind w:left="1260" w:right="1239"/>
        <w:spacing w:after="0" w:line="260" w:lineRule="auto"/>
        <w:rPr>
          <w:sz w:val="20"/>
          <w:szCs w:val="20"/>
          <w:color w:val="auto"/>
        </w:rPr>
      </w:pPr>
      <w:r>
        <w:rPr>
          <w:rFonts w:ascii="Arial" w:cs="Arial" w:eastAsia="Arial" w:hAnsi="Arial"/>
          <w:sz w:val="18"/>
          <w:szCs w:val="18"/>
          <w:color w:val="auto"/>
        </w:rPr>
        <w:t>meaning of the corporate governance standards of and, as a result, will qualify for, and may rely on, exemptions from certain corporate governance requirements.”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Upon completion of this offering, our board of directors will have three committees: the audit committee; the compensation committee; and the nominating and corporate governance committee. Our board of directors may establish other committees to facilitate the management of our business. The expected composition and functions of the audit committee, compensation committee and nominating and corporate governance committee are described below.</w:t>
      </w:r>
    </w:p>
    <w:p>
      <w:pPr>
        <w:sectPr>
          <w:pgSz w:w="11900" w:h="16838" w:orient="portrait"/>
          <w:cols w:equalWidth="0" w:num="1">
            <w:col w:w="10139"/>
          </w:cols>
          <w:pgMar w:left="320" w:top="131" w:right="1440" w:bottom="1440" w:gutter="0" w:footer="0" w:header="0"/>
        </w:sect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620"/>
        <w:spacing w:after="0"/>
        <w:tabs>
          <w:tab w:leader="none" w:pos="4940" w:val="left"/>
          <w:tab w:leader="none" w:pos="6380" w:val="left"/>
          <w:tab w:leader="none" w:pos="7180" w:val="left"/>
          <w:tab w:leader="none" w:pos="7660" w:val="left"/>
        </w:tabs>
        <w:rPr>
          <w:sz w:val="20"/>
          <w:szCs w:val="20"/>
          <w:color w:val="auto"/>
        </w:rPr>
      </w:pPr>
      <w:r>
        <w:rPr>
          <w:rFonts w:ascii="Arial" w:cs="Arial" w:eastAsia="Arial" w:hAnsi="Arial"/>
          <w:sz w:val="18"/>
          <w:szCs w:val="18"/>
          <w:color w:val="auto"/>
        </w:rPr>
        <w:t>The members of the audit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qualifies as our “audit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committee financial expert” within the meaning of regulations adopted by the SEC. Our board of directors has</w:t>
      </w:r>
    </w:p>
    <w:p>
      <w:pPr>
        <w:spacing w:after="0" w:line="21"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also determined that are “independent” as defined under the rules and the Exchange Act and rules and regulations promulgated thereunder.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620"/>
        <w:spacing w:after="0"/>
        <w:tabs>
          <w:tab w:leader="none" w:pos="5580" w:val="left"/>
          <w:tab w:leader="none" w:pos="7060" w:val="left"/>
          <w:tab w:leader="none" w:pos="7760" w:val="left"/>
        </w:tabs>
        <w:rPr>
          <w:sz w:val="20"/>
          <w:szCs w:val="20"/>
          <w:color w:val="auto"/>
        </w:rPr>
      </w:pPr>
      <w:r>
        <w:rPr>
          <w:rFonts w:ascii="Arial" w:cs="Arial" w:eastAsia="Arial" w:hAnsi="Arial"/>
          <w:sz w:val="18"/>
          <w:szCs w:val="18"/>
          <w:color w:val="auto"/>
        </w:rPr>
        <w:t>The members of the compensation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principal</w:t>
      </w:r>
    </w:p>
    <w:p>
      <w:pPr>
        <w:spacing w:after="0" w:line="23" w:lineRule="exact"/>
        <w:rPr>
          <w:sz w:val="20"/>
          <w:szCs w:val="20"/>
          <w:color w:val="auto"/>
        </w:rPr>
      </w:pPr>
    </w:p>
    <w:p>
      <w:pPr>
        <w:ind w:left="1260" w:right="819"/>
        <w:spacing w:after="0" w:line="302" w:lineRule="auto"/>
        <w:rPr>
          <w:sz w:val="20"/>
          <w:szCs w:val="20"/>
          <w:color w:val="auto"/>
        </w:rPr>
      </w:pPr>
      <w:r>
        <w:rPr>
          <w:rFonts w:ascii="Arial" w:cs="Arial" w:eastAsia="Arial" w:hAnsi="Arial"/>
          <w:sz w:val="16"/>
          <w:szCs w:val="16"/>
          <w:color w:val="auto"/>
        </w:rPr>
        <w:t>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620"/>
        <w:spacing w:after="0"/>
        <w:tabs>
          <w:tab w:leader="none" w:pos="7300" w:val="left"/>
          <w:tab w:leader="none" w:pos="8740" w:val="left"/>
        </w:tabs>
        <w:rPr>
          <w:sz w:val="20"/>
          <w:szCs w:val="20"/>
          <w:color w:val="auto"/>
        </w:rPr>
      </w:pPr>
      <w:r>
        <w:rPr>
          <w:rFonts w:ascii="Arial" w:cs="Arial" w:eastAsia="Arial" w:hAnsi="Arial"/>
          <w:sz w:val="18"/>
          <w:szCs w:val="18"/>
          <w:color w:val="auto"/>
        </w:rPr>
        <w:t>The members of the nominating and corporate governance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5"/>
          <w:szCs w:val="15"/>
          <w:color w:val="auto"/>
        </w:rPr>
        <w:t>, and</w:t>
      </w:r>
    </w:p>
    <w:p>
      <w:pPr>
        <w:spacing w:after="0" w:line="23" w:lineRule="exact"/>
        <w:rPr>
          <w:sz w:val="20"/>
          <w:szCs w:val="20"/>
          <w:color w:val="auto"/>
        </w:rPr>
      </w:pPr>
    </w:p>
    <w:p>
      <w:pPr>
        <w:ind w:left="1260" w:right="1139" w:firstLine="413"/>
        <w:spacing w:after="0" w:line="302" w:lineRule="auto"/>
        <w:tabs>
          <w:tab w:leader="none" w:pos="17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adopted a Code of Ethics and Business Conduct applicable to all of our directors, officers (including our principal executive officer, principal financial officer and principal accounting officer) and all global employees. Our Code of Ethics and Business Conduct is available on our website at www.tradeweb.com. In the event that we amend or waive certain provisions of our Code of Ethics and Business Conduct applicable to our principal executive officer, principal financial officer or principal accounting officer that requires disclosure under applicable SEC rules, we intend to disclose the same on our website.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most recently completed fiscal year ended December 31, 2018, with respect to Tradeweb’s named executive officers, including: Lee Olesky, Tradeweb’s Chief Executive Officer; William Hult, Tradeweb’s President; and James Spencer, Tradeweb’s Chief Technology Officer (collectively, Tradeweb’s “named executive officers”).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 2018.</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Incentive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r>
      <w:tr>
        <w:trPr>
          <w:trHeight w:val="186"/>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0"/>
        </w:trPr>
        <w:tc>
          <w:tcPr>
            <w:tcW w:w="2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Lee Olesky</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770,000</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2,952,000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19,933,644</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6,400,000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44,526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30,100,170</w:t>
            </w:r>
          </w:p>
        </w:tc>
      </w:tr>
      <w:tr>
        <w:trPr>
          <w:trHeight w:val="212"/>
        </w:trPr>
        <w:tc>
          <w:tcPr>
            <w:tcW w:w="21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6"/>
        </w:trPr>
        <w:tc>
          <w:tcPr>
            <w:tcW w:w="2140" w:type="dxa"/>
            <w:vAlign w:val="bottom"/>
            <w:gridSpan w:val="3"/>
          </w:tcPr>
          <w:p>
            <w:pPr>
              <w:spacing w:after="0"/>
              <w:rPr>
                <w:sz w:val="20"/>
                <w:szCs w:val="20"/>
                <w:color w:val="auto"/>
              </w:rPr>
            </w:pPr>
            <w:r>
              <w:rPr>
                <w:rFonts w:ascii="Arial" w:cs="Arial" w:eastAsia="Arial" w:hAnsi="Arial"/>
                <w:sz w:val="16"/>
                <w:szCs w:val="16"/>
                <w:color w:val="auto"/>
              </w:rPr>
              <w:t>William Hult</w:t>
            </w: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2018</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660,000</w:t>
            </w:r>
          </w:p>
        </w:tc>
        <w:tc>
          <w:tcPr>
            <w:tcW w:w="540" w:type="dxa"/>
            <w:vAlign w:val="bottom"/>
            <w:gridSpan w:val="2"/>
          </w:tcPr>
          <w:p>
            <w:pPr>
              <w:jc w:val="center"/>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2,461,250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10,678,738</w:t>
            </w:r>
          </w:p>
        </w:tc>
        <w:tc>
          <w:tcPr>
            <w:tcW w:w="940" w:type="dxa"/>
            <w:vAlign w:val="bottom"/>
          </w:tcPr>
          <w:p>
            <w:pPr>
              <w:jc w:val="right"/>
              <w:ind w:right="45"/>
              <w:spacing w:after="0"/>
              <w:rPr>
                <w:sz w:val="20"/>
                <w:szCs w:val="20"/>
                <w:color w:val="auto"/>
              </w:rPr>
            </w:pPr>
            <w:r>
              <w:rPr>
                <w:rFonts w:ascii="Arial" w:cs="Arial" w:eastAsia="Arial" w:hAnsi="Arial"/>
                <w:sz w:val="16"/>
                <w:szCs w:val="16"/>
                <w:color w:val="auto"/>
              </w:rPr>
              <w:t>5,700,000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43,676</w:t>
            </w: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19,543,664</w:t>
            </w:r>
          </w:p>
        </w:tc>
      </w:tr>
      <w:tr>
        <w:trPr>
          <w:trHeight w:val="209"/>
        </w:trPr>
        <w:tc>
          <w:tcPr>
            <w:tcW w:w="2140" w:type="dxa"/>
            <w:vAlign w:val="bottom"/>
            <w:gridSpan w:val="3"/>
          </w:tcPr>
          <w:p>
            <w:pPr>
              <w:ind w:left="180"/>
              <w:spacing w:after="0"/>
              <w:rPr>
                <w:sz w:val="20"/>
                <w:szCs w:val="20"/>
                <w:color w:val="auto"/>
              </w:rPr>
            </w:pPr>
            <w:r>
              <w:rPr>
                <w:rFonts w:ascii="Arial" w:cs="Arial" w:eastAsia="Arial" w:hAnsi="Arial"/>
                <w:sz w:val="16"/>
                <w:szCs w:val="16"/>
                <w:color w:val="auto"/>
              </w:rPr>
              <w:t>President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9"/>
        </w:trPr>
        <w:tc>
          <w:tcPr>
            <w:tcW w:w="2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Spencer</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400,000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1,993,364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38,222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21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Technology Officer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-967740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-967740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-967740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-967740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-967740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-967740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-967740</wp:posOffset>
            </wp:positionV>
            <wp:extent cx="596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-967740</wp:posOffset>
            </wp:positionV>
            <wp:extent cx="514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left="1620" w:right="759" w:hanging="352"/>
        <w:spacing w:after="0" w:line="259"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Spencer is entitled to a discretionary annual bonus as described below in “Narrative Disclosure to Summary Compensation Table—Annual Cash Incentive Awards.” The amount included in the “Bonus” column represents the anticipated bonus to be paid in respect of 2018, which will be determined and paid in March 2019.</w:t>
      </w:r>
    </w:p>
    <w:p>
      <w:pPr>
        <w:spacing w:after="0" w:line="159" w:lineRule="exact"/>
        <w:rPr>
          <w:rFonts w:ascii="Arial" w:cs="Arial" w:eastAsia="Arial" w:hAnsi="Arial"/>
          <w:sz w:val="18"/>
          <w:szCs w:val="18"/>
          <w:color w:val="auto"/>
        </w:rPr>
      </w:pPr>
    </w:p>
    <w:p>
      <w:pPr>
        <w:ind w:left="1620" w:right="699" w:hanging="352"/>
        <w:spacing w:after="0" w:line="254"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11, “Stock-based Compensation Plans,” to the consolidated financial statements included elsewhere in this prospectus. In addition, assuming that the highest level of performance conditions will be achieved with respect to the PRSUs, the grant date fair value of these awards would have been $4,428,000 for Mr. Olesky, $3,691,875 for Mr. Hult and $675,000 for Mr. Spencer.</w:t>
      </w:r>
    </w:p>
    <w:p>
      <w:pPr>
        <w:spacing w:after="0" w:line="154" w:lineRule="exact"/>
        <w:rPr>
          <w:rFonts w:ascii="Arial" w:cs="Arial" w:eastAsia="Arial" w:hAnsi="Arial"/>
          <w:sz w:val="18"/>
          <w:szCs w:val="18"/>
          <w:color w:val="auto"/>
        </w:rPr>
      </w:pPr>
    </w:p>
    <w:p>
      <w:pPr>
        <w:ind w:left="1620" w:right="839" w:hanging="352"/>
        <w:spacing w:after="0" w:line="25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the section titled “Management Discussion and Analysis of Financial Condition and Results of Operations—Critical Accounting Policies and Estimates— Stock-Based Compensation.”</w:t>
      </w:r>
    </w:p>
    <w:p>
      <w:pPr>
        <w:spacing w:after="0" w:line="147" w:lineRule="exact"/>
        <w:rPr>
          <w:rFonts w:ascii="Arial" w:cs="Arial" w:eastAsia="Arial" w:hAnsi="Arial"/>
          <w:sz w:val="18"/>
          <w:szCs w:val="18"/>
          <w:color w:val="auto"/>
        </w:rPr>
      </w:pPr>
    </w:p>
    <w:p>
      <w:pPr>
        <w:ind w:left="1620" w:right="679" w:hanging="352"/>
        <w:spacing w:after="0" w:line="25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Messrs. Olesky and Hult’s annual performance bonuses earned in respect of fiscal year 2018, which amounts are based on performance targets as set forth in their applicable employment agreements for such fiscal years as described below in “—Narrative Disclosure to Summary Compensation Table—Employment Agreements,” and are anticipated to be paid in March 2019.</w:t>
      </w:r>
    </w:p>
    <w:p>
      <w:pPr>
        <w:spacing w:after="0" w:line="147" w:lineRule="exact"/>
        <w:rPr>
          <w:rFonts w:ascii="Arial" w:cs="Arial" w:eastAsia="Arial" w:hAnsi="Arial"/>
          <w:sz w:val="18"/>
          <w:szCs w:val="18"/>
          <w:color w:val="auto"/>
        </w:rPr>
      </w:pPr>
    </w:p>
    <w:p>
      <w:pPr>
        <w:ind w:left="1620" w:right="69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included in the “All Other Compensation” column represent (i) financial planning services, (ii) executive life insurance, (iii) group life insurance, (iv) matching contributions to the</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859"/>
        <w:spacing w:after="0" w:line="259" w:lineRule="auto"/>
        <w:rPr>
          <w:sz w:val="20"/>
          <w:szCs w:val="20"/>
          <w:color w:val="auto"/>
        </w:rPr>
      </w:pPr>
      <w:r>
        <w:rPr>
          <w:rFonts w:ascii="Arial" w:cs="Arial" w:eastAsia="Arial" w:hAnsi="Arial"/>
          <w:sz w:val="18"/>
          <w:szCs w:val="18"/>
          <w:color w:val="auto"/>
        </w:rPr>
        <w:t>Company’s 401(k) plan, and (v) for Messrs. Olesky and Hult, annual club membership dues.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Messrs. Olesky and Hult are each party to an employment agreement with TWM LLC, summarized below.</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Chief Executive Officer (Lee Olesky)</w:t>
      </w:r>
    </w:p>
    <w:p>
      <w:pPr>
        <w:spacing w:after="0" w:line="90" w:lineRule="exact"/>
        <w:rPr>
          <w:sz w:val="20"/>
          <w:szCs w:val="20"/>
          <w:color w:val="auto"/>
        </w:rPr>
      </w:pPr>
    </w:p>
    <w:p>
      <w:pPr>
        <w:ind w:left="1260" w:right="719" w:firstLine="360"/>
        <w:spacing w:after="0" w:line="284" w:lineRule="auto"/>
        <w:rPr>
          <w:sz w:val="20"/>
          <w:szCs w:val="20"/>
          <w:color w:val="auto"/>
        </w:rPr>
      </w:pPr>
      <w:r>
        <w:rPr>
          <w:rFonts w:ascii="Arial" w:cs="Arial" w:eastAsia="Arial" w:hAnsi="Arial"/>
          <w:sz w:val="16"/>
          <w:szCs w:val="16"/>
          <w:color w:val="auto"/>
        </w:rPr>
        <w:t>TWM LLC is party to an employment agreement with Mr. Olesky (the “CEO Employment Agreement”) for the position of Chief Executive Officer of TWM LLC (“CEO”). For as long as he is CEO, Mr. Olesky is entitled to be a member of the board of directors of Tradeweb Markets Inc. (the “Board”). The CEO Employment Agreement provides for an initial term ending on January 1, 2018,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w:t>
      </w:r>
    </w:p>
    <w:p>
      <w:pPr>
        <w:spacing w:after="0" w:line="2" w:lineRule="exact"/>
        <w:rPr>
          <w:sz w:val="20"/>
          <w:szCs w:val="20"/>
          <w:color w:val="auto"/>
        </w:rPr>
      </w:pPr>
    </w:p>
    <w:p>
      <w:pPr>
        <w:ind w:left="1260" w:right="679"/>
        <w:spacing w:after="0" w:line="251" w:lineRule="auto"/>
        <w:rPr>
          <w:sz w:val="20"/>
          <w:szCs w:val="20"/>
          <w:color w:val="auto"/>
        </w:rPr>
      </w:pPr>
      <w:r>
        <w:rPr>
          <w:rFonts w:ascii="Arial" w:cs="Arial" w:eastAsia="Arial" w:hAnsi="Arial"/>
          <w:sz w:val="18"/>
          <w:szCs w:val="18"/>
          <w:color w:val="auto"/>
        </w:rPr>
        <w:t>Mr. Olesky is also eligible to participate in an annual bonus plan, with a target bonus opportunity of $3.2 million (the “CEO Target Bonus”). Achievement of the CEO Target Bonus is based on TWM LLC’s attainment of certain performance goals set annually by the Board in consultation with Mr. Olesky. The actual amount paid to him can be greater or less than the CEO Target Bonus depending on the extent to which these goals are achieved (or exceeded). For 2018, achievement of the CEO Target Bonus is based on attainment of annual revenue targets and a minimum EBITDA threshold. Mr. Olesky is also entitled to participate in TWM LLC’s executive employee benefit plans, including its PRSU Plan (as described further below), and is entitled to six weeks of paid vacation annually.</w:t>
      </w:r>
    </w:p>
    <w:p>
      <w:pPr>
        <w:spacing w:after="0" w:line="90"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(y) in the event of a termination without Good Reason, twelve (12) months following termination; provided, that, in respect of clauses (x) and (y) above,</w:t>
      </w:r>
    </w:p>
    <w:p>
      <w:pPr>
        <w:spacing w:after="0" w:line="2" w:lineRule="exact"/>
        <w:rPr>
          <w:sz w:val="20"/>
          <w:szCs w:val="20"/>
          <w:color w:val="auto"/>
        </w:rPr>
      </w:pPr>
    </w:p>
    <w:p>
      <w:pPr>
        <w:ind w:left="1260" w:right="819"/>
        <w:spacing w:after="0" w:line="281" w:lineRule="auto"/>
        <w:rPr>
          <w:sz w:val="20"/>
          <w:szCs w:val="20"/>
          <w:color w:val="auto"/>
        </w:rPr>
      </w:pPr>
      <w:r>
        <w:rPr>
          <w:rFonts w:ascii="Arial" w:cs="Arial" w:eastAsia="Arial" w:hAnsi="Arial"/>
          <w:sz w:val="16"/>
          <w:szCs w:val="16"/>
          <w:color w:val="auto"/>
        </w:rPr>
        <w:t>Mr. Olesky’s service as a non-executive director or in a similar capacity with respect to a Restricted Enterprise (as defined in the CEO Employment Agreement) is not deemed to be a violation of the noncompetition restriction, unless the Restricted Enterprise is ICAP, MarketAxess, Markit or Bloomberg, in which case such service is not permitted for six (6) months following termination; and (z) in the event of a termination for Cause</w:t>
      </w:r>
    </w:p>
    <w:p>
      <w:pPr>
        <w:spacing w:after="0" w:line="2" w:lineRule="exact"/>
        <w:rPr>
          <w:sz w:val="20"/>
          <w:szCs w:val="20"/>
          <w:color w:val="auto"/>
        </w:rPr>
      </w:pPr>
    </w:p>
    <w:p>
      <w:pPr>
        <w:ind w:left="1260" w:right="679" w:firstLine="8"/>
        <w:spacing w:after="0" w:line="252" w:lineRule="auto"/>
        <w:tabs>
          <w:tab w:leader="none" w:pos="14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pursuant to clauses (a) or (d) of the definition of “Cause,” twelve (12) months following termination, and (ii) if pursuant to clauses (b) or (c) of the definition of “Cause,” six (6) months following termination. The definitions of “Cause” and “Good Reason” as defined in the CEO Employment Agreement are described below under “—Additional Narrative Disclosures—Potential Payments upon Termination or Change in Control.” The “Non-Solicitation Period” means, (x) in the event of a termination without Cause or resignation for Good Reason, eighteen (18) months following termination; and (y) in the event of a termination without Good Reason, twelve (12) months following termination.</w:t>
      </w:r>
    </w:p>
    <w:p>
      <w:pPr>
        <w:spacing w:after="0" w:line="84"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“—Additional Narrative Disclosures—Potential Payments upon Termination or Change in Control.”</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President (William Hult)</w:t>
      </w:r>
    </w:p>
    <w:p>
      <w:pPr>
        <w:spacing w:after="0" w:line="90" w:lineRule="exact"/>
        <w:rPr>
          <w:sz w:val="20"/>
          <w:szCs w:val="20"/>
          <w:color w:val="auto"/>
        </w:rPr>
      </w:pPr>
    </w:p>
    <w:p>
      <w:pPr>
        <w:ind w:left="1260" w:right="919" w:firstLine="360"/>
        <w:spacing w:after="0" w:line="308" w:lineRule="auto"/>
        <w:rPr>
          <w:sz w:val="20"/>
          <w:szCs w:val="20"/>
          <w:color w:val="auto"/>
        </w:rPr>
      </w:pPr>
      <w:r>
        <w:rPr>
          <w:rFonts w:ascii="Arial" w:cs="Arial" w:eastAsia="Arial" w:hAnsi="Arial"/>
          <w:sz w:val="17"/>
          <w:szCs w:val="17"/>
          <w:color w:val="auto"/>
        </w:rPr>
        <w:t>TWM LLC is party to an employment agreement with Mr. Hult (the “President Employment Agreement” and together with the CEO Employment Agreement, the “Employment Agreements”) for the</w:t>
      </w: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position of President of TWM LLC. For as long as he is President, Mr. Hult is entitled to be a member of the Board. The President Employment Agreement provides for an initial term ending on January 1, 2019, 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$2.85 million (the “President Target Bonus”). Achievement of the President Target Bonus is based on TWM LLC’s attainment of certain performance goals set annually by the Board in consultation with Mr. Hult. The actual amount paid to him can be greater or less than the President Target Bonus depending on the extent to which these goals are achieved (or exceeded). For 2018, achievement of the President Target Bonus is based on attainment of annual revenue targets and a minimum EBITDA threshold. Mr. Hult is also entitled to participate in TWM LLC’s executive employee benefit plans, including its PRSU Plan, and is entitled to six weeks of paid vacation annually.</w:t>
      </w:r>
    </w:p>
    <w:p>
      <w:pPr>
        <w:spacing w:after="0" w:line="78"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(y) in the event of a termination without Good Reason, twelve (12) months following termination; and (z) in the event of a termination for Cause (i) if pursuant to clauses (a) or (d) of the definition of “Cause,” twelve (12) months following termination, and (ii) if pursuant to clauses (b) or (c) of the definition of “Cause,” six (6) months following termination. The definitions of “Cause” and “Good Reason” as defined in the President Employment Agreement are described below under “— Additional Narrative Disclosures—Potential Payments upon Termination or Change in Control.”</w:t>
      </w:r>
    </w:p>
    <w:p>
      <w:pPr>
        <w:spacing w:after="0" w:line="74" w:lineRule="exact"/>
        <w:rPr>
          <w:sz w:val="20"/>
          <w:szCs w:val="20"/>
          <w:color w:val="auto"/>
        </w:rPr>
      </w:pPr>
    </w:p>
    <w:p>
      <w:pPr>
        <w:ind w:left="1260" w:right="1339" w:firstLine="360"/>
        <w:spacing w:after="0" w:line="342"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“—Potential Payments upon Termination or Change in Control.”</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Spencer is eligible to receive an annual cash bonus in the discretion of TWM LLC’s CEO.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Tradeweb Markets Inc. 2018 Share Option Plan</w:t>
      </w:r>
    </w:p>
    <w:p>
      <w:pPr>
        <w:spacing w:after="0" w:line="10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connection with this offering, the Board has adopted the Amended and Restated Tradeweb Markets Inc. 2018 Share Option Plan (previously the TWM LLC 2018 Share Option Plan), as may be amended from time to time (the “Option Plan”), under which there are 13,912.7333 shares of Class A common stock of the Company (“Shares”) reserved for the issuance of options to purchase Shares (“Options”). The Option Plan was established in connection with the Refinitiv Transaction to recruit and retain key employees and consultants and to motivate key employees, directors and consultants by providing such participating individuals with a proprietary interest in the performance of the Company.</w:t>
      </w:r>
    </w:p>
    <w:p>
      <w:pPr>
        <w:spacing w:after="0" w:line="8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i w:val="1"/>
          <w:iCs w:val="1"/>
          <w:color w:val="auto"/>
        </w:rPr>
        <w:t xml:space="preserve">Shares Subject to the Plan. </w:t>
      </w:r>
      <w:r>
        <w:rPr>
          <w:rFonts w:ascii="Arial" w:cs="Arial" w:eastAsia="Arial" w:hAnsi="Arial"/>
          <w:sz w:val="18"/>
          <w:szCs w:val="18"/>
          <w:color w:val="auto"/>
        </w:rPr>
        <w:t>There are currently 13,912.7333 Shares reserved for issuance under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“Reserved Shares”). Any Shares related to an Option that lapses or otherwise terminates without issuance of the Shares shall again be available for issuance. Under the Option Plan, as of the date of an IPO (including this offering) of the Company or any of its affiliates (as defined in the Option Plan), the Reserved Shares will no longer be subject to increase, subject to certain provisions of the Option Plan related to technical adjustments. If at any time the Reserved Shares exceeds 8% of the fully diluted equity of the Company (excluding PRSUs granted prior to the date the Option Plan was adopted) (the “Share Cap”), the Reserved Shares will be reduced by such excess.</w:t>
      </w:r>
    </w:p>
    <w:p>
      <w:pPr>
        <w:spacing w:after="0" w:line="84" w:lineRule="exact"/>
        <w:rPr>
          <w:sz w:val="20"/>
          <w:szCs w:val="20"/>
          <w:color w:val="auto"/>
        </w:rPr>
      </w:pPr>
    </w:p>
    <w:p>
      <w:pPr>
        <w:jc w:val="both"/>
        <w:ind w:left="1260" w:right="799" w:firstLine="360"/>
        <w:spacing w:after="0" w:line="27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Following an IPO, the Option Plan will be administered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“Compensation Committee”). The Compensation Committee has the authority in its discretion to determine the employees, directors and consultants of the Company to whom Options may be granted and in what amounts. The Compensation Committee also has the authority in its</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discretion to determine the exercise price of Options, the vesting schedules and other conditions of the Option, and the authority to interpret the Option Plan and to make any other determinations it deems necessary under the Option Plan. The Compensation Committee may correct any defect, supply any omission, or 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103"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6"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6"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i w:val="1"/>
          <w:iCs w:val="1"/>
          <w:color w:val="auto"/>
        </w:rPr>
        <w:t xml:space="preserve">Vesting. </w:t>
      </w:r>
      <w:r>
        <w:rPr>
          <w:rFonts w:ascii="Arial" w:cs="Arial" w:eastAsia="Arial" w:hAnsi="Arial"/>
          <w:sz w:val="17"/>
          <w:szCs w:val="17"/>
          <w:color w:val="auto"/>
        </w:rPr>
        <w:t>The Compensation Committee shall determine the time or times at which an Option shall become</w:t>
      </w:r>
      <w:r>
        <w:rPr>
          <w:rFonts w:ascii="Arial" w:cs="Arial" w:eastAsia="Arial" w:hAnsi="Arial"/>
          <w:sz w:val="17"/>
          <w:szCs w:val="17"/>
          <w:i w:val="1"/>
          <w:iCs w:val="1"/>
          <w:color w:val="auto"/>
        </w:rPr>
        <w:t xml:space="preserve"> </w:t>
      </w:r>
      <w:r>
        <w:rPr>
          <w:rFonts w:ascii="Arial" w:cs="Arial" w:eastAsia="Arial" w:hAnsi="Arial"/>
          <w:sz w:val="17"/>
          <w:szCs w:val="17"/>
          <w:color w:val="auto"/>
        </w:rPr>
        <w:t>vested and exercisable. To date, all outstanding Options granted under the Option Plan are subject to the following vesting provisions: (i) 50% of the Option vests based over time on continued employment (the “Time-Based Portion”), and (ii) 50% of the Option vests based on satisfying certain performance conditions (the “Performance-Based Portion”), each as further described below.</w:t>
      </w:r>
    </w:p>
    <w:p>
      <w:pPr>
        <w:spacing w:after="0" w:line="68"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The Time-Based Portion vests 25% on January 1, 2019 and 25% on each anniversary thereafter until January 2022, and vests in full upon a change of control (as defined in the Option Plan), subject to continued employment on such date, or the participant’s termination without Cause or resignation for Good Reason (as such terms are defined in the Option Plan) within 90 days prior to the consummation of a change in control.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Performance-Based Portion, (i) 50% is eligible to vest in four equal installments in each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calendar years 2018, 2019, 2020 and 2021 based on achievement of Company EBITDA targets for the applicable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calendar year, and (ii) 50% is eligible to vest in four equal installments in each of calendar years 2018, 2019,</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2020 and 2021 based on the Company’s achievement for the relevant calendar year of certain revenue targets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“Revenue-Based Portion”). In the event at least 80% of the applicable revenue target is achieved for a given year,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Revenue-Based Portion will vest as to 0%, based on 80% achievement of target, and 100%, based on full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achievement of target, and performance achievement between 80% and 100% of target will vest based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straight-line interpolation from 0% to 100%. To the extent the relevant EBITDA targets and revenue targets are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not achieved for any calendar year, the portion of the Performance-Based Portion eligible to become vested for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such year shall become vested the first time the relevant EBITDA and revenue targets are fully achieved in a later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year, if at all. If a change in control occurs prior to the date the Compensation Committee determines whether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relevant performance-conditions have been achieved for 2021, any portion of the Performance-Based Portion that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remains unvested shall be eligible to become vested as of the change of control to the extent the applicable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remaining EBITDA targets or revenue targets will have been deemed satisfied as of the change of control (which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targets will be calculated based on the Company’s most recent performance and deemed satisfied to the extent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Compensation Committee determines in good faith that the equity value implied in the change in control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 equals or exceeds the equity value implied by the relevant performance targets). Any remaining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unvested portion will be forfeited upon such change of control.</w:t>
      </w:r>
    </w:p>
    <w:p>
      <w:pPr>
        <w:spacing w:after="0" w:line="103"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Termination of Employment; Retirement. </w:t>
      </w:r>
      <w:r>
        <w:rPr>
          <w:rFonts w:ascii="Arial" w:cs="Arial" w:eastAsia="Arial" w:hAnsi="Arial"/>
          <w:sz w:val="18"/>
          <w:szCs w:val="18"/>
          <w:color w:val="auto"/>
        </w:rPr>
        <w:t>The Compensation Committee may determine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Option following termination of employment. To date, all outstanding Options granted under the Option Plan are subject to the following terms upon certain terminations of employment.</w:t>
      </w:r>
    </w:p>
    <w:p>
      <w:pPr>
        <w:spacing w:after="0" w:line="76" w:lineRule="exact"/>
        <w:rPr>
          <w:sz w:val="20"/>
          <w:szCs w:val="20"/>
          <w:color w:val="auto"/>
        </w:rPr>
      </w:pPr>
    </w:p>
    <w:p>
      <w:pPr>
        <w:ind w:left="1260" w:right="1179" w:firstLine="360"/>
        <w:spacing w:after="0" w:line="311" w:lineRule="auto"/>
        <w:rPr>
          <w:sz w:val="20"/>
          <w:szCs w:val="20"/>
          <w:color w:val="auto"/>
        </w:rPr>
      </w:pPr>
      <w:r>
        <w:rPr>
          <w:rFonts w:ascii="Arial" w:cs="Arial" w:eastAsia="Arial" w:hAnsi="Arial"/>
          <w:sz w:val="16"/>
          <w:szCs w:val="16"/>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termination shall be automatically cancelled by the Company and the vested portion of the Option shall remain outstanding and exercisable for (i) in the case of the participant’s resignation without Good Reason, 45 days following the later of (x) the date of resignation and (y) the date on which the vested portion of the Option first becomes exercisable, (ii) in the case of a termination of the participant’s employment by the Company without Cause or by the participant for Good Reason, the ninety (90) day period following the later of (x) the date of termination and (y) the date on which the vested portion of the Option first becomes exercisable, or (iii) in the case of a termination of the participant’s employment on account of death or Disability (as defined in the Option Plan), the one (1) year period following the later of (x) the date of termination and (y) the date on which the vested portion of the Option first becomes exercisable.</w:t>
      </w:r>
    </w:p>
    <w:p>
      <w:pPr>
        <w:spacing w:after="0" w:line="73"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the term (or a breach of restrictive covenants) or until exercised, if earlier.</w:t>
      </w:r>
    </w:p>
    <w:p>
      <w:pPr>
        <w:spacing w:after="0" w:line="56" w:lineRule="exact"/>
        <w:rPr>
          <w:sz w:val="20"/>
          <w:szCs w:val="20"/>
          <w:color w:val="auto"/>
        </w:rPr>
      </w:pPr>
    </w:p>
    <w:p>
      <w:pPr>
        <w:ind w:left="1260" w:right="679" w:firstLine="360"/>
        <w:spacing w:after="0" w:line="283"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(B) if such exercise occurs prior to the expiration of any underwriters’ lockup associated with an IPO (including this offering) and the participant’s service has not terminated or the participant was terminated without Cause or resigned for Good Reason, by a reduction in the number of Purchased Shares to be issued upon such exercise having a fair market value on the date of exercise equal to the aggregate exercise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 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80"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As a condition to the exercise of any portion of the Option, the participant must, with respect to such exercise, remit to the Company any applicable withholding taxes, which the participant my remit by making a “cashless” or “net settlement” election as described below. Prior to the expiration of any underwriters’ lockup associated with an IPO, if the participant’s service has not terminated or the participant was terminated without Cause or resigned for Good Reason, the participant may choose to satisfy such obligations by electing at the time of exercise to reduce the number of Purchased Shares to be issued upon such exercise by a number of Shares having a fair market value on the date of exercise equal to the</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minimum withholding and employment taxes payable in respect of the Purchased Shares. Following the expiration of any underwriters’ lockup associated with an IPO, the participant may satisfy such obligations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immediately preceding sentence) and the Company has declined to do so.</w:t>
      </w:r>
    </w:p>
    <w:p>
      <w:pPr>
        <w:spacing w:after="0" w:line="84"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(i) 180 days following the pricing date of an IPO (including this offering) and (ii) 90 days after the pricing date of any subsequent offering or, in each case, (x) such longer period of time as may be reasonably requested by the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the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0"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7" w:lineRule="exact"/>
        <w:rPr>
          <w:sz w:val="20"/>
          <w:szCs w:val="20"/>
          <w:color w:val="auto"/>
        </w:rPr>
      </w:pPr>
    </w:p>
    <w:p>
      <w:pPr>
        <w:ind w:left="1260" w:right="65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Change in Control. </w:t>
      </w:r>
      <w:r>
        <w:rPr>
          <w:rFonts w:ascii="Arial" w:cs="Arial" w:eastAsia="Arial" w:hAnsi="Arial"/>
          <w:sz w:val="16"/>
          <w:szCs w:val="16"/>
          <w:color w:val="auto"/>
        </w:rPr>
        <w:t>In the event of a change of control, (i)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U.S. Internal Revenue Code of 1986, as amended (the “Code”), on a deferred basis, in each case as determined by the Compensation Committee in its discretion) in respect of each Share covered by the Option being cancelled in an amount equal to the excess, if any, of the per Share consideration to be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distributed to shareholders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7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Compensation Committee, an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or assignable by a participant in the Option Plan other than (i) an assignment or transfer to the participant’s spouse or descendants or any trust, limited partnership or other entity solely for the benefit of the participant or their spouse to descendants, provided that the transferee executes an option agreement, and (ii) by will or the laws of descent and distribution.</w:t>
      </w:r>
    </w:p>
    <w:p>
      <w:pPr>
        <w:spacing w:after="0" w:line="8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 xml:space="preserve">Amendment or Termination of the Option Plan. </w:t>
      </w:r>
      <w:r>
        <w:rPr>
          <w:rFonts w:ascii="Arial" w:cs="Arial" w:eastAsia="Arial" w:hAnsi="Arial"/>
          <w:sz w:val="18"/>
          <w:szCs w:val="18"/>
          <w:color w:val="auto"/>
        </w:rPr>
        <w:t>The Board may amend, alter or discontinue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provided, however, that no alteration or discontinuation may be made without the consent of the participant if such action would diminish any of the rights of such participant under any Option. The Compensation Committee may amend the Option Plan (i) in such a manner as it reasonably deems necessary to comply with applicable law or to avoid the application of any tax penalty and (ii) with the consent of the CEO, without the consent of the participant if so long as any such amendment, alteration or discontinuation treats each similarly situated participant in a materially similar manner.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Awards Outstanding under the Option Plan</w:t>
      </w:r>
    </w:p>
    <w:p>
      <w:pPr>
        <w:spacing w:after="0" w:line="104" w:lineRule="exact"/>
        <w:rPr>
          <w:sz w:val="20"/>
          <w:szCs w:val="20"/>
          <w:color w:val="auto"/>
        </w:rPr>
      </w:pPr>
    </w:p>
    <w:p>
      <w:pPr>
        <w:ind w:left="1260" w:right="659" w:firstLine="360"/>
        <w:spacing w:after="0" w:line="301"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Spencer were granted a nonqualified stock option to purchase 4,869.4567, 2,608.6375 and 486.9457 Shares, respectively, on October 26, 2018. Each of the nonqualified stock options awards granted to Messrs. Olesky, Hult and Spencer was granted with an exercise price of $28,594.39 per Share.</w:t>
      </w:r>
    </w:p>
    <w:p>
      <w:pPr>
        <w:spacing w:after="0" w:line="49"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option awards vest and become exercisable based on continued employment and achievement of certain performance thresholds, as further described above under “—Narrative Disclosure to Summary Compensation Table—Amended and Restated Tradeweb Markets Inc. 2018 Share Option Plan—Vesting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all of the options awarded to our NEOs provide for accelerated vesting upon the occurrence of certain events, as described below in “—Additional Narrative Disclosures—Potential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PRSU Plan</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connection with this offering, 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Spencer were granted PRSUs on February 26, 2016, May 9, 2017 and February 27, 2018 which vest in full on January 1 of 2019, 2020 and 2021, respectively, as further described below on table titled “Outstanding Equity Awards at Fiscal Year-End.” Following this offering, the Company does not intend to grant any new PRSU awards under the PRSU Plan.</w:t>
      </w:r>
    </w:p>
    <w:p>
      <w:pPr>
        <w:spacing w:after="0" w:line="77"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i w:val="1"/>
          <w:iCs w:val="1"/>
          <w:color w:val="auto"/>
        </w:rPr>
        <w:t xml:space="preserve">Grant Process. </w:t>
      </w:r>
      <w:r>
        <w:rPr>
          <w:rFonts w:ascii="Arial" w:cs="Arial" w:eastAsia="Arial" w:hAnsi="Arial"/>
          <w:sz w:val="16"/>
          <w:szCs w:val="16"/>
          <w:color w:val="auto"/>
        </w:rPr>
        <w:t>Grants are communicated to participants as an initial target dollar value and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PRSUs (determined by dividing the initial target dollar value by the closing price of a Share on the day before the relevant determination date as reported on the principal nationally recognized stock exchange on which the Shares are traded) on or as soon as reasonably practicable following February 15 of the applicable plan year.</w:t>
      </w:r>
    </w:p>
    <w:p>
      <w:pPr>
        <w:spacing w:after="0" w:line="49" w:lineRule="exact"/>
        <w:rPr>
          <w:sz w:val="20"/>
          <w:szCs w:val="20"/>
          <w:color w:val="auto"/>
        </w:rPr>
      </w:pPr>
    </w:p>
    <w:p>
      <w:pPr>
        <w:ind w:left="1260" w:right="879" w:firstLine="360"/>
        <w:spacing w:after="0" w:line="293" w:lineRule="auto"/>
        <w:rPr>
          <w:sz w:val="20"/>
          <w:szCs w:val="20"/>
          <w:color w:val="auto"/>
        </w:rPr>
      </w:pPr>
      <w:r>
        <w:rPr>
          <w:rFonts w:ascii="Arial" w:cs="Arial" w:eastAsia="Arial" w:hAnsi="Arial"/>
          <w:sz w:val="16"/>
          <w:szCs w:val="16"/>
          <w:i w:val="1"/>
          <w:iCs w:val="1"/>
          <w:color w:val="auto"/>
        </w:rPr>
        <w:t xml:space="preserve">Payment &amp; Performance Modifier. </w:t>
      </w:r>
      <w:r>
        <w:rPr>
          <w:rFonts w:ascii="Arial" w:cs="Arial" w:eastAsia="Arial" w:hAnsi="Arial"/>
          <w:sz w:val="16"/>
          <w:szCs w:val="16"/>
          <w:color w:val="auto"/>
        </w:rPr>
        <w:t>Each year the Compensation Committee establishes an earnings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target for the applicable calendar year. Based on the extent to which the earnings per share target is achieved (or missed) a “Performance Modifier” between 50% and 150% is established. For the calendar year 2018, the Performance Modifier was 150%. Each award of PRSUs shall entitle the participant to receive a cash payment from the Company calculated by (i) multiplying the number of vested PRSUs subject to the award by the Performance Modifier associated with such award, (ii) multiplying the result in</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5" w:lineRule="auto"/>
        <w:rPr>
          <w:sz w:val="20"/>
          <w:szCs w:val="20"/>
          <w:color w:val="auto"/>
        </w:rPr>
      </w:pPr>
      <w:r>
        <w:rPr>
          <w:rFonts w:ascii="Arial" w:cs="Arial" w:eastAsia="Arial" w:hAnsi="Arial"/>
          <w:sz w:val="18"/>
          <w:szCs w:val="18"/>
          <w:color w:val="auto"/>
        </w:rPr>
        <w:t>clause (i) by the closing price of a Share on the day before the relevant payment date, as reported on the principal nationally recognized stock exchange on which the Shares are traded on the date of payment and (iii) adding to the result in clause (ii) the product of any dividend equivalent rights payable with respect to the number of PRSUs underlying the award (after applying the Performance Modifier). Payments are made in the month of March following the vesting date related to an award. In all cases, payments shall be made in the calendar year following the applicable vesting date.</w:t>
      </w:r>
    </w:p>
    <w:p>
      <w:pPr>
        <w:spacing w:after="0" w:line="84" w:lineRule="exact"/>
        <w:rPr>
          <w:sz w:val="20"/>
          <w:szCs w:val="20"/>
          <w:color w:val="auto"/>
        </w:rPr>
      </w:pPr>
    </w:p>
    <w:p>
      <w:pPr>
        <w:ind w:left="1260" w:right="699" w:firstLine="360"/>
        <w:spacing w:after="0" w:line="296" w:lineRule="auto"/>
        <w:rPr>
          <w:sz w:val="20"/>
          <w:szCs w:val="20"/>
          <w:color w:val="auto"/>
        </w:rPr>
      </w:pPr>
      <w:r>
        <w:rPr>
          <w:rFonts w:ascii="Arial" w:cs="Arial" w:eastAsia="Arial" w:hAnsi="Arial"/>
          <w:sz w:val="16"/>
          <w:szCs w:val="16"/>
          <w:color w:val="auto"/>
        </w:rPr>
        <w:t>In December 2018 the Company agreed with its NEOs and certain other executives that, in lieu of the PRSU payments described above, PRSUs granted to such individuals in 2017 and 2018 will be settled exclusively in Shares, less any withholding and employment taxes associated with the settlement of the PRSUs. Settlement of such PRSUs will occur on February 1 of the year following the year in which the applicable PRSUs vest. Going forward, any PRSUs granted under the PRSU Plan will similarly be settled exclusively in Shares.</w:t>
      </w:r>
    </w:p>
    <w:p>
      <w:pPr>
        <w:spacing w:after="0" w:line="53"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In the event a participant is terminated prior to the scheduled vesting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forfeits any right to payment under the award</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participant is terminated (i) without Cause (as defined in the PRSU Plan) within 180 days prior to the relevant vesting date, or (ii)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70"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PRSUs accumulate dividend equivalent rights in respect of any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as, payments in respect of the related PRSUs as set forth above.</w:t>
      </w:r>
    </w:p>
    <w:p>
      <w:pPr>
        <w:spacing w:after="0" w:line="70" w:lineRule="exact"/>
        <w:rPr>
          <w:sz w:val="20"/>
          <w:szCs w:val="20"/>
          <w:color w:val="auto"/>
        </w:rPr>
      </w:pPr>
    </w:p>
    <w:p>
      <w:pPr>
        <w:ind w:left="1260" w:right="839" w:firstLine="360"/>
        <w:spacing w:after="0" w:line="289"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i w:val="1"/>
          <w:iCs w:val="1"/>
          <w:color w:val="auto"/>
        </w:rPr>
        <w:t xml:space="preserve">Adjustments in the Event of a Change of Control. </w:t>
      </w:r>
      <w:r>
        <w:rPr>
          <w:rFonts w:ascii="Arial" w:cs="Arial" w:eastAsia="Arial" w:hAnsi="Arial"/>
          <w:sz w:val="17"/>
          <w:szCs w:val="17"/>
          <w:color w:val="auto"/>
        </w:rPr>
        <w:t>In the event of a change of control,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either (A) take equitable actions to preserve the economic rights of affected participants as described above in the section title “Adjustments in General</w:t>
      </w:r>
      <w:r>
        <w:rPr>
          <w:rFonts w:ascii="Arial" w:cs="Arial" w:eastAsia="Arial" w:hAnsi="Arial"/>
          <w:sz w:val="17"/>
          <w:szCs w:val="17"/>
          <w:i w:val="1"/>
          <w:iCs w:val="1"/>
          <w:color w:val="auto"/>
        </w:rPr>
        <w:t>”</w:t>
      </w:r>
      <w:r>
        <w:rPr>
          <w:rFonts w:ascii="Arial" w:cs="Arial" w:eastAsia="Arial" w:hAnsi="Arial"/>
          <w:sz w:val="17"/>
          <w:szCs w:val="17"/>
          <w:color w:val="auto"/>
        </w:rPr>
        <w:t xml:space="preserve"> above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70" w:lineRule="auto"/>
        <w:rPr>
          <w:sz w:val="20"/>
          <w:szCs w:val="20"/>
          <w:color w:val="auto"/>
        </w:rPr>
      </w:pPr>
      <w:r>
        <w:rPr>
          <w:rFonts w:ascii="Arial" w:cs="Arial" w:eastAsia="Arial" w:hAnsi="Arial"/>
          <w:sz w:val="17"/>
          <w:szCs w:val="17"/>
          <w:color w:val="auto"/>
        </w:rPr>
        <w:t>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 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73" w:lineRule="exact"/>
        <w:rPr>
          <w:sz w:val="20"/>
          <w:szCs w:val="20"/>
          <w:color w:val="auto"/>
        </w:rPr>
      </w:pPr>
    </w:p>
    <w:p>
      <w:pPr>
        <w:ind w:left="1260" w:right="69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(A) based on the Company’s average earnings per share over the preceding two years if the change of control is between 12 and 24 months from the applicable vesting date, or</w:t>
      </w:r>
    </w:p>
    <w:p>
      <w:pPr>
        <w:spacing w:after="0" w:line="1" w:lineRule="exact"/>
        <w:rPr>
          <w:sz w:val="20"/>
          <w:szCs w:val="20"/>
          <w:color w:val="auto"/>
        </w:rPr>
      </w:pPr>
    </w:p>
    <w:p>
      <w:pPr>
        <w:ind w:left="1260" w:right="679" w:firstLine="8"/>
        <w:spacing w:after="0" w:line="269" w:lineRule="auto"/>
        <w:tabs>
          <w:tab w:leader="none" w:pos="15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Section 409A of the Code). In all cases, the value attributable to a PRSU that is liquidated in accordance with this provision will be the per Share consideration received in connection with such change of control.</w:t>
      </w:r>
    </w:p>
    <w:p>
      <w:pPr>
        <w:spacing w:after="0" w:line="7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pacing w:after="0" w:line="104"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6"/>
          <w:szCs w:val="16"/>
          <w:color w:val="auto"/>
        </w:rPr>
        <w:t>In connection with this offering, the Board has adopted the Tradeweb Markets Inc. 2019 Omnibus Equity Incentive Plan, as may be amended from time to time (the “Equity Plan”), under which equity awards may be</w:t>
      </w:r>
    </w:p>
    <w:p>
      <w:pPr>
        <w:ind w:left="1260" w:right="819"/>
        <w:spacing w:after="0" w:line="265" w:lineRule="auto"/>
        <w:rPr>
          <w:sz w:val="20"/>
          <w:szCs w:val="20"/>
          <w:color w:val="auto"/>
        </w:rPr>
      </w:pPr>
      <w:r>
        <w:rPr>
          <w:rFonts w:ascii="Arial" w:cs="Arial" w:eastAsia="Arial" w:hAnsi="Arial"/>
          <w:sz w:val="17"/>
          <w:szCs w:val="17"/>
          <w:color w:val="auto"/>
        </w:rPr>
        <w:t>made in respect of shares of Class A common stock of the Company (the “Shares”), consisting of a Share Pool (as defined below) of Shares (or approximately % of issued and outstanding Shares on a fully</w:t>
      </w:r>
    </w:p>
    <w:p>
      <w:pPr>
        <w:ind w:left="1260" w:right="799"/>
        <w:spacing w:after="0" w:line="277" w:lineRule="auto"/>
        <w:rPr>
          <w:sz w:val="20"/>
          <w:szCs w:val="20"/>
          <w:color w:val="auto"/>
        </w:rPr>
      </w:pPr>
      <w:r>
        <w:rPr>
          <w:rFonts w:ascii="Arial" w:cs="Arial" w:eastAsia="Arial" w:hAnsi="Arial"/>
          <w:sz w:val="17"/>
          <w:szCs w:val="17"/>
          <w:color w:val="auto"/>
        </w:rPr>
        <w:t>diluted basis after this offering), as described further below in the section titled “—Shares Available.” Under the Equity Plan, awards may be granted in the form of options, restricted stock, restricted stock units, stock appreciation rights, cash-based awards, dividend equivalent rights and share awards.</w:t>
      </w:r>
    </w:p>
    <w:p>
      <w:pPr>
        <w:spacing w:after="0" w:line="65"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will be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 xml:space="preserve">Plan Term.  </w:t>
      </w:r>
      <w:r>
        <w:rPr>
          <w:rFonts w:ascii="Arial" w:cs="Arial" w:eastAsia="Arial" w:hAnsi="Arial"/>
          <w:sz w:val="16"/>
          <w:szCs w:val="16"/>
          <w:color w:val="auto"/>
        </w:rPr>
        <w:t>The Equity Plan became effective as of the date it was approved by the board of directors on</w:t>
      </w:r>
    </w:p>
    <w:p>
      <w:pPr>
        <w:spacing w:after="0" w:line="46" w:lineRule="exact"/>
        <w:rPr>
          <w:sz w:val="20"/>
          <w:szCs w:val="20"/>
          <w:color w:val="auto"/>
        </w:rPr>
      </w:pPr>
    </w:p>
    <w:p>
      <w:pPr>
        <w:ind w:left="1260" w:right="1079" w:firstLine="818"/>
        <w:spacing w:after="0" w:line="260" w:lineRule="auto"/>
        <w:tabs>
          <w:tab w:leader="none" w:pos="2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its having been approved by the existing stockholders, and will terminate on the tenth (10th) anniversary thereof, unless earlier terminated by the board of directors.</w:t>
      </w: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57"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6"/>
          <w:szCs w:val="16"/>
          <w:i w:val="1"/>
          <w:iCs w:val="1"/>
          <w:color w:val="auto"/>
        </w:rPr>
        <w:t xml:space="preserve">Incentives Available. </w:t>
      </w:r>
      <w:r>
        <w:rPr>
          <w:rFonts w:ascii="Arial" w:cs="Arial" w:eastAsia="Arial" w:hAnsi="Arial"/>
          <w:sz w:val="16"/>
          <w:szCs w:val="16"/>
          <w:color w:val="auto"/>
        </w:rPr>
        <w:t>Under the Equity Plan, the Compensation Committee may grant any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awards to an Eligible Individual: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53" w:lineRule="exact"/>
        <w:rPr>
          <w:sz w:val="20"/>
          <w:szCs w:val="20"/>
          <w:color w:val="auto"/>
        </w:rPr>
      </w:pPr>
    </w:p>
    <w:p>
      <w:pPr>
        <w:ind w:left="1260" w:right="1019" w:firstLine="360"/>
        <w:spacing w:after="0" w:line="287"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any adjustment as provided in the Equity Plan, up to Shares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Awards granted under the Equity Plan (the “Share Pool”), all of which may be granted pursuant to ISOs. The aggregate number of Shares that may be the subject of Awards (other than Cash Based</w:t>
      </w:r>
    </w:p>
    <w:p>
      <w:pPr>
        <w:spacing w:after="0" w:line="2" w:lineRule="exact"/>
        <w:rPr>
          <w:sz w:val="20"/>
          <w:szCs w:val="20"/>
          <w:color w:val="auto"/>
        </w:rPr>
      </w:pPr>
    </w:p>
    <w:p>
      <w:pPr>
        <w:ind w:left="1260" w:right="919"/>
        <w:spacing w:after="0" w:line="265" w:lineRule="auto"/>
        <w:rPr>
          <w:sz w:val="20"/>
          <w:szCs w:val="20"/>
          <w:color w:val="auto"/>
        </w:rPr>
      </w:pPr>
      <w:r>
        <w:rPr>
          <w:rFonts w:ascii="Arial" w:cs="Arial" w:eastAsia="Arial" w:hAnsi="Arial"/>
          <w:sz w:val="17"/>
          <w:szCs w:val="17"/>
          <w:color w:val="auto"/>
        </w:rPr>
        <w:t>Awards) granted in any calendar year may not exceed Shares in the case of an Eligible Individual who is not a non-employee director, or Shares in the case of a non-employee director. The maximum dollar</w:t>
      </w:r>
    </w:p>
    <w:p>
      <w:pPr>
        <w:ind w:left="1260"/>
        <w:spacing w:after="0"/>
        <w:rPr>
          <w:sz w:val="20"/>
          <w:szCs w:val="20"/>
          <w:color w:val="auto"/>
        </w:rPr>
      </w:pPr>
      <w:r>
        <w:rPr>
          <w:rFonts w:ascii="Arial" w:cs="Arial" w:eastAsia="Arial" w:hAnsi="Arial"/>
          <w:sz w:val="16"/>
          <w:szCs w:val="16"/>
          <w:color w:val="auto"/>
        </w:rPr>
        <w:t>amount of cash or the fair market value of Shares that may be the subject of Cash Based Awards granted in any</w:t>
      </w:r>
    </w:p>
    <w:p>
      <w:pPr>
        <w:spacing w:after="0" w:line="32" w:lineRule="exact"/>
        <w:rPr>
          <w:sz w:val="20"/>
          <w:szCs w:val="20"/>
          <w:color w:val="auto"/>
        </w:rPr>
      </w:pPr>
    </w:p>
    <w:p>
      <w:pPr>
        <w:ind w:left="1260"/>
        <w:spacing w:after="0"/>
        <w:tabs>
          <w:tab w:leader="none" w:pos="3960" w:val="left"/>
        </w:tabs>
        <w:rPr>
          <w:sz w:val="20"/>
          <w:szCs w:val="20"/>
          <w:color w:val="auto"/>
        </w:rPr>
      </w:pPr>
      <w:r>
        <w:rPr>
          <w:rFonts w:ascii="Arial" w:cs="Arial" w:eastAsia="Arial" w:hAnsi="Arial"/>
          <w:sz w:val="18"/>
          <w:szCs w:val="18"/>
          <w:color w:val="auto"/>
        </w:rPr>
        <w:t>calendar year may not exceed $</w:t>
      </w:r>
      <w:r>
        <w:rPr>
          <w:sz w:val="20"/>
          <w:szCs w:val="20"/>
          <w:color w:val="auto"/>
        </w:rPr>
        <w:tab/>
      </w:r>
      <w:r>
        <w:rPr>
          <w:rFonts w:ascii="Arial" w:cs="Arial" w:eastAsia="Arial" w:hAnsi="Arial"/>
          <w:sz w:val="16"/>
          <w:szCs w:val="16"/>
          <w:color w:val="auto"/>
        </w:rPr>
        <w:t>in the case of an Eligible Individual who is not a non-employee director, or</w:t>
      </w:r>
    </w:p>
    <w:p>
      <w:pPr>
        <w:spacing w:after="0" w:line="9" w:lineRule="exact"/>
        <w:rPr>
          <w:sz w:val="20"/>
          <w:szCs w:val="20"/>
          <w:color w:val="auto"/>
        </w:rPr>
      </w:pPr>
    </w:p>
    <w:p>
      <w:pPr>
        <w:ind w:left="1800" w:hanging="532"/>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a non-employee director.</w:t>
      </w:r>
    </w:p>
    <w:p>
      <w:pPr>
        <w:spacing w:after="0" w:line="103"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If an Award or any portion thereof (a) expires or otherwise terminates without all of the Shares covered by such Award having been issued or (b)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8" w:lineRule="exact"/>
        <w:rPr>
          <w:sz w:val="20"/>
          <w:szCs w:val="20"/>
          <w:color w:val="auto"/>
        </w:rPr>
      </w:pPr>
    </w:p>
    <w:p>
      <w:pPr>
        <w:jc w:val="both"/>
        <w:ind w:left="1260" w:right="799" w:firstLine="360"/>
        <w:spacing w:after="0" w:line="296"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7"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i w:val="1"/>
          <w:iCs w:val="1"/>
          <w:color w:val="auto"/>
        </w:rPr>
        <w:t xml:space="preserve">Exercise Price; Method of Exercise. </w:t>
      </w:r>
      <w:r>
        <w:rPr>
          <w:rFonts w:ascii="Arial" w:cs="Arial" w:eastAsia="Arial" w:hAnsi="Arial"/>
          <w:sz w:val="16"/>
          <w:szCs w:val="16"/>
          <w:color w:val="auto"/>
        </w:rPr>
        <w:t>The purchase price per Share with respect to any Option granted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(b) if permitted by the Compensation Committee, the transfer, either actually or by attestation, to the Company of Shares that have been held by the 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 Plan) equal to the exercise price and (b) an Option may be exercised through a registered broker-dealer pursuant to such cashless exercise procedures that are, from time to time, deemed acceptable by the Compensation Committee. The Company will not issue fractional shares.</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Limits on Incentive Stock Options.  </w:t>
      </w:r>
      <w:r>
        <w:rPr>
          <w:rFonts w:ascii="Arial" w:cs="Arial" w:eastAsia="Arial" w:hAnsi="Arial"/>
          <w:sz w:val="17"/>
          <w:szCs w:val="17"/>
          <w:color w:val="auto"/>
        </w:rPr>
        <w:t>In order to comply with the requirements for ISOs in the Code, no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person may receive a grant of an ISO for stock that would have an aggregate fair market value in excess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$100,000, determined when the ISO is granted, that would be exercisable for the first time during any calendar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If any grant of an ISO is made in excess of such limit, the Options will be treated as Nonqualified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Options according to the order in which they were granted such that the most recently granted Options are first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treated as Nonqualified Stock Options.</w:t>
      </w:r>
    </w:p>
    <w:p>
      <w:pPr>
        <w:spacing w:after="0" w:line="10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 SAR may be granted (a) at any time if unrelated to an Option or (b) if related to an Option, either at the time of grant or at any time thereafter during the term of the Option.</w:t>
      </w:r>
    </w:p>
    <w:p>
      <w:pPr>
        <w:spacing w:after="0" w:line="79" w:lineRule="exact"/>
        <w:rPr>
          <w:sz w:val="20"/>
          <w:szCs w:val="20"/>
          <w:color w:val="auto"/>
        </w:rPr>
      </w:pPr>
    </w:p>
    <w:p>
      <w:pPr>
        <w:ind w:left="1260" w:right="819" w:firstLine="360"/>
        <w:spacing w:after="0" w:line="296"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 SAR is a right granted to a participant to receive an amount equal to the excess of the fair market value of a Share on the last business day preceding the date of exercise of such SAR over the fair market value of a Share on the date the SAR was granted. A SAR may be settled or paid in cash, Shares or a combination of each, in accordance with its terms.</w:t>
      </w:r>
    </w:p>
    <w:p>
      <w:pPr>
        <w:spacing w:after="0" w:line="53" w:lineRule="exact"/>
        <w:rPr>
          <w:sz w:val="20"/>
          <w:szCs w:val="20"/>
          <w:color w:val="auto"/>
        </w:rPr>
      </w:pPr>
    </w:p>
    <w:p>
      <w:pPr>
        <w:ind w:left="1260" w:right="959" w:firstLine="360"/>
        <w:spacing w:after="0" w:line="342"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 SAR shall have a term of no greater than ten years.</w:t>
      </w:r>
    </w:p>
    <w:p>
      <w:pPr>
        <w:spacing w:after="0" w:line="1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(a)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1" w:lineRule="exact"/>
        <w:rPr>
          <w:sz w:val="20"/>
          <w:szCs w:val="20"/>
          <w:color w:val="auto"/>
        </w:rPr>
      </w:pPr>
    </w:p>
    <w:p>
      <w:pPr>
        <w:ind w:left="1260" w:right="779" w:firstLine="8"/>
        <w:spacing w:after="0" w:line="255" w:lineRule="auto"/>
        <w:tabs>
          <w:tab w:leader="none" w:pos="15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Compensation Committee.</w:t>
      </w:r>
    </w:p>
    <w:p>
      <w:pPr>
        <w:spacing w:after="0" w:line="63"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41"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the Compensation Committee determines otherwise, upon the issuance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Restricted Stock, the participant shall have all of the rights of a shareholder with respect to such Shares, including the right to vote the Shares and to receive all dividends or other distributions made with 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73" w:lineRule="auto"/>
        <w:rPr>
          <w:sz w:val="20"/>
          <w:szCs w:val="20"/>
          <w:color w:val="auto"/>
        </w:rPr>
      </w:pPr>
      <w:r>
        <w:rPr>
          <w:rFonts w:ascii="Arial" w:cs="Arial" w:eastAsia="Arial" w:hAnsi="Arial"/>
          <w:sz w:val="17"/>
          <w:szCs w:val="17"/>
          <w:color w:val="auto"/>
        </w:rPr>
        <w:t>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 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70"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Award agreement). An RSU may be settled or paid in cash, Shares or a combination of each, as determined by the Compensation Committee.</w:t>
      </w:r>
    </w:p>
    <w:p>
      <w:pPr>
        <w:spacing w:after="0" w:line="84"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87"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0"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reorganizations,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 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71"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i w:val="1"/>
          <w:iCs w:val="1"/>
          <w:color w:val="auto"/>
        </w:rPr>
        <w:t xml:space="preserve">Effect of Change in Control or Certain Other Transactions. </w:t>
      </w:r>
      <w:r>
        <w:rPr>
          <w:rFonts w:ascii="Arial" w:cs="Arial" w:eastAsia="Arial" w:hAnsi="Arial"/>
          <w:sz w:val="17"/>
          <w:szCs w:val="17"/>
          <w:color w:val="auto"/>
        </w:rPr>
        <w:t>Generally, the Award agreement evidencing</w:t>
      </w:r>
      <w:r>
        <w:rPr>
          <w:rFonts w:ascii="Arial" w:cs="Arial" w:eastAsia="Arial" w:hAnsi="Arial"/>
          <w:sz w:val="17"/>
          <w:szCs w:val="17"/>
          <w:i w:val="1"/>
          <w:iCs w:val="1"/>
          <w:color w:val="auto"/>
        </w:rPr>
        <w:t xml:space="preserve"> </w:t>
      </w:r>
      <w:r>
        <w:rPr>
          <w:rFonts w:ascii="Arial" w:cs="Arial" w:eastAsia="Arial" w:hAnsi="Arial"/>
          <w:sz w:val="17"/>
          <w:szCs w:val="17"/>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 capital stock of the Company, or a liquidation or dissolution of the Company (each, a “Corporate Transaction”)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substitution of the Awards, in each case with appropriate adjustments to the number, kind of shares, and exercise prices of the Awards; or (b) terminate.</w:t>
      </w:r>
    </w:p>
    <w:p>
      <w:pPr>
        <w:spacing w:after="0" w:line="62" w:lineRule="exact"/>
        <w:rPr>
          <w:sz w:val="20"/>
          <w:szCs w:val="20"/>
          <w:color w:val="auto"/>
        </w:rPr>
      </w:pPr>
    </w:p>
    <w:p>
      <w:pPr>
        <w:ind w:left="1260" w:right="939" w:firstLine="360"/>
        <w:spacing w:after="0" w:line="284"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 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2" w:lineRule="exact"/>
        <w:rPr>
          <w:sz w:val="20"/>
          <w:szCs w:val="20"/>
          <w:color w:val="auto"/>
        </w:rPr>
      </w:pPr>
    </w:p>
    <w:p>
      <w:pPr>
        <w:ind w:left="1260" w:right="679" w:firstLine="8"/>
        <w:spacing w:after="0" w:line="268" w:lineRule="auto"/>
        <w:tabs>
          <w:tab w:leader="none" w:pos="150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merger, consolidation or reorganization, other than in a non-control transaction; (d) a complete liquidation or dissolution or (e) sale or disposition of all or substantially all of the assets.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7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ind w:left="1260" w:right="679" w:firstLine="8"/>
        <w:spacing w:after="0" w:line="287" w:lineRule="auto"/>
        <w:tabs>
          <w:tab w:leader="none" w:pos="15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payment (in cash or other consideration) in respect of each Share covered by the Option or SAR being cancelled in an amount equal to the excess, if any, of the per Share price to be paid to stockholders in the Corporate Transaction over the price of the Option or the SAR. If the per Share price to be paid to stockholders in the Corporate Transaction is less than the exercise price of the Option or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62"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69" w:lineRule="exact"/>
        <w:rPr>
          <w:sz w:val="20"/>
          <w:szCs w:val="20"/>
          <w:color w:val="auto"/>
        </w:rPr>
      </w:pPr>
    </w:p>
    <w:p>
      <w:pPr>
        <w:jc w:val="both"/>
        <w:ind w:left="1260" w:right="1239" w:firstLine="360"/>
        <w:spacing w:after="0" w:line="311"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41"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 adversely alter or materially impair any Awards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2018.</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2"/>
              </w:rPr>
              <w:t>Option awards</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4"/>
          </w:tcPr>
          <w:p>
            <w:pPr>
              <w:jc w:val="right"/>
              <w:ind w:right="606"/>
              <w:spacing w:after="0"/>
              <w:rPr>
                <w:sz w:val="20"/>
                <w:szCs w:val="20"/>
                <w:color w:val="auto"/>
              </w:rPr>
            </w:pPr>
            <w:r>
              <w:rPr>
                <w:rFonts w:ascii="Arial" w:cs="Arial" w:eastAsia="Arial" w:hAnsi="Arial"/>
                <w:sz w:val="13"/>
                <w:szCs w:val="13"/>
                <w:b w:val="1"/>
                <w:bCs w:val="1"/>
                <w:color w:val="auto"/>
              </w:rPr>
              <w:t>Stock awards</w:t>
            </w: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Equity</w:t>
            </w: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incentive</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plan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awards: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Number of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Number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Number of</w:t>
            </w:r>
          </w:p>
        </w:tc>
        <w:tc>
          <w:tcPr>
            <w:tcW w:w="96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95"/>
              </w:rPr>
              <w:t>Market</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securities</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securities</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securities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1"/>
              </w:rPr>
              <w:t>shares</w:t>
            </w:r>
          </w:p>
        </w:tc>
        <w:tc>
          <w:tcPr>
            <w:tcW w:w="960" w:type="dxa"/>
            <w:vAlign w:val="bottom"/>
            <w:gridSpan w:val="2"/>
          </w:tcPr>
          <w:p>
            <w:pPr>
              <w:jc w:val="center"/>
              <w:ind w:right="166"/>
              <w:spacing w:after="0"/>
              <w:rPr>
                <w:sz w:val="20"/>
                <w:szCs w:val="20"/>
                <w:color w:val="auto"/>
              </w:rPr>
            </w:pPr>
            <w:r>
              <w:rPr>
                <w:rFonts w:ascii="Arial" w:cs="Arial" w:eastAsia="Arial" w:hAnsi="Arial"/>
                <w:sz w:val="13"/>
                <w:szCs w:val="13"/>
                <w:b w:val="1"/>
                <w:bCs w:val="1"/>
                <w:color w:val="auto"/>
                <w:w w:val="85"/>
              </w:rPr>
              <w:t>value of</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underlying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underlying</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underlying</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or units</w:t>
            </w:r>
          </w:p>
        </w:tc>
        <w:tc>
          <w:tcPr>
            <w:tcW w:w="96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81"/>
              </w:rPr>
              <w:t>shares or</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unexercised</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unexercised</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unexercised</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of stock</w:t>
            </w:r>
          </w:p>
        </w:tc>
        <w:tc>
          <w:tcPr>
            <w:tcW w:w="96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85"/>
              </w:rPr>
              <w:t>units of stock</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Year</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options</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options</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unearned</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exercise</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Option</w:t>
            </w: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that have</w:t>
            </w:r>
          </w:p>
        </w:tc>
        <w:tc>
          <w:tcPr>
            <w:tcW w:w="960" w:type="dxa"/>
            <w:vAlign w:val="bottom"/>
            <w:gridSpan w:val="2"/>
          </w:tcPr>
          <w:p>
            <w:pPr>
              <w:jc w:val="center"/>
              <w:ind w:right="166"/>
              <w:spacing w:after="0"/>
              <w:rPr>
                <w:sz w:val="20"/>
                <w:szCs w:val="20"/>
                <w:color w:val="auto"/>
              </w:rPr>
            </w:pPr>
            <w:r>
              <w:rPr>
                <w:rFonts w:ascii="Arial" w:cs="Arial" w:eastAsia="Arial" w:hAnsi="Arial"/>
                <w:sz w:val="13"/>
                <w:szCs w:val="13"/>
                <w:b w:val="1"/>
                <w:bCs w:val="1"/>
                <w:color w:val="auto"/>
                <w:w w:val="87"/>
              </w:rPr>
              <w:t>that have</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exercisable</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unexercisable</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options</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price</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expiration</w:t>
            </w: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not vested</w:t>
            </w:r>
          </w:p>
        </w:tc>
        <w:tc>
          <w:tcPr>
            <w:tcW w:w="960" w:type="dxa"/>
            <w:vAlign w:val="bottom"/>
            <w:gridSpan w:val="2"/>
          </w:tcPr>
          <w:p>
            <w:pPr>
              <w:jc w:val="center"/>
              <w:ind w:right="166"/>
              <w:spacing w:after="0"/>
              <w:rPr>
                <w:sz w:val="20"/>
                <w:szCs w:val="20"/>
                <w:color w:val="auto"/>
              </w:rPr>
            </w:pPr>
            <w:r>
              <w:rPr>
                <w:rFonts w:ascii="Arial" w:cs="Arial" w:eastAsia="Arial" w:hAnsi="Arial"/>
                <w:sz w:val="13"/>
                <w:szCs w:val="13"/>
                <w:b w:val="1"/>
                <w:bCs w:val="1"/>
                <w:color w:val="auto"/>
                <w:w w:val="82"/>
              </w:rPr>
              <w:t>not vested</w:t>
            </w:r>
          </w:p>
        </w:tc>
      </w:tr>
      <w:tr>
        <w:trPr>
          <w:trHeight w:val="174"/>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Grant</w:t>
            </w:r>
          </w:p>
        </w:tc>
        <w:tc>
          <w:tcPr>
            <w:tcW w:w="240" w:type="dxa"/>
            <w:vAlign w:val="bottom"/>
            <w:tcBorders>
              <w:bottom w:val="single" w:sz="8" w:color="CCEEFF"/>
            </w:tcBorders>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2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5"/>
                <w:szCs w:val="15"/>
                <w:color w:val="auto"/>
              </w:rPr>
            </w:pPr>
          </w:p>
        </w:tc>
      </w:tr>
      <w:tr>
        <w:trPr>
          <w:trHeight w:val="203"/>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Lee Olesky</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rPr>
              <w:t>115.12</w:t>
            </w:r>
            <w:r>
              <w:rPr>
                <w:rFonts w:ascii="Arial" w:cs="Arial" w:eastAsia="Arial" w:hAnsi="Arial"/>
                <w:sz w:val="21"/>
                <w:szCs w:val="21"/>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3,291,786.18</w:t>
            </w:r>
          </w:p>
        </w:tc>
        <w:tc>
          <w:tcPr>
            <w:tcW w:w="180" w:type="dxa"/>
            <w:vAlign w:val="bottom"/>
          </w:tcPr>
          <w:p>
            <w:pPr>
              <w:spacing w:after="0"/>
              <w:rPr>
                <w:sz w:val="20"/>
                <w:szCs w:val="20"/>
                <w:color w:val="auto"/>
              </w:rPr>
            </w:pPr>
            <w:r>
              <w:rPr>
                <w:rFonts w:ascii="Arial" w:cs="Arial" w:eastAsia="Arial" w:hAnsi="Arial"/>
                <w:sz w:val="11"/>
                <w:szCs w:val="11"/>
                <w:color w:val="auto"/>
              </w:rPr>
              <w:t>(2)</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w w:val="97"/>
              </w:rPr>
              <w:t>137.686</w:t>
            </w:r>
            <w:r>
              <w:rPr>
                <w:rFonts w:ascii="Arial" w:cs="Arial" w:eastAsia="Arial" w:hAnsi="Arial"/>
                <w:sz w:val="21"/>
                <w:szCs w:val="21"/>
                <w:color w:val="auto"/>
                <w:w w:val="97"/>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3,937,047.18</w:t>
            </w:r>
          </w:p>
        </w:tc>
        <w:tc>
          <w:tcPr>
            <w:tcW w:w="180" w:type="dxa"/>
            <w:vAlign w:val="bottom"/>
          </w:tcPr>
          <w:p>
            <w:pPr>
              <w:spacing w:after="0"/>
              <w:rPr>
                <w:sz w:val="20"/>
                <w:szCs w:val="20"/>
                <w:color w:val="auto"/>
              </w:rPr>
            </w:pPr>
            <w:r>
              <w:rPr>
                <w:rFonts w:ascii="Arial" w:cs="Arial" w:eastAsia="Arial" w:hAnsi="Arial"/>
                <w:sz w:val="11"/>
                <w:szCs w:val="11"/>
                <w:color w:val="auto"/>
              </w:rPr>
              <w:t>(4)</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5"/>
              </w:rPr>
              <w:t>2,434.72835</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2,434.72835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28,594.39</w:t>
            </w:r>
          </w:p>
        </w:tc>
        <w:tc>
          <w:tcPr>
            <w:tcW w:w="8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(5)</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rPr>
              <w:t>149.55</w:t>
            </w:r>
            <w:r>
              <w:rPr>
                <w:rFonts w:ascii="Arial" w:cs="Arial" w:eastAsia="Arial" w:hAnsi="Arial"/>
                <w:sz w:val="21"/>
                <w:szCs w:val="21"/>
                <w:color w:val="auto"/>
                <w:vertAlign w:val="superscript"/>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4,276,291.02</w:t>
            </w:r>
          </w:p>
        </w:tc>
        <w:tc>
          <w:tcPr>
            <w:tcW w:w="180" w:type="dxa"/>
            <w:vAlign w:val="bottom"/>
          </w:tcPr>
          <w:p>
            <w:pPr>
              <w:spacing w:after="0"/>
              <w:rPr>
                <w:sz w:val="20"/>
                <w:szCs w:val="20"/>
                <w:color w:val="auto"/>
              </w:rPr>
            </w:pPr>
            <w:r>
              <w:rPr>
                <w:rFonts w:ascii="Arial" w:cs="Arial" w:eastAsia="Arial" w:hAnsi="Arial"/>
                <w:sz w:val="11"/>
                <w:szCs w:val="11"/>
                <w:color w:val="auto"/>
              </w:rPr>
              <w:t>(7)</w:t>
            </w:r>
          </w:p>
        </w:tc>
      </w:tr>
      <w:tr>
        <w:trPr>
          <w:trHeight w:val="314"/>
        </w:trPr>
        <w:tc>
          <w:tcPr>
            <w:tcW w:w="1280" w:type="dxa"/>
            <w:vAlign w:val="bottom"/>
            <w:gridSpan w:val="2"/>
          </w:tcPr>
          <w:p>
            <w:pPr>
              <w:spacing w:after="0"/>
              <w:rPr>
                <w:sz w:val="20"/>
                <w:szCs w:val="20"/>
                <w:color w:val="auto"/>
              </w:rPr>
            </w:pPr>
            <w:r>
              <w:rPr>
                <w:rFonts w:ascii="Arial" w:cs="Arial" w:eastAsia="Arial" w:hAnsi="Arial"/>
                <w:sz w:val="14"/>
                <w:szCs w:val="14"/>
                <w:color w:val="auto"/>
              </w:rPr>
              <w:t>William Hult</w:t>
            </w:r>
          </w:p>
        </w:tc>
        <w:tc>
          <w:tcPr>
            <w:tcW w:w="46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95.933</w:t>
            </w:r>
            <w:r>
              <w:rPr>
                <w:rFonts w:ascii="Arial" w:cs="Arial" w:eastAsia="Arial" w:hAnsi="Arial"/>
                <w:sz w:val="21"/>
                <w:szCs w:val="21"/>
                <w:color w:val="auto"/>
                <w:vertAlign w:val="superscript"/>
              </w:rPr>
              <w:t>(1)</w:t>
            </w:r>
          </w:p>
        </w:tc>
        <w:tc>
          <w:tcPr>
            <w:tcW w:w="960" w:type="dxa"/>
            <w:vAlign w:val="bottom"/>
            <w:gridSpan w:val="2"/>
          </w:tcPr>
          <w:p>
            <w:pPr>
              <w:jc w:val="right"/>
              <w:ind w:right="6"/>
              <w:spacing w:after="0"/>
              <w:rPr>
                <w:sz w:val="20"/>
                <w:szCs w:val="20"/>
                <w:color w:val="auto"/>
              </w:rPr>
            </w:pPr>
            <w:r>
              <w:rPr>
                <w:rFonts w:ascii="Arial" w:cs="Arial" w:eastAsia="Arial" w:hAnsi="Arial"/>
                <w:sz w:val="14"/>
                <w:szCs w:val="14"/>
                <w:color w:val="auto"/>
                <w:w w:val="88"/>
              </w:rPr>
              <w:t>2,743,145.62</w:t>
            </w:r>
            <w:r>
              <w:rPr>
                <w:rFonts w:ascii="Arial" w:cs="Arial" w:eastAsia="Arial" w:hAnsi="Arial"/>
                <w:sz w:val="21"/>
                <w:szCs w:val="21"/>
                <w:color w:val="auto"/>
                <w:w w:val="88"/>
                <w:vertAlign w:val="superscript"/>
              </w:rPr>
              <w:t>(8)</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203" w:lineRule="exact"/>
              <w:rPr>
                <w:sz w:val="20"/>
                <w:szCs w:val="20"/>
                <w:color w:val="auto"/>
              </w:rPr>
            </w:pPr>
            <w:r>
              <w:rPr>
                <w:rFonts w:ascii="Arial" w:cs="Arial" w:eastAsia="Arial" w:hAnsi="Arial"/>
                <w:sz w:val="14"/>
                <w:szCs w:val="14"/>
                <w:color w:val="auto"/>
                <w:w w:val="97"/>
              </w:rPr>
              <w:t>114.738</w:t>
            </w:r>
            <w:r>
              <w:rPr>
                <w:rFonts w:ascii="Arial" w:cs="Arial" w:eastAsia="Arial" w:hAnsi="Arial"/>
                <w:sz w:val="21"/>
                <w:szCs w:val="21"/>
                <w:color w:val="auto"/>
                <w:w w:val="97"/>
                <w:vertAlign w:val="superscript"/>
              </w:rPr>
              <w:t>(3)</w:t>
            </w:r>
          </w:p>
        </w:tc>
        <w:tc>
          <w:tcPr>
            <w:tcW w:w="960" w:type="dxa"/>
            <w:vAlign w:val="bottom"/>
            <w:gridSpan w:val="2"/>
          </w:tcPr>
          <w:p>
            <w:pPr>
              <w:jc w:val="right"/>
              <w:ind w:right="6"/>
              <w:spacing w:after="0" w:line="203" w:lineRule="exact"/>
              <w:rPr>
                <w:sz w:val="20"/>
                <w:szCs w:val="20"/>
                <w:color w:val="auto"/>
              </w:rPr>
            </w:pPr>
            <w:r>
              <w:rPr>
                <w:rFonts w:ascii="Arial" w:cs="Arial" w:eastAsia="Arial" w:hAnsi="Arial"/>
                <w:sz w:val="14"/>
                <w:szCs w:val="14"/>
                <w:color w:val="auto"/>
                <w:w w:val="88"/>
              </w:rPr>
              <w:t>3,280,863.12</w:t>
            </w:r>
            <w:r>
              <w:rPr>
                <w:rFonts w:ascii="Arial" w:cs="Arial" w:eastAsia="Arial" w:hAnsi="Arial"/>
                <w:sz w:val="21"/>
                <w:szCs w:val="21"/>
                <w:color w:val="auto"/>
                <w:w w:val="88"/>
                <w:vertAlign w:val="superscript"/>
              </w:rPr>
              <w:t>(9)</w:t>
            </w: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1,304.31875</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1,304.31875</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28,594.39</w:t>
            </w:r>
          </w:p>
        </w:tc>
        <w:tc>
          <w:tcPr>
            <w:tcW w:w="840" w:type="dxa"/>
            <w:vAlign w:val="bottom"/>
            <w:gridSpan w:val="2"/>
          </w:tcPr>
          <w:p>
            <w:pPr>
              <w:jc w:val="right"/>
              <w:ind w:right="140"/>
              <w:spacing w:after="0" w:line="199"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(5)</w:t>
            </w:r>
          </w:p>
        </w:tc>
        <w:tc>
          <w:tcPr>
            <w:tcW w:w="920" w:type="dxa"/>
            <w:vAlign w:val="bottom"/>
            <w:gridSpan w:val="2"/>
          </w:tcPr>
          <w:p>
            <w:pPr>
              <w:jc w:val="right"/>
              <w:ind w:right="240"/>
              <w:spacing w:after="0" w:line="199" w:lineRule="exact"/>
              <w:rPr>
                <w:sz w:val="20"/>
                <w:szCs w:val="20"/>
                <w:color w:val="auto"/>
              </w:rPr>
            </w:pPr>
            <w:r>
              <w:rPr>
                <w:rFonts w:ascii="Arial" w:cs="Arial" w:eastAsia="Arial" w:hAnsi="Arial"/>
                <w:sz w:val="14"/>
                <w:szCs w:val="14"/>
                <w:color w:val="auto"/>
                <w:w w:val="97"/>
              </w:rPr>
              <w:t>124.688</w:t>
            </w:r>
            <w:r>
              <w:rPr>
                <w:rFonts w:ascii="Arial" w:cs="Arial" w:eastAsia="Arial" w:hAnsi="Arial"/>
                <w:sz w:val="21"/>
                <w:szCs w:val="21"/>
                <w:color w:val="auto"/>
                <w:w w:val="97"/>
                <w:vertAlign w:val="superscript"/>
              </w:rPr>
              <w:t>(6)</w:t>
            </w:r>
          </w:p>
        </w:tc>
        <w:tc>
          <w:tcPr>
            <w:tcW w:w="960" w:type="dxa"/>
            <w:vAlign w:val="bottom"/>
            <w:gridSpan w:val="2"/>
          </w:tcPr>
          <w:p>
            <w:pPr>
              <w:jc w:val="right"/>
              <w:spacing w:after="0" w:line="199" w:lineRule="exact"/>
              <w:rPr>
                <w:sz w:val="20"/>
                <w:szCs w:val="20"/>
                <w:color w:val="auto"/>
              </w:rPr>
            </w:pPr>
            <w:r>
              <w:rPr>
                <w:rFonts w:ascii="Arial" w:cs="Arial" w:eastAsia="Arial" w:hAnsi="Arial"/>
                <w:sz w:val="14"/>
                <w:szCs w:val="14"/>
                <w:color w:val="auto"/>
                <w:w w:val="88"/>
              </w:rPr>
              <w:t>3,565,377.30</w:t>
            </w:r>
            <w:r>
              <w:rPr>
                <w:rFonts w:ascii="Arial" w:cs="Arial" w:eastAsia="Arial" w:hAnsi="Arial"/>
                <w:sz w:val="21"/>
                <w:szCs w:val="21"/>
                <w:color w:val="auto"/>
                <w:w w:val="88"/>
                <w:vertAlign w:val="superscript"/>
              </w:rPr>
              <w:t>(10)</w:t>
            </w:r>
          </w:p>
        </w:tc>
      </w:tr>
      <w:tr>
        <w:trPr>
          <w:trHeight w:val="310"/>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Spencer</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22.573</w:t>
            </w:r>
            <w:r>
              <w:rPr>
                <w:rFonts w:ascii="Arial" w:cs="Arial" w:eastAsia="Arial" w:hAnsi="Arial"/>
                <w:sz w:val="21"/>
                <w:szCs w:val="21"/>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645,461.17</w:t>
            </w:r>
          </w:p>
        </w:tc>
        <w:tc>
          <w:tcPr>
            <w:tcW w:w="180" w:type="dxa"/>
            <w:vAlign w:val="bottom"/>
          </w:tcPr>
          <w:p>
            <w:pPr>
              <w:spacing w:after="0"/>
              <w:rPr>
                <w:sz w:val="20"/>
                <w:szCs w:val="20"/>
                <w:color w:val="auto"/>
              </w:rPr>
            </w:pPr>
            <w:r>
              <w:rPr>
                <w:rFonts w:ascii="Arial" w:cs="Arial" w:eastAsia="Arial" w:hAnsi="Arial"/>
                <w:sz w:val="11"/>
                <w:szCs w:val="11"/>
                <w:color w:val="auto"/>
                <w:w w:val="81"/>
              </w:rPr>
              <w:t>(11)</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rPr>
              <w:t>25.712</w:t>
            </w:r>
            <w:r>
              <w:rPr>
                <w:rFonts w:ascii="Arial" w:cs="Arial" w:eastAsia="Arial" w:hAnsi="Arial"/>
                <w:sz w:val="21"/>
                <w:szCs w:val="21"/>
                <w:color w:val="auto"/>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735,218.96</w:t>
            </w:r>
          </w:p>
        </w:tc>
        <w:tc>
          <w:tcPr>
            <w:tcW w:w="180" w:type="dxa"/>
            <w:vAlign w:val="bottom"/>
          </w:tcPr>
          <w:p>
            <w:pPr>
              <w:spacing w:after="0"/>
              <w:rPr>
                <w:sz w:val="20"/>
                <w:szCs w:val="20"/>
                <w:color w:val="auto"/>
              </w:rPr>
            </w:pPr>
            <w:r>
              <w:rPr>
                <w:rFonts w:ascii="Arial" w:cs="Arial" w:eastAsia="Arial" w:hAnsi="Arial"/>
                <w:sz w:val="11"/>
                <w:szCs w:val="11"/>
                <w:color w:val="auto"/>
                <w:w w:val="81"/>
              </w:rPr>
              <w:t>(12)</w:t>
            </w:r>
          </w:p>
        </w:tc>
      </w:tr>
      <w:tr>
        <w:trPr>
          <w:trHeight w:val="270"/>
        </w:trPr>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2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243.47285</w:t>
            </w: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243.47285</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28,594.39</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(5)</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22.797</w:t>
            </w:r>
            <w:r>
              <w:rPr>
                <w:rFonts w:ascii="Arial" w:cs="Arial" w:eastAsia="Arial" w:hAnsi="Arial"/>
                <w:sz w:val="21"/>
                <w:szCs w:val="21"/>
                <w:color w:val="auto"/>
                <w:vertAlign w:val="superscript"/>
              </w:rPr>
              <w:t>(6)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651,866.31</w:t>
            </w:r>
          </w:p>
        </w:tc>
        <w:tc>
          <w:tcPr>
            <w:tcW w:w="180" w:type="dxa"/>
            <w:vAlign w:val="bottom"/>
          </w:tcPr>
          <w:p>
            <w:pPr>
              <w:spacing w:after="0"/>
              <w:rPr>
                <w:sz w:val="20"/>
                <w:szCs w:val="20"/>
                <w:color w:val="auto"/>
              </w:rPr>
            </w:pPr>
            <w:r>
              <w:rPr>
                <w:rFonts w:ascii="Arial" w:cs="Arial" w:eastAsia="Arial" w:hAnsi="Arial"/>
                <w:sz w:val="11"/>
                <w:szCs w:val="11"/>
                <w:color w:val="auto"/>
                <w:w w:val="81"/>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-1353820</wp:posOffset>
            </wp:positionV>
            <wp:extent cx="18859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-1353820</wp:posOffset>
            </wp:positionV>
            <wp:extent cx="1543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-1353820</wp:posOffset>
            </wp:positionV>
            <wp:extent cx="1543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-1353820</wp:posOffset>
            </wp:positionV>
            <wp:extent cx="15430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-1353820</wp:posOffset>
            </wp:positionV>
            <wp:extent cx="1543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-1353820</wp:posOffset>
            </wp:positionV>
            <wp:extent cx="1543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-1353820</wp:posOffset>
            </wp:positionV>
            <wp:extent cx="1543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-1353820</wp:posOffset>
            </wp:positionV>
            <wp:extent cx="1543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4" w:lineRule="exact"/>
        <w:rPr>
          <w:sz w:val="20"/>
          <w:szCs w:val="20"/>
          <w:color w:val="auto"/>
        </w:rPr>
      </w:pPr>
    </w:p>
    <w:p>
      <w:pPr>
        <w:ind w:left="1620" w:hanging="352"/>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2019, subject to continued employment.</w:t>
      </w:r>
    </w:p>
    <w:p>
      <w:pPr>
        <w:spacing w:after="0" w:line="117"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$315,314 in respect of this grant of PRSUs, to be paid at the time the award itself settles.</w:t>
      </w:r>
    </w:p>
    <w:p>
      <w:pPr>
        <w:spacing w:after="0" w:line="75" w:lineRule="exact"/>
        <w:rPr>
          <w:rFonts w:ascii="Arial" w:cs="Arial" w:eastAsia="Arial" w:hAnsi="Arial"/>
          <w:sz w:val="18"/>
          <w:szCs w:val="18"/>
          <w:color w:val="auto"/>
        </w:rPr>
      </w:pPr>
    </w:p>
    <w:p>
      <w:pPr>
        <w:ind w:left="1620" w:hanging="352"/>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2020, subject to continued employment.</w:t>
      </w:r>
    </w:p>
    <w:p>
      <w:pPr>
        <w:spacing w:after="0" w:line="117"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$259,400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739" w:hanging="352"/>
        <w:spacing w:after="0" w:line="291" w:lineRule="auto"/>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NEO received a grant of options on October 26, 2018, which vest as follows: (i) 50% vests based over time on continued employment, vesting 25% on January 1, 2019 and 25% on each anniversary thereafter until January 2022, with accelerated vesting for the tranches scheduled to vest on January 1, 2021 and January 1, 2022 upon the effectiveness of this offering and (ii) 50% vests based on satisfying certain performance conditions, including achievement of EBITDA and revenue targets, for calendar years 2018, 2019, 2020 and 2021, as further described above under “—Narrative Disclosure to Summary Compensation Table—Amended and Restated Tradeweb Markets Inc. 2018 Share Option Plan—Vesting.”</w:t>
      </w:r>
    </w:p>
    <w:p>
      <w:pPr>
        <w:spacing w:after="0" w:line="58" w:lineRule="exact"/>
        <w:rPr>
          <w:rFonts w:ascii="Arial" w:cs="Arial" w:eastAsia="Arial" w:hAnsi="Arial"/>
          <w:sz w:val="16"/>
          <w:szCs w:val="16"/>
          <w:color w:val="auto"/>
        </w:rPr>
      </w:pPr>
    </w:p>
    <w:p>
      <w:pPr>
        <w:ind w:left="1620" w:hanging="352"/>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2021, subject to continued employment.</w:t>
      </w:r>
    </w:p>
    <w:p>
      <w:pPr>
        <w:spacing w:after="0" w:line="130"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$133,399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$262,762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$216,167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$111,221 in respect of this grant of PRSUs, to be paid at the time the award itself settles.</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839" w:hanging="352"/>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$61,826 in respect of this grant of PRSUs, to be paid at the time the award itself settles.</w:t>
      </w:r>
    </w:p>
    <w:p>
      <w:pPr>
        <w:spacing w:after="0" w:line="129" w:lineRule="exact"/>
        <w:rPr>
          <w:rFonts w:ascii="Arial" w:cs="Arial" w:eastAsia="Arial" w:hAnsi="Arial"/>
          <w:sz w:val="18"/>
          <w:szCs w:val="18"/>
          <w:color w:val="auto"/>
        </w:rPr>
      </w:pPr>
    </w:p>
    <w:p>
      <w:pPr>
        <w:ind w:left="1620" w:right="839" w:hanging="352"/>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$48,441 in respect of this grant of PRSUs, to be paid at the time the award itself settles.</w:t>
      </w:r>
    </w:p>
    <w:p>
      <w:pPr>
        <w:spacing w:after="0" w:line="129" w:lineRule="exact"/>
        <w:rPr>
          <w:rFonts w:ascii="Arial" w:cs="Arial" w:eastAsia="Arial" w:hAnsi="Arial"/>
          <w:sz w:val="18"/>
          <w:szCs w:val="18"/>
          <w:color w:val="auto"/>
        </w:rPr>
      </w:pPr>
    </w:p>
    <w:p>
      <w:pPr>
        <w:ind w:left="1620" w:right="839" w:hanging="352"/>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$20,335 in respect of this grant of PRSUs, to be paid at the time the award itself settles.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4"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The NEOs are eligible to participate in the 401(k) Plan on the same terms as other participating employees.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4"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Pursuant to the terms of the Employment Agreements, each of Messrs. Olesky and Hult are entitled to receive certain payments in connection with certain termination events.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5" w:lineRule="exact"/>
        <w:rPr>
          <w:sz w:val="20"/>
          <w:szCs w:val="20"/>
          <w:color w:val="auto"/>
        </w:rPr>
      </w:pPr>
    </w:p>
    <w:p>
      <w:pPr>
        <w:ind w:left="1260" w:right="759" w:firstLine="8"/>
        <w:spacing w:after="0" w:line="267" w:lineRule="auto"/>
        <w:tabs>
          <w:tab w:leader="none" w:pos="1525" w:val="left"/>
        </w:tabs>
        <w:numPr>
          <w:ilvl w:val="0"/>
          <w:numId w:val="99"/>
        </w:numPr>
        <w:rPr>
          <w:rFonts w:ascii="Arial" w:cs="Arial" w:eastAsia="Arial" w:hAnsi="Arial"/>
          <w:sz w:val="17"/>
          <w:szCs w:val="17"/>
          <w:color w:val="auto"/>
        </w:rPr>
      </w:pPr>
      <w:r>
        <w:rPr>
          <w:rFonts w:ascii="Arial" w:cs="Arial" w:eastAsia="Arial" w:hAnsi="Arial"/>
          <w:sz w:val="17"/>
          <w:szCs w:val="17"/>
          <w:color w:val="auto"/>
        </w:rPr>
        <w:t>Mr. Olesky or Mr. Hult resigns for Good Reason (as defined below), (iii) TMW LLC elects not to renew Mr. Olesky or Mr. Hult’s Employment Agreement prior to its expiration or any subsequent renewal term and Mr. Olesky or Mr. Hult’s Employment Agreement and Mr. Olesky or Mr. Hult’s employment is terminated or (iv) Mr. Olesky or Mr. Hult’s employment is terminated due to his death or Disability (as defined in the applicable Employment Agreement), each of Mr. Olesky and Mr. Hult are entitled to (A) continuation of their base salary for eighteen (18) months following termination, (B) the CEO Target Bonus or President Target Bonus, as applicable, payable in equal installments over eighteen (18) months, (C) a pro rata bonus for the year of termination based on actual TWM LLC performance for the year of termination, payable at the time when bonuses are otherwise paid, (D) continuation of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 and Mr. Hult’s continued compliance with the restrictive covenants included in the applicable Employment Agreement, and their execution of a release of claims.</w:t>
      </w:r>
    </w:p>
    <w:p>
      <w:pPr>
        <w:spacing w:after="0" w:line="75"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For purposes of the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88" w:lineRule="exact"/>
        <w:rPr>
          <w:sz w:val="20"/>
          <w:szCs w:val="20"/>
          <w:color w:val="auto"/>
        </w:rPr>
      </w:pPr>
    </w:p>
    <w:p>
      <w:pPr>
        <w:jc w:val="both"/>
        <w:ind w:left="1260" w:right="1059" w:firstLine="360"/>
        <w:spacing w:after="0" w:line="291" w:lineRule="auto"/>
        <w:rPr>
          <w:sz w:val="20"/>
          <w:szCs w:val="20"/>
          <w:color w:val="auto"/>
        </w:rPr>
      </w:pPr>
      <w:r>
        <w:rPr>
          <w:rFonts w:ascii="Arial" w:cs="Arial" w:eastAsia="Arial" w:hAnsi="Arial"/>
          <w:sz w:val="16"/>
          <w:szCs w:val="16"/>
          <w:color w:val="auto"/>
        </w:rPr>
        <w:t>For purposes of the Employment Agreements, “Good Reason” means any of the following that remains uncured (if curable) for ten (10) days after TWM LLC’s receipt of written notice thereof from the executive:</w:t>
      </w:r>
    </w:p>
    <w:p>
      <w:pPr>
        <w:ind w:left="1260" w:right="1039" w:firstLine="8"/>
        <w:spacing w:after="0" w:line="292" w:lineRule="auto"/>
        <w:tabs>
          <w:tab w:leader="none" w:pos="15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executive is serving in a position below, for 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w:t>
      </w: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color w:val="auto"/>
        </w:rPr>
        <w:t>principal place of employment by more than fifty (50) miles; or (e) any material breach by TWM LLC of the Employment Agreement. In addition, for Mr. Olesky, “Good Reason” means a sale of TWM LLC (whether by merger, share sale or sale of all or substantially all of its assets).</w:t>
      </w:r>
    </w:p>
    <w:p>
      <w:pPr>
        <w:spacing w:after="0" w:line="76"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Pursuant to the Employment Agreements, in the event that any of the payments or benefits provided by TWM LLC or any affiliate to TWM LLC (whether pursuant to the terms of the Employment Agreement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Each of our NEOs has been granted an Option under the Option Plan (described above under “—Narrative Disclosure to Summary Compensation Table—Amended and Restated Tradeweb Markets Inc. 2018 Share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 In addition, in the event of a change in control prior to the date the Compensation Committee determines whether the relevant performance-conditions for the Performance-Based Portion of such Option have been achieved for 2021 (as further described above under “— Narrative Disclosure to Summary Compensation Table—Amended and Restated Tradeweb Markets Inc. 2018 Share Option Plan—Vesting”) any portion of the Performance-Based Portion that remains unvested shall be eligible to become vested as of the change of control to the extent the applicable remaining EBITDA targets or revenue targets will have been deemed satisfied as of the change of control (which targets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Each of our NEOs has been granted PRSUs under the PRSU Plan (as described above under “—Narrative Disclosure to Summary Compensation Table—Amended &amp; Restated Tradeweb Markets Inc. PRSU Plan”). In the event an NEO is terminated (i) without Cause (as defined in the PRSU Plan) within 180 days prior to the relevant vesting date, or (ii) due to the participant’s death or disability or retirement (as such terms are defined in the PRSU Plan), the NEO will be entitled to retain a pro-rated number of the PRSUs, based on days worked for the vesting period, which will remain eligible to vest. In the event the NEO’s service is terminated without Cause within six months following a change of control (as defined in the PRSU Plan), any outstanding PRSUs will vest and continue to be paid out in accordance with the PRSU Plan; provided, however, that if the change of control constitutes a “Qualified Change of Control” (as defined above), payment applicable to the PRSU will be made as soon as practicable after the participant’s termination, as further described above under “—Narrative Disclosure to Summary Compensation Table—Amended &amp; Restated Tradeweb Markets Inc. PRSU Plan—Termination of Service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directors of TWM LLC for fiscal year 2018 included Lee Olesky, William Hult, Debra Walton, Steve Leith, Richard Lee, Christopher Conetta, Bill Hartnett, Rob Huntington, Rana Yared, Thomas Pluta, Patrick Haskell (Chairman), Simon Wilson and Paolo Croce. The director of Tradeweb Markets Inc. for fiscal year 2018 was Lee Olesky. None of these individuals received any compensation for their service as directors in fiscal year 2018.</w:t>
      </w: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our Class B common stock and our Class D common stock, after the completion of the Reorganization Transactions, including this offering, for:</w:t>
      </w:r>
    </w:p>
    <w:p>
      <w:pPr>
        <w:spacing w:after="0" w:line="76" w:lineRule="exact"/>
        <w:rPr>
          <w:sz w:val="20"/>
          <w:szCs w:val="20"/>
          <w:color w:val="auto"/>
        </w:rPr>
      </w:pPr>
    </w:p>
    <w:p>
      <w:pPr>
        <w:ind w:left="1980" w:right="919" w:hanging="352"/>
        <w:spacing w:after="0" w:line="277"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common stock, our Class B common stock or our Class D common stock;</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As described in “The Reorganization Transactions” and “Certain Relationships and Related Party Transactions,” each Continuing LLC Owner will be entitled to have its LLC Interests redeemed for Class A common stock or Class B common stock on a one-for-one basis or, at the option of Tradeweb, cash equal to the volume weighted average market price of the applicable number of our shares of Class A common stock. In connection with this offering, we will issue to each Continuing LLC Owner for nominal consideration one share of Class D common stock for each LLC Interest it owns. As a result, the number of shares of Class D common stock listed in the table below correlate to the number of LLC Interests each such Continuing LLC Owner will own immediately after this offering. There will be no outstanding shares of our Class C common stock upon completion of this offering. See “The Reorganization Transactions.”</w:t>
      </w:r>
    </w:p>
    <w:p>
      <w:pPr>
        <w:spacing w:after="0" w:line="73" w:lineRule="exact"/>
        <w:rPr>
          <w:sz w:val="20"/>
          <w:szCs w:val="20"/>
          <w:color w:val="auto"/>
        </w:rPr>
      </w:pPr>
    </w:p>
    <w:p>
      <w:pPr>
        <w:ind w:left="1260" w:right="799" w:firstLine="360"/>
        <w:spacing w:after="0" w:line="284"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have vested or will vest within 60 days of the date of this prospectus are considered outstanding, although these shares are not considered outstanding for purposes of computing</w:t>
      </w:r>
    </w:p>
    <w:p>
      <w:pPr>
        <w:spacing w:after="0" w:line="2"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 of Class A</w:t>
            </w: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Shares of Class B</w:t>
            </w: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Shares of Class D</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Combined Voting</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3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3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Beneficially Owned</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301"/>
        </w:trPr>
        <w:tc>
          <w:tcPr>
            <w:tcW w:w="394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  %</w:t>
            </w:r>
            <w:r>
              <w:rPr>
                <w:rFonts w:ascii="Arial" w:cs="Arial" w:eastAsia="Arial" w:hAnsi="Arial"/>
                <w:sz w:val="21"/>
                <w:szCs w:val="21"/>
                <w:b w:val="1"/>
                <w:bCs w:val="1"/>
                <w:color w:val="auto"/>
                <w:w w:val="98"/>
                <w:vertAlign w:val="superscript"/>
              </w:rPr>
              <w:t>(1)</w:t>
            </w:r>
            <w:r>
              <w:rPr>
                <w:rFonts w:ascii="Arial" w:cs="Arial" w:eastAsia="Arial" w:hAnsi="Arial"/>
                <w:sz w:val="14"/>
                <w:szCs w:val="14"/>
                <w:b w:val="1"/>
                <w:bCs w:val="1"/>
                <w:color w:val="auto"/>
                <w:w w:val="98"/>
              </w:rPr>
              <w:t xml:space="preserve">  %</w:t>
            </w:r>
            <w:r>
              <w:rPr>
                <w:rFonts w:ascii="Arial" w:cs="Arial" w:eastAsia="Arial" w:hAnsi="Arial"/>
                <w:sz w:val="21"/>
                <w:szCs w:val="21"/>
                <w:b w:val="1"/>
                <w:bCs w:val="1"/>
                <w:color w:val="auto"/>
                <w:w w:val="98"/>
                <w:vertAlign w:val="superscript"/>
              </w:rPr>
              <w:t>(2)</w:t>
            </w:r>
          </w:p>
        </w:tc>
        <w:tc>
          <w:tcPr>
            <w:tcW w:w="100" w:type="dxa"/>
            <w:vAlign w:val="bottom"/>
          </w:tcPr>
          <w:p>
            <w:pPr>
              <w:spacing w:after="0"/>
              <w:rPr>
                <w:sz w:val="24"/>
                <w:szCs w:val="24"/>
                <w:color w:val="auto"/>
              </w:rPr>
            </w:pP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ind w:right="26"/>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120" w:type="dxa"/>
            <w:vAlign w:val="bottom"/>
          </w:tcPr>
          <w:p>
            <w:pPr>
              <w:spacing w:after="0"/>
              <w:rPr>
                <w:sz w:val="24"/>
                <w:szCs w:val="24"/>
                <w:color w:val="auto"/>
              </w:rPr>
            </w:pP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ind w:right="26"/>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100" w:type="dxa"/>
            <w:vAlign w:val="bottom"/>
          </w:tcPr>
          <w:p>
            <w:pPr>
              <w:spacing w:after="0"/>
              <w:rPr>
                <w:sz w:val="24"/>
                <w:szCs w:val="24"/>
                <w:color w:val="auto"/>
              </w:rPr>
            </w:pPr>
          </w:p>
        </w:tc>
        <w:tc>
          <w:tcPr>
            <w:tcW w:w="560" w:type="dxa"/>
            <w:vAlign w:val="bottom"/>
            <w:tcBorders>
              <w:top w:val="single" w:sz="8" w:color="auto"/>
            </w:tcBorders>
          </w:tcPr>
          <w:p>
            <w:pPr>
              <w:jc w:val="right"/>
              <w:ind w:right="94"/>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560" w:type="dxa"/>
            <w:vAlign w:val="bottom"/>
            <w:tcBorders>
              <w:top w:val="single" w:sz="8" w:color="auto"/>
            </w:tcBorders>
          </w:tcPr>
          <w:p>
            <w:pPr>
              <w:jc w:val="right"/>
              <w:ind w:right="66"/>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-36195</wp:posOffset>
            </wp:positionV>
            <wp:extent cx="5760720" cy="1631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b w:val="1"/>
          <w:bCs w:val="1"/>
          <w:color w:val="auto"/>
        </w:rPr>
        <w:t>5% Stockholders</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Entities affiliated with Refinitiv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17780</wp:posOffset>
            </wp:positionV>
            <wp:extent cx="5760720" cy="154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Directors and Named Executive Officers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17780</wp:posOffset>
            </wp:positionV>
            <wp:extent cx="5760720" cy="154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Billy Hult</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Jay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17780</wp:posOffset>
            </wp:positionV>
            <wp:extent cx="5760720" cy="2654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60720" cy="265430"/>
                    </a:xfrm>
                    <a:prstGeom prst="rect">
                      <a:avLst/>
                    </a:prstGeom>
                    <a:noFill/>
                  </pic:spPr>
                </pic:pic>
              </a:graphicData>
            </a:graphic>
          </wp:anchor>
        </w:drawing>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All executive officers and directors as a group (</w:t>
      </w:r>
    </w:p>
    <w:p>
      <w:pPr>
        <w:ind w:left="1020"/>
        <w:spacing w:after="0"/>
        <w:rPr>
          <w:sz w:val="20"/>
          <w:szCs w:val="20"/>
          <w:color w:val="auto"/>
        </w:rPr>
      </w:pPr>
      <w:r>
        <w:rPr>
          <w:rFonts w:ascii="Arial" w:cs="Arial" w:eastAsia="Arial" w:hAnsi="Arial"/>
          <w:sz w:val="16"/>
          <w:szCs w:val="16"/>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172085</wp:posOffset>
            </wp:positionV>
            <wp:extent cx="123444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00" w:hanging="364"/>
        <w:spacing w:after="0"/>
        <w:tabs>
          <w:tab w:leader="none" w:pos="12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additional shares of Class A common stock.</w:t>
      </w:r>
    </w:p>
    <w:p>
      <w:pPr>
        <w:spacing w:after="0" w:line="88" w:lineRule="exact"/>
        <w:rPr>
          <w:rFonts w:ascii="Arial" w:cs="Arial" w:eastAsia="Arial" w:hAnsi="Arial"/>
          <w:sz w:val="17"/>
          <w:szCs w:val="17"/>
          <w:color w:val="auto"/>
        </w:rPr>
      </w:pPr>
    </w:p>
    <w:p>
      <w:pPr>
        <w:ind w:left="1200" w:hanging="364"/>
        <w:spacing w:after="0"/>
        <w:tabs>
          <w:tab w:leader="none" w:pos="12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Assumes full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following is a description of transactions since January 1, 2015 to which we were a party in which the amount involved exceeded or will exceed $120,000, and in which any of our executive officers, directors, Bank Stockholders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Following this offering,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the nine months ended September 30, 2018 and each of the years ended December 31, 2017, 2016 and 2015, we incurred fees of $3.2 million and $4.3 million per year relating to this agreement. These fees are included in occupancy and general and administrative expenses in our consolidated statements of income included elsewhere in this prospectus.</w:t>
      </w:r>
    </w:p>
    <w:p>
      <w:pPr>
        <w:spacing w:after="0" w:line="76"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nine months ended September 30, 2018 and the years ended December 31, 2017, 2016 and 2015, we earned approximately $36.9 million, $50.1 million, $50.6 million and $52.2 million, respectively, of revenue under this agreement.</w:t>
      </w:r>
    </w:p>
    <w:p>
      <w:pPr>
        <w:spacing w:after="0" w:line="6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are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is subject to confidentiality obligations regarding both the nonpublic information of our business and the terms of those definitive agreements, subject to customary disclosure exceptions. In addition, the master agreement prohibits Refinitiv from establishing, investing in, or acting as primary business operator or manager of, an electronic trade execution platform for trading in fixed income securities or equity derivatives for so long as Refinitiv continues to directly or indirectly own a majority of our equity interests, subject to certain exceptions.</w:t>
      </w:r>
    </w:p>
    <w:p>
      <w:pPr>
        <w:spacing w:after="0" w:line="73"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We reimburse affiliates of Thomson Reuters for expenses paid on our behalf for various services including payroll, marketing, professional fees, communications, data costs and certain other administrative services. For the nine months ended September 30, 2018 and the years ended December 31, 2017, 2016 and 2015, we reimbursed such affiliates approximately $28.7 million, $38.4 million, $34.4 million and $31.0 million, respectively, for these expenses.</w:t>
      </w: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years ended December 31, 2017, 2016 and 2015, the interest rate charged was 4.50% per annum. We paid and expensed approximately $0.5 million, $1.3 million and $1.3 million of interest related to this note during the years ended December 31, 2017, 2016 and 2015, respectively.</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During the nine months ended September 30, 2018 and the years ended December 31, 2017, 2016 and 2015, we earned $34,000, $40,000, $80,000 and $83,000,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63"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During the nine months ended September 30, 2018 and the years ended December 31, 2017, 2016 and 2015, we earned approximately $211.2 million, $232.4 million, $211.7 million and $220.1 million, respectively, of transaction fees, subscription fees and commissions from affiliates of the Bank Stockholders. Over the same period, none of the Bank Stockholders accounted for more than 10% of our revenues.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Immediately following this offering, we will use the net proceeds from this offering to purchase</w:t>
      </w:r>
    </w:p>
    <w:p>
      <w:pPr>
        <w:spacing w:after="0" w:line="23" w:lineRule="exact"/>
        <w:rPr>
          <w:sz w:val="20"/>
          <w:szCs w:val="20"/>
          <w:color w:val="auto"/>
        </w:rPr>
      </w:pPr>
    </w:p>
    <w:p>
      <w:pPr>
        <w:ind w:left="1260" w:right="859" w:firstLine="990"/>
        <w:spacing w:after="0" w:line="253" w:lineRule="auto"/>
        <w:rPr>
          <w:sz w:val="20"/>
          <w:szCs w:val="20"/>
          <w:color w:val="auto"/>
        </w:rPr>
      </w:pPr>
      <w:r>
        <w:rPr>
          <w:rFonts w:ascii="Arial" w:cs="Arial" w:eastAsia="Arial" w:hAnsi="Arial"/>
          <w:sz w:val="18"/>
          <w:szCs w:val="18"/>
          <w:color w:val="auto"/>
        </w:rPr>
        <w:t>issued and outstanding LLC Interests from certain of the Other LLC Owners. The following table sets forth the cash proceeds that certain of the Other LLC Owners will receive from the purchase by us of LLC Interests with the net proceeds of this offering, based on the midpoint of the price range set forth on the cover page of this prospectus:</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Number of LLC Interests,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 of LLC</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assuming the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 assuming the</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underwriters’ option to</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underwriters’ option to</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 Class A</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Cash</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shares of Class A</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 is not</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Proceeds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 is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86"/>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exercised in full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
        </w:trPr>
        <w:tc>
          <w:tcPr>
            <w:tcW w:w="3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-179705</wp:posOffset>
            </wp:positionV>
            <wp:extent cx="1371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-179705</wp:posOffset>
            </wp:positionV>
            <wp:extent cx="1371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-179705</wp:posOffset>
            </wp:positionV>
            <wp:extent cx="137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-179705</wp:posOffset>
            </wp:positionV>
            <wp:extent cx="137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This Offering</w:t>
      </w:r>
    </w:p>
    <w:p>
      <w:pPr>
        <w:spacing w:after="0" w:line="108" w:lineRule="exact"/>
        <w:rPr>
          <w:sz w:val="20"/>
          <w:szCs w:val="20"/>
          <w:color w:val="auto"/>
        </w:rPr>
      </w:pPr>
    </w:p>
    <w:p>
      <w:pPr>
        <w:ind w:left="1260" w:right="899" w:firstLine="360"/>
        <w:spacing w:after="0" w:line="286" w:lineRule="auto"/>
        <w:rPr>
          <w:sz w:val="20"/>
          <w:szCs w:val="20"/>
          <w:color w:val="auto"/>
        </w:rPr>
      </w:pPr>
      <w:r>
        <w:rPr>
          <w:rFonts w:ascii="Arial" w:cs="Arial" w:eastAsia="Arial" w:hAnsi="Arial"/>
          <w:sz w:val="17"/>
          <w:szCs w:val="17"/>
          <w:color w:val="auto"/>
        </w:rPr>
        <w:t>In connection with the Reorganization Transactions, we will engage in certain transactions with certain of our directors, executive officers and other persons and entities which are holders of 5% or more of our voting securities. These transactions are described in “The Reorganization Transactions.”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ind w:left="1260" w:right="799" w:firstLine="360"/>
        <w:spacing w:after="0" w:line="301" w:lineRule="auto"/>
        <w:rPr>
          <w:sz w:val="20"/>
          <w:szCs w:val="20"/>
          <w:color w:val="auto"/>
        </w:rPr>
      </w:pPr>
      <w:r>
        <w:rPr>
          <w:rFonts w:ascii="Arial" w:cs="Arial" w:eastAsia="Arial" w:hAnsi="Arial"/>
          <w:sz w:val="16"/>
          <w:szCs w:val="16"/>
          <w:color w:val="auto"/>
        </w:rPr>
        <w:t>We will operate our business through TWM LLC and its subsidiaries. In connection with the completion of this offering, we and the Original LLC Owners will enter into TWM LLC’s fifth amended and restated limited liability company agreement, which we refer to as the “TWM LLC Agreement.” The operations of TWM LLC, and the rights and obligations of the holders of LLC Interests, will be set forth in the TWM LLC Agreement.</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will become a member and the sole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TWM LLC. As the sole manager, we will be able to control all of the day-to-day business affairs and decision-making of TWM LLC without the approval of any other member, unless otherwise stated in the TWM LLC Agreement. As such, we, through our officers and directors, will be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87"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will not be entitled to compensation for our services as manager. We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this offering and maintaining our existence as a separate legal entity.</w:t>
      </w:r>
    </w:p>
    <w:p>
      <w:pPr>
        <w:spacing w:after="0" w:line="57"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recapitalizes the units currently held by the existing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TWM LLC into a new single class of common membership units, which we refer to as the “LLC Interests.” The TWM LLC Agreement will also reflect a split of LLC Interests such that one LLC Interest can be acquired with the net proceeds received in the initial offering from the sale of one share of our Class A common stock. Each LLC Interest will entitle the holder to a pro rata share of the net profits and net losses and distributions of TWM LLC.</w:t>
      </w:r>
    </w:p>
    <w:p>
      <w:pPr>
        <w:spacing w:after="0" w:line="84"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In connection with any tax period, the TWM LLC Agreement will require TWM LLC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will also allow for distributions to be made by TWM LLC to its members on a pro rata basis out of distributable cash. We expect TWM LLC may make distributions out of distributable cash periodically to the extent permitted by our agreements governing our indebtedness and necessary to enable us to cover our operating expenses and other obligations, as well as to make dividend payments, if any, to the holders of our Class A common stock and Class B common stock.</w:t>
      </w:r>
    </w:p>
    <w:p>
      <w:pPr>
        <w:spacing w:after="0" w:line="81" w:lineRule="exact"/>
        <w:rPr>
          <w:sz w:val="20"/>
          <w:szCs w:val="20"/>
          <w:color w:val="auto"/>
        </w:rPr>
      </w:pPr>
    </w:p>
    <w:p>
      <w:pPr>
        <w:ind w:left="1260" w:right="659" w:firstLine="360"/>
        <w:spacing w:after="0" w:line="250"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The TWM LLC Agreement provides a redemption right to the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for cancellation. The TWM LLC Agreement requires that we contribute cash or shares of our Class A common stock or Class B common stock to TWM LLC in exchange for an amount of newly issued LLC Interests in TWM LLC that will be issued to us equal to the number of LLC Interests redeemed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6"/>
          <w:szCs w:val="16"/>
          <w:i w:val="1"/>
          <w:iCs w:val="1"/>
          <w:color w:val="auto"/>
        </w:rPr>
        <w:t xml:space="preserve">Issuance of LLC Interests Upon Exercise of Options or Issuance of Other Equity Compensation. </w:t>
      </w:r>
      <w:r>
        <w:rPr>
          <w:rFonts w:ascii="Arial" w:cs="Arial" w:eastAsia="Arial" w:hAnsi="Arial"/>
          <w:sz w:val="16"/>
          <w:szCs w:val="16"/>
          <w:color w:val="auto"/>
        </w:rPr>
        <w:t>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67"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Our amended and restated certificate of incorporation and the TWM LLC</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require that (i) we at all times maintain a ratio of one LLC Interest owned by us for each share of</w:t>
      </w:r>
    </w:p>
    <w:p>
      <w:pPr>
        <w:spacing w:after="0" w:line="2" w:lineRule="exact"/>
        <w:rPr>
          <w:sz w:val="20"/>
          <w:szCs w:val="20"/>
          <w:color w:val="auto"/>
        </w:rPr>
      </w:pPr>
    </w:p>
    <w:p>
      <w:pPr>
        <w:ind w:left="1260" w:right="879" w:firstLine="8"/>
        <w:spacing w:after="0" w:line="290" w:lineRule="auto"/>
        <w:tabs>
          <w:tab w:leader="none" w:pos="148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Class A common stock issued by us and (II) Class B common stock issued by us, in each case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5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will provide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3" w:lineRule="exact"/>
        <w:rPr>
          <w:sz w:val="20"/>
          <w:szCs w:val="20"/>
          <w:color w:val="auto"/>
        </w:rPr>
      </w:pPr>
    </w:p>
    <w:p>
      <w:pPr>
        <w:ind w:left="1260" w:right="999" w:firstLine="360"/>
        <w:spacing w:after="0" w:line="275"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Each member will agree to maintain the confidentiality of TWM LLC’s confidential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6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To the extent permitted by applicable law, TWM LLC will indemnify us, as its sole manager, and its authorized officers from and against any losses, liabilities, damages, expenses,</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9" w:lineRule="auto"/>
        <w:rPr>
          <w:sz w:val="20"/>
          <w:szCs w:val="20"/>
          <w:color w:val="auto"/>
        </w:rPr>
      </w:pPr>
      <w:r>
        <w:rPr>
          <w:rFonts w:ascii="Arial" w:cs="Arial" w:eastAsia="Arial" w:hAnsi="Arial"/>
          <w:sz w:val="17"/>
          <w:szCs w:val="17"/>
          <w:color w:val="auto"/>
        </w:rPr>
        <w:t>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63"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The TWM LLC Agreement may be amended with the consent of the holders of a majority in</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the outstanding LLC Interests; provided that if the sole manager holds greater than 33% of the LLC Interests, then it may be amended with the consent of the sole manager together with holders of at least 50% of the outstanding LLC Interests, excluding LLC Interests held by the sole manager.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We expect to obtain an increase in our share of the tax basis of the assets of TWM LLC when a Continuing LLC Owner receives shares of our Class A common stock or Class B common stock, as applicable, or cash at our election in connection with an exercise of such Continuing LLC Owner’s right to have its LLC Interests redeemed by TWM LLC or, at our election, exchanged and in connection with the disposition by such Continuing LLC Owner of its LLC interests for cash in connection with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71"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In connection with the transactions described above, we will enter into the Tax Receivable Agreement (the “TRA”) with the Continuing LLC Owners. The TRA will provide for the payment by us to the Continuing LLC Owners who disposed of LLC Interests for cash in connection with this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 described above,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5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8" w:lineRule="exact"/>
        <w:rPr>
          <w:sz w:val="20"/>
          <w:szCs w:val="20"/>
          <w:color w:val="auto"/>
        </w:rPr>
      </w:pPr>
    </w:p>
    <w:p>
      <w:pPr>
        <w:ind w:left="1980" w:right="799" w:hanging="352"/>
        <w:spacing w:after="0" w:line="263"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19" w:hanging="352"/>
        <w:spacing w:after="0" w:line="286" w:lineRule="auto"/>
        <w:tabs>
          <w:tab w:leader="none" w:pos="1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24"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TRA.</w:t>
      </w:r>
    </w:p>
    <w:p>
      <w:pPr>
        <w:spacing w:after="0" w:line="84"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consummation of the offering.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57"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w:t>
      </w:r>
    </w:p>
    <w:p>
      <w:pPr>
        <w:spacing w:after="0" w:line="70"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TRA provides that if (i) we materially breach any of our material obligations under the TRA (including by failing to make payments thereunder when we have available cash to do so), (ii) certain mergers, asset sales, other forms of business combination, or other changes of control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70"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 In these situations, our obligations under the TRA could have a material adverse effect on our liquidity and could have the effect of delaying, deferring or preventing certain mergers, asset sales, other forms of business combination, or other changes of control. There can be no assurance that we will be able to finance our obligations under the TRA.</w:t>
      </w:r>
    </w:p>
    <w:p>
      <w:pPr>
        <w:spacing w:after="0" w:line="57"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w:t>
      </w: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620"/>
        <w:spacing w:after="0"/>
        <w:tabs>
          <w:tab w:leader="none" w:pos="8360" w:val="left"/>
        </w:tabs>
        <w:rPr>
          <w:sz w:val="20"/>
          <w:szCs w:val="20"/>
          <w:color w:val="auto"/>
        </w:rPr>
      </w:pPr>
      <w:r>
        <w:rPr>
          <w:rFonts w:ascii="Arial" w:cs="Arial" w:eastAsia="Arial" w:hAnsi="Arial"/>
          <w:sz w:val="18"/>
          <w:szCs w:val="18"/>
          <w:color w:val="auto"/>
        </w:rPr>
        <w:t>In connection with this offering, we intend to enter into a Stockholders Agreement with</w:t>
      </w:r>
      <w:r>
        <w:rPr>
          <w:sz w:val="20"/>
          <w:szCs w:val="20"/>
          <w:color w:val="auto"/>
        </w:rPr>
        <w:tab/>
      </w:r>
      <w:r>
        <w:rPr>
          <w:rFonts w:ascii="Arial" w:cs="Arial" w:eastAsia="Arial" w:hAnsi="Arial"/>
          <w:sz w:val="16"/>
          <w:szCs w:val="16"/>
          <w:color w:val="auto"/>
        </w:rPr>
        <w:t>granting them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certain board designation rights so long as they maintain a certain percentage of ownership of our outstanding</w:t>
      </w:r>
    </w:p>
    <w:p>
      <w:pPr>
        <w:spacing w:after="0" w:line="32"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common stock. As part of their board nomination rights under the Stockholders Agreement, intend to appoint each of Lee Olesky, our Chief Executive Officer, and Billy Hult, our President, as members of our board of directors.</w:t>
      </w:r>
    </w:p>
    <w:p>
      <w:pPr>
        <w:sectPr>
          <w:pgSz w:w="11900" w:h="16838" w:orient="portrait"/>
          <w:cols w:equalWidth="0" w:num="1">
            <w:col w:w="10139"/>
          </w:cols>
          <w:pgMar w:left="320" w:top="132" w:right="1440" w:bottom="1440" w:gutter="0" w:footer="0" w:header="0"/>
        </w:sectPr>
      </w:pPr>
    </w:p>
    <w:p>
      <w:pPr>
        <w:spacing w:after="0" w:line="82" w:lineRule="exact"/>
        <w:rPr>
          <w:sz w:val="20"/>
          <w:szCs w:val="20"/>
          <w:color w:val="auto"/>
        </w:rPr>
      </w:pPr>
    </w:p>
    <w:p>
      <w:pPr>
        <w:ind w:left="1260" w:firstLine="360"/>
        <w:spacing w:after="0" w:line="263" w:lineRule="auto"/>
        <w:rPr>
          <w:sz w:val="20"/>
          <w:szCs w:val="20"/>
          <w:color w:val="auto"/>
        </w:rPr>
      </w:pPr>
      <w:r>
        <w:rPr>
          <w:rFonts w:ascii="Arial" w:cs="Arial" w:eastAsia="Arial" w:hAnsi="Arial"/>
          <w:sz w:val="18"/>
          <w:szCs w:val="18"/>
          <w:color w:val="auto"/>
        </w:rPr>
        <w:t>The above-described provisions of the Stockholders Agreement will remain in effect until longer entitled to nominate any directors pursuant to the Stockholders Agreement, unless terminate at an earlier date.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are no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request that it</w:t>
      </w:r>
    </w:p>
    <w:p>
      <w:pPr>
        <w:spacing w:after="0" w:line="342" w:lineRule="exact"/>
        <w:rPr>
          <w:sz w:val="20"/>
          <w:szCs w:val="20"/>
          <w:color w:val="auto"/>
        </w:rPr>
      </w:pPr>
    </w:p>
    <w:p>
      <w:pPr>
        <w:sectPr>
          <w:pgSz w:w="11900" w:h="16838" w:orient="portrait"/>
          <w:cols w:equalWidth="0" w:num="2">
            <w:col w:w="8100" w:space="20"/>
            <w:col w:w="2019"/>
          </w:cols>
          <w:pgMar w:left="320" w:top="132"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620"/>
        <w:spacing w:after="0"/>
        <w:tabs>
          <w:tab w:leader="none" w:pos="6120" w:val="left"/>
          <w:tab w:leader="none" w:pos="8800" w:val="left"/>
        </w:tabs>
        <w:rPr>
          <w:sz w:val="20"/>
          <w:szCs w:val="20"/>
          <w:color w:val="auto"/>
        </w:rPr>
      </w:pPr>
      <w:r>
        <w:rPr>
          <w:rFonts w:ascii="Arial" w:cs="Arial" w:eastAsia="Arial" w:hAnsi="Arial"/>
          <w:sz w:val="18"/>
          <w:szCs w:val="18"/>
          <w:color w:val="auto"/>
        </w:rPr>
        <w:t>We will enter into a Registration Rights Agreement with</w:t>
      </w:r>
      <w:r>
        <w:rPr>
          <w:sz w:val="20"/>
          <w:szCs w:val="20"/>
          <w:color w:val="auto"/>
        </w:rPr>
        <w:tab/>
      </w:r>
      <w:r>
        <w:rPr>
          <w:rFonts w:ascii="Arial" w:cs="Arial" w:eastAsia="Arial" w:hAnsi="Arial"/>
          <w:sz w:val="18"/>
          <w:szCs w:val="18"/>
          <w:color w:val="auto"/>
        </w:rPr>
        <w:t>pursuant to which we will grant</w:t>
      </w:r>
      <w:r>
        <w:rPr>
          <w:sz w:val="20"/>
          <w:szCs w:val="20"/>
          <w:color w:val="auto"/>
        </w:rPr>
        <w:tab/>
      </w:r>
      <w:r>
        <w:rPr>
          <w:rFonts w:ascii="Arial" w:cs="Arial" w:eastAsia="Arial" w:hAnsi="Arial"/>
          <w:sz w:val="16"/>
          <w:szCs w:val="16"/>
          <w:color w:val="auto"/>
        </w:rPr>
        <w:t>, their</w:t>
      </w:r>
    </w:p>
    <w:p>
      <w:pPr>
        <w:sectPr>
          <w:pgSz w:w="11900" w:h="16838" w:orient="portrait"/>
          <w:cols w:equalWidth="0" w:num="1">
            <w:col w:w="10139"/>
          </w:cols>
          <w:pgMar w:left="320" w:top="132" w:right="1440" w:bottom="1440" w:gutter="0" w:footer="0" w:header="0"/>
          <w:type w:val="continuous"/>
        </w:sectPr>
      </w:pPr>
    </w:p>
    <w:p>
      <w:pPr>
        <w:spacing w:after="0" w:line="23"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affiliates and certain of their transferees the right, under certain circumstances and subject to certain restrictions, to require us to register under the Securities Act shares of Class A common stock. will have the right to request an unlimited number of “demand” registrations and will have customary “piggyback” registration rights.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intend to enter into indemnification agreements with our directors and executive officers. These agreements will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56"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jc w:val="both"/>
        <w:ind w:left="1260" w:right="719" w:firstLine="360"/>
        <w:spacing w:after="0" w:line="285" w:lineRule="auto"/>
        <w:rPr>
          <w:sz w:val="20"/>
          <w:szCs w:val="20"/>
          <w:color w:val="auto"/>
        </w:rPr>
      </w:pPr>
      <w:r>
        <w:rPr>
          <w:rFonts w:ascii="Arial" w:cs="Arial" w:eastAsia="Arial" w:hAnsi="Arial"/>
          <w:sz w:val="16"/>
          <w:szCs w:val="16"/>
          <w:color w:val="auto"/>
        </w:rPr>
        <w:t>Prior to the completion of this offering, we expect that our board of directors will adopt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w:t>
      </w:r>
    </w:p>
    <w:p>
      <w:pPr>
        <w:spacing w:after="0" w:line="2"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After consideration of the relevant information, the audit committee is to approve only those related party transactions that the audit committee believes are on their terms, taken as a whole, no less favorable to us than could be obtained in an arm’s-length transaction with an unrelated third party and that the audit committee determines are not inconsistent with the best interests of the Company. In particular, our policy with respect to related party transactions will require our audit committee to consider the benefits to the Company, the impact on a director’s independence in the event the related person is a director, an immediate family member of a director or an entity in which a director has a position or relationship, the availability of other sources for comparable products or services, the terms of the transaction and the terms available to unrelated third parties or to employees generally. A “related party” is any person who is or was one of our executive officers, directors or director nominees or is a holder of more than 5% of our common stock, or their immediate family members or any entity owned or controlled by any of the foregoing persons. All of the transactions described above were entered into prior to the adoption of this policy.</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10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Unless otherwise stated, the following is a description of the material terms of, and is qualified in its entirety by, our amended and restated certificate of incorporation and amended and restated bylaws, each of which will be in effect upon the completion of this offering, the forms of which are filed as exhibits to the registration statement of which this prospectus forms a part. Under “Description of Capital Stock,” “we,” “us,” “our” and “our company” refer to Tradeweb Markets Inc. and not to any of its subsidiaries.</w:t>
      </w:r>
    </w:p>
    <w:p>
      <w:pPr>
        <w:spacing w:after="0" w:line="70"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Our current authorized capital stock consists of 100 shares of common stock, par value $0.01 per share.</w:t>
      </w:r>
    </w:p>
    <w:p>
      <w:pPr>
        <w:spacing w:after="0" w:line="35"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Upon the completion of this offering, our authorized capital stock will consist of shares of Class A common stock, par value $0.01 per share, shares of Class B common stock, par value $0.01 per share, shares of Class C common stock, par value $0.01 per share, shares of Class D common stock, par value $0.01 per share, and shares of preferred stock, par value $0.01 per share. Unless our board of directors determines otherwise, we will issue all shares of our capital stock in uncertificated form.</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79"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56"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and Class B common stock will be entitled to share ratably our remaining assets available for distribution.</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6"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87" w:lineRule="exact"/>
        <w:rPr>
          <w:sz w:val="20"/>
          <w:szCs w:val="20"/>
          <w:color w:val="auto"/>
        </w:rPr>
      </w:pPr>
    </w:p>
    <w:p>
      <w:pPr>
        <w:jc w:val="both"/>
        <w:ind w:left="1260" w:right="659" w:firstLine="360"/>
        <w:spacing w:after="0" w:line="277" w:lineRule="auto"/>
        <w:rPr>
          <w:sz w:val="20"/>
          <w:szCs w:val="20"/>
          <w:color w:val="auto"/>
        </w:rPr>
      </w:pPr>
      <w:r>
        <w:rPr>
          <w:rFonts w:ascii="Arial" w:cs="Arial" w:eastAsia="Arial" w:hAnsi="Arial"/>
          <w:sz w:val="18"/>
          <w:szCs w:val="18"/>
          <w:color w:val="auto"/>
        </w:rPr>
        <w:t>Upon the completion of this offering, the Refinitiv Direct Owners will own 100% of our outstanding Class B common stock.</w:t>
      </w:r>
    </w:p>
    <w:p>
      <w:pPr>
        <w:spacing w:after="0" w:line="62"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share of Class B common stock will automatically convert into one share of Class A common stock</w:t>
      </w:r>
    </w:p>
    <w:p>
      <w:pPr>
        <w:spacing w:after="0" w:line="35" w:lineRule="exact"/>
        <w:rPr>
          <w:sz w:val="20"/>
          <w:szCs w:val="20"/>
          <w:color w:val="auto"/>
        </w:rPr>
      </w:pPr>
    </w:p>
    <w:p>
      <w:pPr>
        <w:ind w:left="1260" w:right="819" w:firstLine="8"/>
        <w:spacing w:after="0" w:line="253" w:lineRule="auto"/>
        <w:tabs>
          <w:tab w:leader="none" w:pos="14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holder or any of its affiliates or permitted transferees or (ii) once the Refinitiv Owners and their affiliates together no longer beneficially own a number of shares of our common stock and LLC Interests that together entitle them to at least 10% of our economic interests.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Holders of shares of our Class C common stock are not entitled to receive dividends or a distribution upon our liquidation, dissolution or winding up.</w:t>
      </w:r>
    </w:p>
    <w:p>
      <w:pPr>
        <w:spacing w:after="0" w:line="6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Class C common stock will not be subject to further calls or assessments by us. Holders of shares of our Class C common stock do not have preemptive, subscription, redemption or conversion rights. There will be no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will be no outstanding shares of Class C common stock upon completion of this offering.</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Shares of Class C common stock will only be issued in the future to the extent (i) the Continuing LLC Owners from time to time exchange all or a portion of their shares of our Class D common stock for newly issued shares of Class C common stock on a one-for-one basis (in which case their shares of Class D common stock will be cancelled on a one-for-one basis upon such issuance), or (ii) necessary to maintain a one-to-one ratio between the number of shares of Class C common stock issued to the Continuing LLC Owners and the number of related LLC interests held by the Continuing LLC Owners. Shares of Class C</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common stock will be cancelled on a one-for-one basis if we, at the election of a Continuing LLC Owner, redeem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Holders of shares of our Class D common stock are not entitled to receive dividends or a distribution upon our liquidation, dissolution or winding up.</w:t>
      </w:r>
    </w:p>
    <w:p>
      <w:pPr>
        <w:spacing w:after="0" w:line="6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All shares of our Class D common stock that will be outstanding upon completion of this offering will be fully paid and non-assessable. The Class D common stock will not be subject to further calls or assessments by us. Holders of shares of our Class D common stock do not have preemptive, subscription, redemption or conversion rights. There will be no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7"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Upon the completion of this offering, the Continuing LLC Owners will own 100% of our outstanding Class D common stock, with the number of shares of Class D common stock held by any such Continuing LLC Owner being equivalent to the number of LLC Interests held by such Continuing LLC Owner.</w:t>
      </w:r>
    </w:p>
    <w:p>
      <w:pPr>
        <w:spacing w:after="0" w:line="57"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color w:val="auto"/>
        </w:rPr>
        <w:t>Shares of Class D common stock will only be issued in the future to the extent necessary to maintain a one-to-one ratio between the number of shares of Class D common stock issued to the Continuing LLC Owners and the number of related LLC Intersts held by the Continuing LLC Owners. Shares of Class D common stock will be cancelled on a one-for-one basis if we, at the election of a Continuing LLC Owner, redeem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6" w:lineRule="exact"/>
        <w:rPr>
          <w:sz w:val="20"/>
          <w:szCs w:val="20"/>
          <w:color w:val="auto"/>
        </w:rPr>
      </w:pPr>
    </w:p>
    <w:p>
      <w:pPr>
        <w:ind w:left="1260" w:right="699" w:firstLine="8"/>
        <w:spacing w:after="0" w:line="253" w:lineRule="auto"/>
        <w:tabs>
          <w:tab w:leader="none" w:pos="147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Continuing LLC Owner or any of its affiliates or permitted transferees, which sale or transfer will be limited by the transfer restrictions on LLC Interests contained in the TWM LLC Agreement, or (ii) once the Refinitiv Owners and their affiliates together no longer beneficially own a number of shares of our common stock and LLC Interests that together entitle them to at least 10% of our economic interests.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59" w:lineRule="auto"/>
        <w:rPr>
          <w:sz w:val="20"/>
          <w:szCs w:val="20"/>
          <w:color w:val="auto"/>
        </w:rPr>
      </w:pPr>
      <w:r>
        <w:rPr>
          <w:rFonts w:ascii="Arial" w:cs="Arial" w:eastAsia="Arial" w:hAnsi="Arial"/>
          <w:sz w:val="18"/>
          <w:szCs w:val="18"/>
          <w:color w:val="auto"/>
        </w:rPr>
        <w:t>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33" w:lineRule="exact"/>
        <w:rPr>
          <w:sz w:val="20"/>
          <w:szCs w:val="20"/>
          <w:color w:val="auto"/>
        </w:rPr>
      </w:pPr>
    </w:p>
    <w:p>
      <w:pPr>
        <w:ind w:left="1980" w:hanging="352"/>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57" w:lineRule="exact"/>
        <w:rPr>
          <w:rFonts w:ascii="Arial" w:cs="Arial" w:eastAsia="Arial" w:hAnsi="Arial"/>
          <w:sz w:val="18"/>
          <w:szCs w:val="18"/>
          <w:color w:val="auto"/>
        </w:rPr>
      </w:pPr>
    </w:p>
    <w:p>
      <w:pPr>
        <w:jc w:val="both"/>
        <w:ind w:left="1980" w:right="779" w:hanging="352"/>
        <w:spacing w:after="0" w:line="311" w:lineRule="auto"/>
        <w:tabs>
          <w:tab w:leader="none" w:pos="1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Arial" w:cs="Arial" w:eastAsia="Arial" w:hAnsi="Arial"/>
          <w:sz w:val="16"/>
          <w:szCs w:val="16"/>
          <w:color w:val="auto"/>
        </w:rPr>
      </w:pPr>
    </w:p>
    <w:p>
      <w:pPr>
        <w:ind w:left="1980" w:hanging="352"/>
        <w:spacing w:after="0"/>
        <w:tabs>
          <w:tab w:leader="none" w:pos="19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57"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6"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02" w:lineRule="exact"/>
        <w:rPr>
          <w:rFonts w:ascii="Arial" w:cs="Arial" w:eastAsia="Arial" w:hAnsi="Arial"/>
          <w:sz w:val="18"/>
          <w:szCs w:val="18"/>
          <w:color w:val="auto"/>
        </w:rPr>
      </w:pPr>
    </w:p>
    <w:p>
      <w:pPr>
        <w:ind w:left="1980" w:right="719" w:hanging="352"/>
        <w:spacing w:after="0" w:line="257"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0" w:lineRule="exact"/>
        <w:rPr>
          <w:rFonts w:ascii="Arial" w:cs="Arial" w:eastAsia="Arial" w:hAnsi="Arial"/>
          <w:sz w:val="18"/>
          <w:szCs w:val="18"/>
          <w:color w:val="auto"/>
        </w:rPr>
      </w:pPr>
    </w:p>
    <w:p>
      <w:pPr>
        <w:ind w:left="1980" w:hanging="352"/>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73"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Following this offering, we intend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w:t>
      </w: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color w:val="auto"/>
        </w:rPr>
        <w:t>direct operations, we expect to pay dividends, if any, from funds we receive from our subsidiaries. In addition, our ability to pay dividends may be limited by the agreements governing indebtedness we or our subsidiaries incur in the future. See “Dividend Policy.”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72" w:lineRule="exact"/>
        <w:rPr>
          <w:sz w:val="20"/>
          <w:szCs w:val="20"/>
          <w:color w:val="auto"/>
        </w:rPr>
      </w:pPr>
    </w:p>
    <w:p>
      <w:pPr>
        <w:ind w:left="1260" w:right="115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Delaware law does not require stockholder approval for any issuance of shares that are authorized and</w:t>
      </w:r>
    </w:p>
    <w:p>
      <w:pPr>
        <w:spacing w:after="0" w:line="35" w:lineRule="exact"/>
        <w:rPr>
          <w:sz w:val="20"/>
          <w:szCs w:val="20"/>
          <w:color w:val="auto"/>
        </w:rPr>
      </w:pPr>
    </w:p>
    <w:p>
      <w:pPr>
        <w:ind w:left="1260" w:right="659"/>
        <w:spacing w:after="0" w:line="265" w:lineRule="auto"/>
        <w:rPr>
          <w:sz w:val="20"/>
          <w:szCs w:val="20"/>
          <w:color w:val="auto"/>
        </w:rPr>
      </w:pPr>
      <w:r>
        <w:rPr>
          <w:rFonts w:ascii="Arial" w:cs="Arial" w:eastAsia="Arial" w:hAnsi="Arial"/>
          <w:sz w:val="17"/>
          <w:szCs w:val="17"/>
          <w:color w:val="auto"/>
        </w:rPr>
        <w:t>available for issuance. However, the listing requirements of the , which would apply so long as our Class A common stock remains listed on the , require stockholder approval of certain issuances equal to or</w:t>
      </w:r>
    </w:p>
    <w:p>
      <w:pPr>
        <w:jc w:val="both"/>
        <w:ind w:left="1260" w:right="719"/>
        <w:spacing w:after="0" w:line="255" w:lineRule="auto"/>
        <w:rPr>
          <w:sz w:val="20"/>
          <w:szCs w:val="20"/>
          <w:color w:val="auto"/>
        </w:rPr>
      </w:pPr>
      <w:r>
        <w:rPr>
          <w:rFonts w:ascii="Arial" w:cs="Arial" w:eastAsia="Arial" w:hAnsi="Arial"/>
          <w:sz w:val="18"/>
          <w:szCs w:val="18"/>
          <w:color w:val="auto"/>
        </w:rPr>
        <w:t>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82" w:lineRule="exact"/>
        <w:rPr>
          <w:sz w:val="20"/>
          <w:szCs w:val="20"/>
          <w:color w:val="auto"/>
        </w:rPr>
      </w:pPr>
    </w:p>
    <w:p>
      <w:pPr>
        <w:ind w:left="1260" w:right="103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980" w:right="899" w:hanging="352"/>
        <w:spacing w:after="0" w:line="277"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ind w:left="1980" w:right="839" w:hanging="352"/>
        <w:spacing w:after="0" w:line="263"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29" w:lineRule="exact"/>
        <w:rPr>
          <w:rFonts w:ascii="Arial" w:cs="Arial" w:eastAsia="Arial" w:hAnsi="Arial"/>
          <w:sz w:val="18"/>
          <w:szCs w:val="18"/>
          <w:color w:val="auto"/>
        </w:rPr>
      </w:pPr>
    </w:p>
    <w:p>
      <w:pPr>
        <w:ind w:left="1980" w:right="699" w:hanging="352"/>
        <w:spacing w:after="0" w:line="231"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699" w:firstLine="360"/>
        <w:spacing w:after="0" w:line="276"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Refinitiv Owners and its affiliates beneficially own in the aggregate, less than % of the voting power of all the outstanding shares of our stock entitled to vote generally in the election of directors, directors may only be removed for cause, and only upon the affirmative vote of holders of at least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w:t>
      </w:r>
    </w:p>
    <w:p>
      <w:pPr>
        <w:spacing w:after="0" w:line="10"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the aggregate, less than %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1039" w:firstLine="360"/>
        <w:spacing w:after="0" w:line="301"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w:t>
      </w:r>
    </w:p>
    <w:p>
      <w:pPr>
        <w:spacing w:after="0" w:line="2" w:lineRule="exact"/>
        <w:rPr>
          <w:sz w:val="20"/>
          <w:szCs w:val="20"/>
          <w:color w:val="auto"/>
        </w:rPr>
      </w:pPr>
    </w:p>
    <w:p>
      <w:pPr>
        <w:ind w:left="1260" w:right="739"/>
        <w:spacing w:after="0" w:line="252" w:lineRule="auto"/>
        <w:rPr>
          <w:sz w:val="20"/>
          <w:szCs w:val="20"/>
          <w:color w:val="auto"/>
        </w:rPr>
      </w:pPr>
      <w:r>
        <w:rPr>
          <w:rFonts w:ascii="Arial" w:cs="Arial" w:eastAsia="Arial" w:hAnsi="Arial"/>
          <w:sz w:val="18"/>
          <w:szCs w:val="18"/>
          <w:color w:val="auto"/>
        </w:rPr>
        <w:t>aggregate, at least % in voting power of the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04"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the Refinitiv Owners and their affiliates own, in the</w:t>
      </w:r>
    </w:p>
    <w:p>
      <w:pPr>
        <w:spacing w:after="0" w:line="2" w:lineRule="exact"/>
        <w:rPr>
          <w:sz w:val="20"/>
          <w:szCs w:val="20"/>
          <w:color w:val="auto"/>
        </w:rPr>
      </w:pPr>
    </w:p>
    <w:p>
      <w:pPr>
        <w:ind w:left="1260"/>
        <w:spacing w:after="0"/>
        <w:tabs>
          <w:tab w:leader="none" w:pos="3060" w:val="left"/>
        </w:tabs>
        <w:rPr>
          <w:sz w:val="20"/>
          <w:szCs w:val="20"/>
          <w:color w:val="auto"/>
        </w:rPr>
      </w:pPr>
      <w:r>
        <w:rPr>
          <w:rFonts w:ascii="Arial" w:cs="Arial" w:eastAsia="Arial" w:hAnsi="Arial"/>
          <w:sz w:val="18"/>
          <w:szCs w:val="18"/>
          <w:color w:val="auto"/>
        </w:rPr>
        <w:t>aggregate, less than</w:t>
      </w:r>
      <w:r>
        <w:rPr>
          <w:sz w:val="20"/>
          <w:szCs w:val="20"/>
          <w:color w:val="auto"/>
        </w:rPr>
        <w:tab/>
      </w:r>
      <w:r>
        <w:rPr>
          <w:rFonts w:ascii="Arial" w:cs="Arial" w:eastAsia="Arial" w:hAnsi="Arial"/>
          <w:sz w:val="16"/>
          <w:szCs w:val="16"/>
          <w:color w:val="auto"/>
        </w:rPr>
        <w:t>% in voting power of our stock entitled to vote generally in the election of directors.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w:t>
      </w:r>
    </w:p>
    <w:p>
      <w:pPr>
        <w:spacing w:after="0" w:line="1" w:lineRule="exact"/>
        <w:rPr>
          <w:sz w:val="20"/>
          <w:szCs w:val="20"/>
          <w:color w:val="auto"/>
        </w:rPr>
      </w:pPr>
    </w:p>
    <w:p>
      <w:pPr>
        <w:ind w:left="1260" w:right="899"/>
        <w:spacing w:after="0" w:line="260" w:lineRule="auto"/>
        <w:rPr>
          <w:sz w:val="20"/>
          <w:szCs w:val="20"/>
          <w:color w:val="auto"/>
        </w:rPr>
      </w:pPr>
      <w:r>
        <w:rPr>
          <w:rFonts w:ascii="Arial" w:cs="Arial" w:eastAsia="Arial" w:hAnsi="Arial"/>
          <w:sz w:val="18"/>
          <w:szCs w:val="18"/>
          <w:color w:val="auto"/>
        </w:rPr>
        <w:t>beneficially own, in the aggregate, at least % in voting power of our stock entitled to vote generally in the election of directors, any amendment, alteration, change, addition or repeal</w:t>
      </w: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87" w:lineRule="auto"/>
        <w:rPr>
          <w:sz w:val="20"/>
          <w:szCs w:val="20"/>
          <w:color w:val="auto"/>
        </w:rPr>
      </w:pPr>
      <w:r>
        <w:rPr>
          <w:rFonts w:ascii="Arial" w:cs="Arial" w:eastAsia="Arial" w:hAnsi="Arial"/>
          <w:sz w:val="16"/>
          <w:szCs w:val="16"/>
          <w:color w:val="auto"/>
        </w:rPr>
        <w:t>of our bylaws by our stockholders requires the affirmative vote of a majority in voting power of the outstanding shares of our stock present in person or represented by proxy at the meeting and entitled to vote on such amendment, alteration, rescission or repeal. At any time when Refinitiv and its affiliates beneficially own, in the</w:t>
      </w:r>
    </w:p>
    <w:p>
      <w:pPr>
        <w:spacing w:after="0" w:line="2"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aggregate, less than % in voting power of our stock entitled to vote generally in the election of directors, any amendment, alteration, rescission or repeal of our bylaws by our stockholders requires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 outstanding shares of stock entitled to vote thereon, voting together as a single class.</w:t>
      </w:r>
    </w:p>
    <w:p>
      <w:pPr>
        <w:spacing w:after="0" w:line="78"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amended and restated certificate of incorporation provides that at any time when the Refinitiv Owners</w:t>
      </w:r>
    </w:p>
    <w:p>
      <w:pPr>
        <w:spacing w:after="0" w:line="46" w:lineRule="exact"/>
        <w:rPr>
          <w:sz w:val="20"/>
          <w:szCs w:val="20"/>
          <w:color w:val="auto"/>
        </w:rPr>
      </w:pPr>
    </w:p>
    <w:p>
      <w:pPr>
        <w:ind w:left="1260" w:right="799"/>
        <w:spacing w:after="0" w:line="256" w:lineRule="auto"/>
        <w:rPr>
          <w:sz w:val="20"/>
          <w:szCs w:val="20"/>
          <w:color w:val="auto"/>
        </w:rPr>
      </w:pPr>
      <w:r>
        <w:rPr>
          <w:rFonts w:ascii="Arial" w:cs="Arial" w:eastAsia="Arial" w:hAnsi="Arial"/>
          <w:sz w:val="18"/>
          <w:szCs w:val="18"/>
          <w:color w:val="auto"/>
        </w:rPr>
        <w:t>and their affiliates beneficially own, in the aggregate, less than %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all the then outstanding shares of our stock entitled to vote thereon, voting together as a single class:</w:t>
      </w:r>
    </w:p>
    <w:p>
      <w:pPr>
        <w:spacing w:after="0" w:line="164" w:lineRule="exact"/>
        <w:rPr>
          <w:sz w:val="20"/>
          <w:szCs w:val="20"/>
          <w:color w:val="auto"/>
        </w:rPr>
      </w:pPr>
    </w:p>
    <w:p>
      <w:pPr>
        <w:ind w:left="1980" w:right="1239" w:hanging="352"/>
        <w:spacing w:after="0" w:line="22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61" w:lineRule="exact"/>
        <w:rPr>
          <w:rFonts w:ascii="Arial" w:cs="Arial" w:eastAsia="Arial" w:hAnsi="Arial"/>
          <w:sz w:val="18"/>
          <w:szCs w:val="18"/>
          <w:color w:val="auto"/>
        </w:rPr>
      </w:pPr>
    </w:p>
    <w:p>
      <w:pPr>
        <w:ind w:left="1980" w:hanging="352"/>
        <w:spacing w:after="0"/>
        <w:tabs>
          <w:tab w:leader="none" w:pos="1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newly-created directorships;</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84" w:lineRule="exact"/>
        <w:rPr>
          <w:rFonts w:ascii="Arial" w:cs="Arial" w:eastAsia="Arial" w:hAnsi="Arial"/>
          <w:sz w:val="18"/>
          <w:szCs w:val="18"/>
          <w:color w:val="auto"/>
        </w:rPr>
      </w:pPr>
    </w:p>
    <w:p>
      <w:pPr>
        <w:ind w:left="1980" w:right="1479" w:hanging="352"/>
        <w:spacing w:after="0" w:line="29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4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to be exclusively brought in the Court of Chancery of the State of Delaware or, if such court does not have subject matter jurisdiction thereof, the federal district court of the State of Delaware. Our amended and restated certificate of incorporation further provides that, unless we consent in writing to the selection of an alternative forum, any proceeding or claim arising pursuant to the federal securities laws of the United States or the securities or antifraud laws of any international, national, state, provincial, territorial, local or other governmental or regulatory authority, including, in each case, the applicable rules and regulations promulgated thereunder shall, to the fullest extent permitted by law, be exclusively brought in the federal district courts of the United States of America.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its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or himself or its or his affiliates or for us or our affiliates, such person will have no duty to</w:t>
      </w: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40"/>
        <w:spacing w:after="0" w:line="254" w:lineRule="auto"/>
        <w:rPr>
          <w:sz w:val="20"/>
          <w:szCs w:val="20"/>
          <w:color w:val="auto"/>
        </w:rPr>
      </w:pPr>
      <w:r>
        <w:rPr>
          <w:rFonts w:ascii="Arial" w:cs="Arial" w:eastAsia="Arial" w:hAnsi="Arial"/>
          <w:sz w:val="18"/>
          <w:szCs w:val="18"/>
          <w:color w:val="auto"/>
        </w:rPr>
        <w:t>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1340"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1" w:lineRule="exact"/>
        <w:rPr>
          <w:sz w:val="20"/>
          <w:szCs w:val="20"/>
          <w:color w:val="auto"/>
        </w:rPr>
      </w:pPr>
    </w:p>
    <w:p>
      <w:pPr>
        <w:ind w:left="1260" w:right="1360" w:firstLine="360"/>
        <w:spacing w:after="0" w:line="275"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8" w:lineRule="exact"/>
        <w:rPr>
          <w:sz w:val="20"/>
          <w:szCs w:val="20"/>
          <w:color w:val="auto"/>
        </w:rPr>
      </w:pPr>
    </w:p>
    <w:p>
      <w:pPr>
        <w:ind w:left="1260" w:right="1340" w:firstLine="360"/>
        <w:spacing w:after="0" w:line="254"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7" w:lineRule="exact"/>
        <w:rPr>
          <w:sz w:val="20"/>
          <w:szCs w:val="20"/>
          <w:color w:val="auto"/>
        </w:rPr>
      </w:pPr>
    </w:p>
    <w:p>
      <w:pPr>
        <w:ind w:left="1260" w:right="158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1300" w:firstLine="360"/>
        <w:spacing w:after="0" w:line="257" w:lineRule="auto"/>
        <w:rPr>
          <w:sz w:val="20"/>
          <w:szCs w:val="20"/>
          <w:color w:val="auto"/>
        </w:rPr>
      </w:pPr>
      <w:r>
        <w:rPr>
          <w:rFonts w:ascii="Arial" w:cs="Arial" w:eastAsia="Arial" w:hAnsi="Arial"/>
          <w:sz w:val="18"/>
          <w:szCs w:val="18"/>
          <w:color w:val="auto"/>
        </w:rPr>
        <w:t>We intend to enter into an indemnification agreement with each of our directors and executive officers as described in “Certain Relationships and Related Party Transactions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shares of our Class A common stock, Class B common stock, Class 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1260"/>
              <w:spacing w:after="0"/>
              <w:rPr>
                <w:sz w:val="20"/>
                <w:szCs w:val="20"/>
                <w:color w:val="auto"/>
              </w:rPr>
            </w:pPr>
            <w:r>
              <w:rPr>
                <w:rFonts w:ascii="Arial" w:cs="Arial" w:eastAsia="Arial" w:hAnsi="Arial"/>
                <w:sz w:val="18"/>
                <w:szCs w:val="18"/>
                <w:color w:val="auto"/>
                <w:w w:val="95"/>
              </w:rPr>
              <w:t>common stock and Class D common stock will be</w:t>
            </w:r>
          </w:p>
        </w:tc>
        <w:tc>
          <w:tcPr>
            <w:tcW w:w="7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20"/>
                <w:szCs w:val="20"/>
                <w:color w:val="auto"/>
              </w:rPr>
            </w:pPr>
          </w:p>
        </w:tc>
      </w:tr>
      <w:tr>
        <w:trPr>
          <w:trHeight w:val="404"/>
        </w:trPr>
        <w:tc>
          <w:tcPr>
            <w:tcW w:w="5060" w:type="dxa"/>
            <w:vAlign w:val="bottom"/>
          </w:tcPr>
          <w:p>
            <w:pPr>
              <w:ind w:left="1260"/>
              <w:spacing w:after="0"/>
              <w:rPr>
                <w:sz w:val="20"/>
                <w:szCs w:val="20"/>
                <w:color w:val="auto"/>
              </w:rPr>
            </w:pPr>
            <w:r>
              <w:rPr>
                <w:rFonts w:ascii="Arial" w:cs="Arial" w:eastAsia="Arial" w:hAnsi="Arial"/>
                <w:sz w:val="18"/>
                <w:szCs w:val="18"/>
                <w:b w:val="1"/>
                <w:bCs w:val="1"/>
                <w:color w:val="auto"/>
              </w:rPr>
              <w:t>Listing</w:t>
            </w:r>
          </w:p>
        </w:tc>
        <w:tc>
          <w:tcPr>
            <w:tcW w:w="7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11"/>
        </w:trPr>
        <w:tc>
          <w:tcPr>
            <w:tcW w:w="5840" w:type="dxa"/>
            <w:vAlign w:val="bottom"/>
            <w:gridSpan w:val="2"/>
          </w:tcPr>
          <w:p>
            <w:pPr>
              <w:ind w:left="1620"/>
              <w:spacing w:after="0"/>
              <w:rPr>
                <w:sz w:val="20"/>
                <w:szCs w:val="20"/>
                <w:color w:val="auto"/>
              </w:rPr>
            </w:pPr>
            <w:r>
              <w:rPr>
                <w:rFonts w:ascii="Arial" w:cs="Arial" w:eastAsia="Arial" w:hAnsi="Arial"/>
                <w:sz w:val="18"/>
                <w:szCs w:val="18"/>
                <w:color w:val="auto"/>
                <w:w w:val="98"/>
              </w:rPr>
              <w:t>We have applied to list our Class A common stock on</w:t>
            </w:r>
          </w:p>
        </w:tc>
        <w:tc>
          <w:tcPr>
            <w:tcW w:w="4880" w:type="dxa"/>
            <w:vAlign w:val="bottom"/>
          </w:tcPr>
          <w:p>
            <w:pPr>
              <w:ind w:left="320"/>
              <w:spacing w:after="0"/>
              <w:rPr>
                <w:sz w:val="20"/>
                <w:szCs w:val="20"/>
                <w:color w:val="auto"/>
              </w:rPr>
            </w:pPr>
            <w:r>
              <w:rPr>
                <w:rFonts w:ascii="Arial" w:cs="Arial" w:eastAsia="Arial" w:hAnsi="Arial"/>
                <w:sz w:val="18"/>
                <w:szCs w:val="18"/>
                <w:color w:val="auto"/>
              </w:rPr>
              <w:t>under the symbol “TW.”</w:t>
            </w:r>
          </w:p>
        </w:tc>
      </w:tr>
      <w:tr>
        <w:trPr>
          <w:trHeight w:val="499"/>
        </w:trPr>
        <w:tc>
          <w:tcPr>
            <w:tcW w:w="506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172</w:t>
            </w:r>
          </w:p>
        </w:tc>
        <w:tc>
          <w:tcPr>
            <w:tcW w:w="4880" w:type="dxa"/>
            <w:vAlign w:val="bottom"/>
          </w:tcPr>
          <w:p>
            <w:pPr>
              <w:spacing w:after="0"/>
              <w:rPr>
                <w:sz w:val="24"/>
                <w:szCs w:val="24"/>
                <w:color w:val="auto"/>
              </w:rPr>
            </w:pPr>
          </w:p>
        </w:tc>
      </w:tr>
      <w:tr>
        <w:trPr>
          <w:trHeight w:val="385"/>
        </w:trPr>
        <w:tc>
          <w:tcPr>
            <w:tcW w:w="5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Immediately prior to this offering, there was no public market for our Class A common stock. Future sales of substantial amounts of our Class A common stock in the public market (including securities convertible into or redeemable, exchangeable or exercisable for shares of Class A common stock), or the perception that such sales may occur, after this offering could adversely affect the prevailing market price of our Class A common stock.</w:t>
      </w:r>
    </w:p>
    <w:p>
      <w:pPr>
        <w:spacing w:after="0" w:line="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Furthermore, because % of our Class A common stock outstanding prior to the completion of this offering (including securities convertible into or redeemable, exchangeable or exercisable for shares of our Class A common stock) will be subject to the contractual and legal restrictions on resale described below, the sale of a substantial amount of Class A common stock in the public market after these restrictions lapse could materially adversely affect the prevailing market price of our Class A common stock and our ability to raise equity capital in the future.</w:t>
      </w:r>
    </w:p>
    <w:p>
      <w:pPr>
        <w:spacing w:after="0" w:line="86" w:lineRule="exact"/>
        <w:rPr>
          <w:sz w:val="20"/>
          <w:szCs w:val="20"/>
          <w:color w:val="auto"/>
        </w:rPr>
      </w:pPr>
    </w:p>
    <w:p>
      <w:pPr>
        <w:ind w:left="1260" w:right="699" w:firstLine="360"/>
        <w:spacing w:after="0" w:line="288" w:lineRule="auto"/>
        <w:rPr>
          <w:sz w:val="20"/>
          <w:szCs w:val="20"/>
          <w:color w:val="auto"/>
        </w:rPr>
      </w:pPr>
      <w:r>
        <w:rPr>
          <w:rFonts w:ascii="Arial" w:cs="Arial" w:eastAsia="Arial" w:hAnsi="Arial"/>
          <w:sz w:val="16"/>
          <w:szCs w:val="16"/>
          <w:color w:val="auto"/>
        </w:rPr>
        <w:t>Upon completion of this offering, we expect to have outstanding an aggregate of shares of our Class A common stock, assuming no exercise of outstanding options and assuming that the underwriters have not exercised their option to purchase additional shares of Class A common stock. All of the shares of Class A common stock sold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6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In addition, based on an assumed initial public offering price of $ per share (the midpoint of the price range set forth on the cover page of this prospectus), upon completion of the offering, (i) the Other LLC Owners</w:t>
      </w:r>
    </w:p>
    <w:p>
      <w:pPr>
        <w:ind w:left="1260" w:right="1059"/>
        <w:spacing w:after="0" w:line="250" w:lineRule="auto"/>
        <w:rPr>
          <w:sz w:val="20"/>
          <w:szCs w:val="20"/>
          <w:color w:val="auto"/>
        </w:rPr>
      </w:pPr>
      <w:r>
        <w:rPr>
          <w:rFonts w:ascii="Arial" w:cs="Arial" w:eastAsia="Arial" w:hAnsi="Arial"/>
          <w:sz w:val="18"/>
          <w:szCs w:val="18"/>
          <w:color w:val="auto"/>
        </w:rPr>
        <w:t>will own an aggregate of LLC Interests and shares of our Class D common stock (or LLC Interests and shares of our Class D common stock if the underwriters’ exercise their option to purchase additional shares), (ii) the Refinitiv LLC Owners will own an aggregate of LLC Interests and</w:t>
      </w:r>
    </w:p>
    <w:p>
      <w:pPr>
        <w:spacing w:after="0" w:line="1" w:lineRule="exact"/>
        <w:rPr>
          <w:sz w:val="20"/>
          <w:szCs w:val="20"/>
          <w:color w:val="auto"/>
        </w:rPr>
      </w:pPr>
    </w:p>
    <w:p>
      <w:pPr>
        <w:jc w:val="center"/>
        <w:ind w:left="1460" w:right="120"/>
        <w:spacing w:after="0" w:line="265" w:lineRule="auto"/>
        <w:rPr>
          <w:sz w:val="20"/>
          <w:szCs w:val="20"/>
          <w:color w:val="auto"/>
        </w:rPr>
      </w:pPr>
      <w:r>
        <w:rPr>
          <w:rFonts w:ascii="Arial" w:cs="Arial" w:eastAsia="Arial" w:hAnsi="Arial"/>
          <w:sz w:val="17"/>
          <w:szCs w:val="17"/>
          <w:color w:val="auto"/>
        </w:rPr>
        <w:t>shares of our Class D common stock and (iii) the Refinitiv Direct Owners will own an aggregate of shares of our Class B common stock. Pursuant to the TWM LLC Agreement and, subject to certain restrictions set forth therein and as described elsewhere in this prospectus, the Continuing LLC Owners will be granted the right to have their LLC Interests redeemed, at their election, for shares of our Class A common stock</w:t>
      </w:r>
    </w:p>
    <w:p>
      <w:pPr>
        <w:spacing w:after="0" w:line="1" w:lineRule="exact"/>
        <w:rPr>
          <w:sz w:val="20"/>
          <w:szCs w:val="20"/>
          <w:color w:val="auto"/>
        </w:rPr>
      </w:pPr>
    </w:p>
    <w:p>
      <w:pPr>
        <w:ind w:left="1260" w:right="659"/>
        <w:spacing w:after="0" w:line="267" w:lineRule="auto"/>
        <w:rPr>
          <w:sz w:val="20"/>
          <w:szCs w:val="20"/>
          <w:color w:val="auto"/>
        </w:rPr>
      </w:pPr>
      <w:r>
        <w:rPr>
          <w:rFonts w:ascii="Arial" w:cs="Arial" w:eastAsia="Arial" w:hAnsi="Arial"/>
          <w:sz w:val="17"/>
          <w:szCs w:val="17"/>
          <w:color w:val="auto"/>
        </w:rPr>
        <w:t>or Class B common stock, in each case, on a one-for-one basis (and such holders’ shares of Class C common stock or Class D common stock, as the case may be, will be cancelled on a one-for-one basis upon such issuance). Shares of our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Our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Upon the expiration of the lock-up agreements described below 180 days after the date of this prospectus,</w:t>
      </w:r>
    </w:p>
    <w:p>
      <w:pPr>
        <w:spacing w:after="0" w:line="46"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and subject to the provisions of Rule 144, an additional shares of Class A common stock (including securities convertible into or redeemable, exchangeable or exercisable for shares of Class A common stock) will be available for sale in the public market. The sale of these restricted securities is subject, in the case of shares held by affiliates, to the volume restrictions contained in those rules.</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connection with this offering, we, our directors and executive officers and stockholders currently</w:t>
      </w:r>
    </w:p>
    <w:p>
      <w:pPr>
        <w:spacing w:after="0" w:line="23" w:lineRule="exact"/>
        <w:rPr>
          <w:sz w:val="20"/>
          <w:szCs w:val="20"/>
          <w:color w:val="auto"/>
        </w:rPr>
      </w:pPr>
    </w:p>
    <w:p>
      <w:pPr>
        <w:ind w:left="1260" w:right="699"/>
        <w:spacing w:after="0" w:line="281" w:lineRule="auto"/>
        <w:rPr>
          <w:sz w:val="20"/>
          <w:szCs w:val="20"/>
          <w:color w:val="auto"/>
        </w:rPr>
      </w:pPr>
      <w:r>
        <w:rPr>
          <w:rFonts w:ascii="Arial" w:cs="Arial" w:eastAsia="Arial" w:hAnsi="Arial"/>
          <w:sz w:val="16"/>
          <w:szCs w:val="16"/>
          <w:color w:val="auto"/>
        </w:rPr>
        <w:t>representing % of the outstanding shares of our Class A common stock (including securities convertible into or redeemable, exchangeable or exercisable for shares of our Class A common stock) will agree with the underwriters to enter into lock-up agreements described in “Underwriting (Conflicts of Interest),” pursuant to which shares of our Class A common stock outstanding after this offering (including securities convertible into or redeemable, exchangeable or exercisable for shares of our Class A common stock) will be restricted from immediate resale in accordance with the terms of such lock-up agreements without the prior written consent of</w:t>
      </w:r>
    </w:p>
    <w:p>
      <w:pPr>
        <w:spacing w:after="0" w:line="4" w:lineRule="exact"/>
        <w:rPr>
          <w:sz w:val="20"/>
          <w:szCs w:val="20"/>
          <w:color w:val="auto"/>
        </w:rPr>
      </w:pPr>
    </w:p>
    <w:p>
      <w:pPr>
        <w:ind w:left="1260" w:right="799" w:firstLine="1088"/>
        <w:spacing w:after="0" w:line="270" w:lineRule="auto"/>
        <w:tabs>
          <w:tab w:leader="none" w:pos="242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52" w:lineRule="exact"/>
        <w:rPr>
          <w:sz w:val="20"/>
          <w:szCs w:val="20"/>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w:t>
      </w:r>
    </w:p>
    <w:p>
      <w:pPr>
        <w:sectPr>
          <w:pgSz w:w="11900" w:h="16838" w:orient="portrait"/>
          <w:cols w:equalWidth="0" w:num="1">
            <w:col w:w="10139"/>
          </w:cols>
          <w:pgMar w:left="320" w:top="132" w:right="1440" w:bottom="1440" w:gutter="0" w:footer="0" w:header="0"/>
        </w:sectPr>
      </w:pPr>
    </w:p>
    <w:p>
      <w:pPr>
        <w:spacing w:after="0" w:line="23" w:lineRule="exact"/>
        <w:rPr>
          <w:sz w:val="20"/>
          <w:szCs w:val="20"/>
          <w:color w:val="auto"/>
        </w:rPr>
      </w:pPr>
    </w:p>
    <w:p>
      <w:pPr>
        <w:ind w:left="1980"/>
        <w:spacing w:after="0"/>
        <w:tabs>
          <w:tab w:leader="none" w:pos="346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shares immediately after completion of this offering; or</w:t>
      </w:r>
    </w:p>
    <w:p>
      <w:pPr>
        <w:sectPr>
          <w:pgSz w:w="11900" w:h="16838" w:orient="portrait"/>
          <w:cols w:equalWidth="0" w:num="1">
            <w:col w:w="10139"/>
          </w:cols>
          <w:pgMar w:left="320" w:top="132" w:right="1440" w:bottom="1440" w:gutter="0" w:footer="0" w:header="0"/>
          <w:type w:val="continuous"/>
        </w:sectPr>
      </w:pP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039"/>
        <w:spacing w:after="0" w:line="277" w:lineRule="auto"/>
        <w:rPr>
          <w:sz w:val="20"/>
          <w:szCs w:val="20"/>
          <w:color w:val="auto"/>
        </w:rPr>
      </w:pPr>
      <w:r>
        <w:rPr>
          <w:rFonts w:ascii="Arial" w:cs="Arial" w:eastAsia="Arial" w:hAnsi="Arial"/>
          <w:sz w:val="18"/>
          <w:szCs w:val="18"/>
          <w:color w:val="auto"/>
        </w:rPr>
        <w:t>the average weekly trading volume in our Class A common stock on during the four calendar weeks preceding the filing of a notice on Form 144 with respect to such a sale.</w:t>
      </w:r>
    </w:p>
    <w:p>
      <w:pPr>
        <w:spacing w:after="0" w:line="62" w:lineRule="exact"/>
        <w:rPr>
          <w:sz w:val="20"/>
          <w:szCs w:val="20"/>
          <w:color w:val="auto"/>
        </w:rPr>
      </w:pPr>
    </w:p>
    <w:p>
      <w:pPr>
        <w:sectPr>
          <w:pgSz w:w="11900" w:h="16838" w:orient="portrait"/>
          <w:cols w:equalWidth="0" w:num="2">
            <w:col w:w="1700" w:space="280"/>
            <w:col w:w="8159"/>
          </w:cols>
          <w:pgMar w:left="320" w:top="132" w:right="1440" w:bottom="1440" w:gutter="0" w:footer="0" w:header="0"/>
          <w:type w:val="continuous"/>
        </w:sectPr>
      </w:pPr>
    </w:p>
    <w:p>
      <w:pPr>
        <w:jc w:val="both"/>
        <w:ind w:left="1260" w:right="759" w:firstLine="360"/>
        <w:spacing w:after="0" w:line="311"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41"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common stock, other than pursuant to Rule 144 or a registration statement, the purchaser’s holding period for the purpose of effecting a sale under Rule 144 commences on the date of transfer from the affiliate.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 such person is not an affiliate, such sale may be made subject only to the manner of sale provisions of Rule 144. If such a person is an affiliate, such sale may be made under Rule 144 without compliance with the holding period requirement, but subject to the other Rule 144 restrictions described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999" w:firstLine="360"/>
        <w:spacing w:after="0" w:line="31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419"/>
        <w:spacing w:after="0" w:line="291" w:lineRule="auto"/>
        <w:rPr>
          <w:sz w:val="20"/>
          <w:szCs w:val="20"/>
          <w:color w:val="auto"/>
        </w:rPr>
      </w:pPr>
      <w:r>
        <w:rPr>
          <w:rFonts w:ascii="Arial" w:cs="Arial" w:eastAsia="Arial" w:hAnsi="Arial"/>
          <w:sz w:val="16"/>
          <w:szCs w:val="16"/>
          <w:color w:val="auto"/>
        </w:rPr>
        <w:t>such registration statements will be available for sale in the open market following the expiration of the applicable lock-up period. We expect that the initial registration statement on Form S-8 will cover</w:t>
      </w:r>
    </w:p>
    <w:p>
      <w:pPr>
        <w:ind w:left="1260" w:right="919" w:firstLine="405"/>
        <w:spacing w:after="0" w:line="302" w:lineRule="auto"/>
        <w:rPr>
          <w:sz w:val="20"/>
          <w:szCs w:val="20"/>
          <w:color w:val="auto"/>
        </w:rPr>
      </w:pPr>
      <w:r>
        <w:rPr>
          <w:rFonts w:ascii="Arial" w:cs="Arial" w:eastAsia="Arial" w:hAnsi="Arial"/>
          <w:sz w:val="16"/>
          <w:szCs w:val="16"/>
          <w:color w:val="auto"/>
        </w:rPr>
        <w:t>shares of our Class A common stock.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0139"/>
          </w:cols>
          <w:pgMar w:left="320" w:top="132" w:right="1440" w:bottom="1440" w:gutter="0" w:footer="0" w:header="0"/>
        </w:sectPr>
      </w:pPr>
    </w:p>
    <w:p>
      <w:pPr>
        <w:spacing w:after="0" w:line="108" w:lineRule="exact"/>
        <w:rPr>
          <w:sz w:val="20"/>
          <w:szCs w:val="20"/>
          <w:color w:val="auto"/>
        </w:rPr>
      </w:pPr>
    </w:p>
    <w:p>
      <w:pPr>
        <w:ind w:left="1260" w:firstLine="360"/>
        <w:spacing w:after="0" w:line="342" w:lineRule="auto"/>
        <w:rPr>
          <w:sz w:val="20"/>
          <w:szCs w:val="20"/>
          <w:color w:val="auto"/>
        </w:rPr>
      </w:pPr>
      <w:r>
        <w:rPr>
          <w:rFonts w:ascii="Arial" w:cs="Arial" w:eastAsia="Arial" w:hAnsi="Arial"/>
          <w:sz w:val="16"/>
          <w:szCs w:val="16"/>
          <w:color w:val="auto"/>
        </w:rPr>
        <w:t>We also intend to enter into the Registration Rights Agreement with Relationships and Related Party Transactions — Registration Rights Agreement.”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 See “Certain</w:t>
      </w:r>
    </w:p>
    <w:p>
      <w:pPr>
        <w:spacing w:after="0" w:line="540" w:lineRule="exact"/>
        <w:rPr>
          <w:sz w:val="20"/>
          <w:szCs w:val="20"/>
          <w:color w:val="auto"/>
        </w:rPr>
      </w:pPr>
    </w:p>
    <w:p>
      <w:pPr>
        <w:sectPr>
          <w:pgSz w:w="11900" w:h="16838" w:orient="portrait"/>
          <w:cols w:equalWidth="0" w:num="2">
            <w:col w:w="7140" w:space="380"/>
            <w:col w:w="261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3"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839" w:hanging="352"/>
        <w:spacing w:after="0" w:line="342" w:lineRule="auto"/>
        <w:tabs>
          <w:tab w:leader="none" w:pos="1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980" w:right="679" w:hanging="352"/>
        <w:spacing w:after="0" w:line="259"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79"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4"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3" w:lineRule="exact"/>
        <w:rPr>
          <w:sz w:val="20"/>
          <w:szCs w:val="20"/>
          <w:color w:val="auto"/>
        </w:rPr>
      </w:pPr>
    </w:p>
    <w:p>
      <w:pPr>
        <w:ind w:left="1980" w:right="699" w:hanging="352"/>
        <w:spacing w:after="0" w:line="255"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779" w:hanging="352"/>
        <w:spacing w:after="0" w:line="277"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29"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75" w:lineRule="exact"/>
        <w:rPr>
          <w:sz w:val="20"/>
          <w:szCs w:val="20"/>
          <w:color w:val="auto"/>
        </w:rPr>
      </w:pPr>
    </w:p>
    <w:p>
      <w:pPr>
        <w:ind w:left="1260" w:right="879" w:firstLine="360"/>
        <w:spacing w:after="0" w:line="312" w:lineRule="auto"/>
        <w:rPr>
          <w:sz w:val="20"/>
          <w:szCs w:val="20"/>
          <w:color w:val="auto"/>
        </w:rPr>
      </w:pPr>
      <w:r>
        <w:rPr>
          <w:rFonts w:ascii="Arial" w:cs="Arial" w:eastAsia="Arial" w:hAnsi="Arial"/>
          <w:sz w:val="17"/>
          <w:szCs w:val="17"/>
          <w:b w:val="1"/>
          <w:bCs w:val="1"/>
          <w:color w:val="auto"/>
        </w:rPr>
        <w:t>Each Non-U.S. Holder should consult its own tax advisor regarding the U.S. federal, state, local and non-U.S. tax consequences of owning and disposing of our Class A common stock.</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6"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84" w:lineRule="exact"/>
        <w:rPr>
          <w:sz w:val="20"/>
          <w:szCs w:val="20"/>
          <w:color w:val="auto"/>
        </w:rPr>
      </w:pPr>
    </w:p>
    <w:p>
      <w:pPr>
        <w:ind w:left="1980" w:right="719" w:hanging="352"/>
        <w:spacing w:after="0" w:line="272" w:lineRule="auto"/>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36" w:lineRule="exact"/>
        <w:rPr>
          <w:rFonts w:ascii="Arial" w:cs="Arial" w:eastAsia="Arial" w:hAnsi="Arial"/>
          <w:sz w:val="17"/>
          <w:szCs w:val="17"/>
          <w:color w:val="auto"/>
        </w:rPr>
      </w:pPr>
    </w:p>
    <w:p>
      <w:pPr>
        <w:ind w:left="1980" w:right="799" w:hanging="352"/>
        <w:spacing w:after="0" w:line="275" w:lineRule="auto"/>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35" w:lineRule="exact"/>
        <w:rPr>
          <w:rFonts w:ascii="Arial" w:cs="Arial" w:eastAsia="Arial" w:hAnsi="Arial"/>
          <w:sz w:val="17"/>
          <w:szCs w:val="17"/>
          <w:color w:val="auto"/>
        </w:rPr>
      </w:pPr>
    </w:p>
    <w:p>
      <w:pPr>
        <w:ind w:left="1980" w:right="739" w:hanging="352"/>
        <w:spacing w:after="0" w:line="286" w:lineRule="auto"/>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59"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859" w:firstLine="360"/>
        <w:spacing w:after="0" w:line="301"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4"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1259" w:firstLine="360"/>
        <w:spacing w:after="0" w:line="274" w:lineRule="auto"/>
        <w:rPr>
          <w:sz w:val="20"/>
          <w:szCs w:val="20"/>
          <w:color w:val="auto"/>
        </w:rPr>
      </w:pPr>
      <w:r>
        <w:rPr>
          <w:rFonts w:ascii="Arial" w:cs="Arial" w:eastAsia="Arial" w:hAnsi="Arial"/>
          <w:sz w:val="16"/>
          <w:szCs w:val="16"/>
          <w:color w:val="auto"/>
        </w:rPr>
        <w:t>The Foreign Account Tax Compliance Act and related Treasury guidance (commonly referred to as “FATCA”) impose U.S. federal withholding tax at a rate of 30% on payments to certain foreign entities of</w:t>
      </w:r>
    </w:p>
    <w:p>
      <w:pPr>
        <w:spacing w:after="0" w:line="1" w:lineRule="exact"/>
        <w:rPr>
          <w:sz w:val="20"/>
          <w:szCs w:val="20"/>
          <w:color w:val="auto"/>
        </w:rPr>
      </w:pPr>
    </w:p>
    <w:p>
      <w:pPr>
        <w:ind w:left="1260" w:right="699" w:firstLine="8"/>
        <w:spacing w:after="0" w:line="264" w:lineRule="auto"/>
        <w:tabs>
          <w:tab w:leader="none" w:pos="14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U.S.-source dividends (including dividends paid on our Class A common stock) and (ii) the gross proceeds from the sale or other disposition of property that produces U.S.-source dividends (including sales or other dispositions of our Class A common stock). Under recently proposed Treasury regulations that may be relied upon pending finalization, the withholding tax on gross proceeds would be eliminated and, consequently,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w:t>
      </w:r>
    </w:p>
    <w:p>
      <w:pPr>
        <w:spacing w:after="0" w:line="1"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6"/>
          <w:szCs w:val="16"/>
          <w:color w:val="auto"/>
        </w:rPr>
        <w:t>We are offering shares of our Class A common stock described in this prospectus through a number of underwriters. Citigroup Global Markets Inc., Goldman Sachs &amp; Co. LLC, J.P. Morgan Securities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ectPr>
          <w:pgSz w:w="11900" w:h="16838" w:orient="portrait"/>
          <w:cols w:equalWidth="0" w:num="1">
            <w:col w:w="10139"/>
          </w:cols>
          <w:pgMar w:left="320" w:top="132" w:right="1440" w:bottom="1440" w:gutter="0" w:footer="0" w:header="0"/>
        </w:sectPr>
      </w:pPr>
    </w:p>
    <w:p>
      <w:pPr>
        <w:spacing w:after="0" w:line="2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22225</wp:posOffset>
            </wp:positionV>
            <wp:extent cx="4749165" cy="1714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7680" w:space="720"/>
            <w:col w:w="1739"/>
          </w:cols>
          <w:pgMar w:left="32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Citigroup Global Markets Inc.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J.P. Morgan Securities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3003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49165" cy="300355"/>
                    </a:xfrm>
                    <a:prstGeom prst="rect">
                      <a:avLst/>
                    </a:prstGeom>
                    <a:noFill/>
                  </pic:spPr>
                </pic:pic>
              </a:graphicData>
            </a:graphic>
          </wp:anchor>
        </w:drawing>
      </w:r>
    </w:p>
    <w:p>
      <w:pPr>
        <w:spacing w:after="0" w:line="16" w:lineRule="exact"/>
        <w:rPr>
          <w:sz w:val="20"/>
          <w:szCs w:val="20"/>
          <w:color w:val="auto"/>
        </w:rPr>
      </w:pPr>
    </w:p>
    <w:p>
      <w:pPr>
        <w:jc w:val="center"/>
        <w:ind w:right="4099"/>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jc w:val="center"/>
        <w:ind w:right="3659"/>
        <w:spacing w:after="0"/>
        <w:rPr>
          <w:sz w:val="20"/>
          <w:szCs w:val="20"/>
          <w:color w:val="auto"/>
        </w:rPr>
      </w:pPr>
      <w:r>
        <w:rPr>
          <w:rFonts w:ascii="Arial" w:cs="Arial" w:eastAsia="Arial" w:hAnsi="Arial"/>
          <w:sz w:val="18"/>
          <w:szCs w:val="18"/>
          <w:color w:val="auto"/>
        </w:rPr>
        <w:t>Incorporated</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Credit Suisse Securities (USA)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UBS Securities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31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Jefferies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Sandler O'Neill &amp;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1885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31750</wp:posOffset>
            </wp:positionV>
            <wp:extent cx="4540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30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The underwriters propose to offer the shares directly to the public at the initial public offering price set forth on the cover page of this prospectus and to certain dealers at that price less a concession not in excess of</w:t>
      </w:r>
    </w:p>
    <w:p>
      <w:pPr>
        <w:ind w:left="1720" w:hanging="452"/>
        <w:spacing w:after="0"/>
        <w:tabs>
          <w:tab w:leader="none" w:pos="1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 share. Any such dealers may resell shares to certain other brokers or dealers at a discount of up to</w:t>
      </w:r>
    </w:p>
    <w:p>
      <w:pPr>
        <w:spacing w:after="0" w:line="20" w:lineRule="exact"/>
        <w:rPr>
          <w:rFonts w:ascii="Arial" w:cs="Arial" w:eastAsia="Arial" w:hAnsi="Arial"/>
          <w:sz w:val="17"/>
          <w:szCs w:val="17"/>
          <w:color w:val="auto"/>
        </w:rPr>
      </w:pPr>
    </w:p>
    <w:p>
      <w:pPr>
        <w:ind w:left="1260" w:right="919" w:firstLine="8"/>
        <w:spacing w:after="0" w:line="255" w:lineRule="auto"/>
        <w:tabs>
          <w:tab w:leader="none" w:pos="17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to the public, the offering price and the other selling terms may be changed by the underwriters. Sales of shares made outside of the United States may be made by affiliates of the underwriters.</w:t>
      </w:r>
    </w:p>
    <w:p>
      <w:pPr>
        <w:spacing w:after="0" w:line="8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5"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Full</w:t>
            </w: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exercise</w:t>
            </w:r>
          </w:p>
        </w:tc>
      </w:tr>
      <w:tr>
        <w:trPr>
          <w:trHeight w:val="26"/>
        </w:trPr>
        <w:tc>
          <w:tcPr>
            <w:tcW w:w="51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57"/>
        </w:trPr>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-334010</wp:posOffset>
            </wp:positionV>
            <wp:extent cx="37973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209"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w:t>
      </w:r>
    </w:p>
    <w:p>
      <w:pPr>
        <w:ind w:left="1260"/>
        <w:spacing w:after="0"/>
        <w:tabs>
          <w:tab w:leader="none" w:pos="28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8" w:lineRule="exact"/>
        <w:rPr>
          <w:sz w:val="20"/>
          <w:szCs w:val="20"/>
          <w:color w:val="auto"/>
        </w:rPr>
      </w:pPr>
    </w:p>
    <w:p>
      <w:pPr>
        <w:ind w:left="1260" w:right="679" w:firstLine="360"/>
        <w:spacing w:after="0" w:line="283" w:lineRule="auto"/>
        <w:rPr>
          <w:sz w:val="20"/>
          <w:szCs w:val="20"/>
          <w:color w:val="auto"/>
        </w:rPr>
      </w:pPr>
      <w:r>
        <w:rPr>
          <w:rFonts w:ascii="Arial" w:cs="Arial" w:eastAsia="Arial" w:hAnsi="Arial"/>
          <w:sz w:val="16"/>
          <w:szCs w:val="16"/>
          <w:color w:val="auto"/>
        </w:rPr>
        <w:t>We have agreed that for a period of 180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w:t>
      </w:r>
    </w:p>
    <w:p>
      <w:pPr>
        <w:spacing w:after="0" w:line="5" w:lineRule="exact"/>
        <w:rPr>
          <w:sz w:val="20"/>
          <w:szCs w:val="20"/>
          <w:color w:val="auto"/>
        </w:rPr>
      </w:pPr>
    </w:p>
    <w:p>
      <w:pPr>
        <w:jc w:val="both"/>
        <w:ind w:left="1260" w:right="859"/>
        <w:spacing w:after="0" w:line="255" w:lineRule="auto"/>
        <w:rPr>
          <w:sz w:val="20"/>
          <w:szCs w:val="20"/>
          <w:color w:val="auto"/>
        </w:rPr>
      </w:pPr>
      <w:r>
        <w:rPr>
          <w:rFonts w:ascii="Arial" w:cs="Arial" w:eastAsia="Arial" w:hAnsi="Arial"/>
          <w:sz w:val="18"/>
          <w:szCs w:val="18"/>
          <w:color w:val="auto"/>
        </w:rPr>
        <w:t>in each case without the prior written consent of , other than the shares of our Class A common stock to be sold hereunder and any shares of our Class A common stock issued upon the exercise of options granted under our existing management incentive plans.</w:t>
      </w:r>
    </w:p>
    <w:p>
      <w:pPr>
        <w:spacing w:after="0" w:line="82"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Our directors and executive officers and substantially all of our other stockholders have entered into lock-up agreements with the underwriters prior to the commencement of this offering pursuant to which each of these persons or entities, with limited exceptions, for a period of 180 days after the date of this prospectus, may not,</w:t>
      </w:r>
    </w:p>
    <w:p>
      <w:pPr>
        <w:spacing w:after="0" w:line="2"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without the prior written consent of , (1)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the LLC Interests (and including, without limitation, Class A common stock or such other securities which may be deemed to be beneficially owned by such directors, executive officers, managers and members in accordance with the rules and regulations of the SEC and securities which may be issued upon exercise of a stock option) or (2) enter into any swap or other agreement that transfers, in whole or in part, any of the economic consequences of ownership of the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Class A common stock.</w:t>
      </w:r>
    </w:p>
    <w:p>
      <w:pPr>
        <w:spacing w:after="0" w:line="75" w:lineRule="exact"/>
        <w:rPr>
          <w:sz w:val="20"/>
          <w:szCs w:val="20"/>
          <w:color w:val="auto"/>
        </w:rPr>
      </w:pPr>
    </w:p>
    <w:p>
      <w:pPr>
        <w:ind w:left="1260" w:right="839" w:firstLine="728"/>
        <w:spacing w:after="0" w:line="308" w:lineRule="auto"/>
        <w:tabs>
          <w:tab w:leader="none" w:pos="207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their sole discretion, may release the Class A common stock and other securities subject to certain notice requirements in the lock-up agreements described above in whole or in part at any time.</w:t>
      </w:r>
    </w:p>
    <w:p>
      <w:pPr>
        <w:spacing w:after="0" w:line="38"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tabs>
          <w:tab w:leader="none" w:pos="7260" w:val="left"/>
        </w:tabs>
        <w:rPr>
          <w:sz w:val="20"/>
          <w:szCs w:val="20"/>
          <w:color w:val="auto"/>
        </w:rPr>
      </w:pPr>
      <w:r>
        <w:rPr>
          <w:rFonts w:ascii="Arial" w:cs="Arial" w:eastAsia="Arial" w:hAnsi="Arial"/>
          <w:sz w:val="18"/>
          <w:szCs w:val="18"/>
          <w:color w:val="auto"/>
        </w:rPr>
        <w:t>We will apply to have our Class A common stock approved for listing on</w:t>
      </w:r>
      <w:r>
        <w:rPr>
          <w:sz w:val="20"/>
          <w:szCs w:val="20"/>
          <w:color w:val="auto"/>
        </w:rPr>
        <w:tab/>
      </w:r>
      <w:r>
        <w:rPr>
          <w:rFonts w:ascii="Arial" w:cs="Arial" w:eastAsia="Arial" w:hAnsi="Arial"/>
          <w:sz w:val="16"/>
          <w:szCs w:val="16"/>
          <w:color w:val="auto"/>
        </w:rPr>
        <w:t>under the symbol “TW.”</w:t>
      </w:r>
    </w:p>
    <w:p>
      <w:pPr>
        <w:spacing w:after="0" w:line="117"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83"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8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 in the over-the-counter market or otherwise.</w:t>
      </w:r>
    </w:p>
    <w:p>
      <w:pPr>
        <w:spacing w:after="0" w:line="6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9" w:lineRule="exact"/>
        <w:rPr>
          <w:sz w:val="20"/>
          <w:szCs w:val="20"/>
          <w:color w:val="auto"/>
        </w:rPr>
      </w:pPr>
    </w:p>
    <w:p>
      <w:pPr>
        <w:ind w:left="1980" w:hanging="352"/>
        <w:spacing w:after="0"/>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7" w:lineRule="exact"/>
        <w:rPr>
          <w:sz w:val="20"/>
          <w:szCs w:val="20"/>
          <w:color w:val="auto"/>
        </w:rPr>
      </w:pPr>
    </w:p>
    <w:p>
      <w:pPr>
        <w:ind w:left="1260" w:right="1139" w:firstLine="360"/>
        <w:spacing w:after="0" w:line="30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shares, or that the shares will trade in the public market at or above the initial public offering price.</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108" w:lineRule="exact"/>
        <w:rPr>
          <w:sz w:val="20"/>
          <w:szCs w:val="20"/>
          <w:color w:val="auto"/>
        </w:rPr>
      </w:pPr>
    </w:p>
    <w:p>
      <w:pPr>
        <w:jc w:val="right"/>
        <w:ind w:left="1620" w:right="839"/>
        <w:spacing w:after="0" w:line="258" w:lineRule="auto"/>
        <w:rPr>
          <w:sz w:val="20"/>
          <w:szCs w:val="20"/>
          <w:color w:val="auto"/>
        </w:rPr>
      </w:pPr>
      <w:r>
        <w:rPr>
          <w:rFonts w:ascii="Arial" w:cs="Arial" w:eastAsia="Arial" w:hAnsi="Arial"/>
          <w:sz w:val="18"/>
          <w:szCs w:val="18"/>
          <w:color w:val="auto"/>
        </w:rPr>
        <w:t>Affiliates of            will receive more than 5.0% of the net proceeds from this offering. As a result, is deemed to have a “conflict of interest” pursuant to FINRA Rule 5121(f)(5)(C)(ii). Accordingly,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offering will be made in compliance with the applicable provisions</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86" w:lineRule="auto"/>
        <w:rPr>
          <w:sz w:val="20"/>
          <w:szCs w:val="20"/>
          <w:color w:val="auto"/>
        </w:rPr>
      </w:pPr>
      <w:r>
        <w:rPr>
          <w:rFonts w:ascii="Arial" w:cs="Arial" w:eastAsia="Arial" w:hAnsi="Arial"/>
          <w:sz w:val="16"/>
          <w:szCs w:val="16"/>
          <w:color w:val="auto"/>
        </w:rPr>
        <w:t>of Rule 5121. As such, any underwriter that has a conflict of interest pursuant to Rule 5121 will not confirm sales to accounts in which it exercises discretionary authority without the prior written consent of the customer. Pursuant to Rule 5121, a “qualified independent underwriter” (as defined in Rule 5121) must participate in the preparation of the prospectus and perform its usual standard of due diligence with respect to the registration</w:t>
      </w:r>
    </w:p>
    <w:p>
      <w:pPr>
        <w:spacing w:after="0" w:line="1" w:lineRule="exact"/>
        <w:rPr>
          <w:sz w:val="20"/>
          <w:szCs w:val="20"/>
          <w:color w:val="auto"/>
        </w:rPr>
      </w:pPr>
    </w:p>
    <w:p>
      <w:pPr>
        <w:ind w:left="1260" w:right="719"/>
        <w:spacing w:after="0" w:line="281" w:lineRule="auto"/>
        <w:rPr>
          <w:sz w:val="20"/>
          <w:szCs w:val="20"/>
          <w:color w:val="auto"/>
        </w:rPr>
      </w:pPr>
      <w:r>
        <w:rPr>
          <w:rFonts w:ascii="Arial" w:cs="Arial" w:eastAsia="Arial" w:hAnsi="Arial"/>
          <w:sz w:val="16"/>
          <w:szCs w:val="16"/>
          <w:color w:val="auto"/>
        </w:rPr>
        <w:t>statement and this prospectus. has agreed to act as qualified independent underwriter for the offering and to undertake the legal responsibilities and liabilities of an underwriter under the Securities Act, specifically including those inherent in Section 11 of the Securities Act. We have also agreed to indemnify against certain</w:t>
      </w:r>
    </w:p>
    <w:p>
      <w:pPr>
        <w:spacing w:after="0" w:line="2" w:lineRule="exact"/>
        <w:rPr>
          <w:sz w:val="20"/>
          <w:szCs w:val="20"/>
          <w:color w:val="auto"/>
        </w:rPr>
      </w:pPr>
    </w:p>
    <w:p>
      <w:pPr>
        <w:ind w:left="1260" w:right="859"/>
        <w:spacing w:after="0" w:line="260" w:lineRule="auto"/>
        <w:rPr>
          <w:sz w:val="20"/>
          <w:szCs w:val="20"/>
          <w:color w:val="auto"/>
        </w:rPr>
      </w:pPr>
      <w:r>
        <w:rPr>
          <w:rFonts w:ascii="Arial" w:cs="Arial" w:eastAsia="Arial" w:hAnsi="Arial"/>
          <w:sz w:val="18"/>
          <w:szCs w:val="18"/>
          <w:color w:val="auto"/>
        </w:rPr>
        <w:t>liabilities incurred in connection with it acting as a qualified independent underwriter in this offering, including liabilities under the Securities Act.</w:t>
      </w:r>
    </w:p>
    <w:p>
      <w:pPr>
        <w:spacing w:after="0" w:line="77"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04" w:lineRule="exact"/>
        <w:rPr>
          <w:sz w:val="20"/>
          <w:szCs w:val="20"/>
          <w:color w:val="auto"/>
        </w:rPr>
      </w:pPr>
    </w:p>
    <w:p>
      <w:pPr>
        <w:jc w:val="both"/>
        <w:ind w:left="1260" w:right="939" w:firstLine="360"/>
        <w:spacing w:after="0" w:line="342" w:lineRule="auto"/>
        <w:rPr>
          <w:sz w:val="20"/>
          <w:szCs w:val="20"/>
          <w:color w:val="auto"/>
        </w:rPr>
      </w:pPr>
      <w:r>
        <w:rPr>
          <w:rFonts w:ascii="Arial" w:cs="Arial" w:eastAsia="Arial" w:hAnsi="Arial"/>
          <w:sz w:val="16"/>
          <w:szCs w:val="16"/>
          <w:color w:val="auto"/>
        </w:rPr>
        <w:t>In relation to each Member State of the European Economic Area (each, a “Relevant Member State”), no offer of shares of Class A common stock may be made to the public in that Relevant Member State other than:</w:t>
      </w:r>
    </w:p>
    <w:p>
      <w:pPr>
        <w:spacing w:after="0" w:line="97" w:lineRule="exact"/>
        <w:rPr>
          <w:sz w:val="20"/>
          <w:szCs w:val="20"/>
          <w:color w:val="auto"/>
        </w:rPr>
      </w:pPr>
    </w:p>
    <w:p>
      <w:pPr>
        <w:ind w:left="1980" w:hanging="352"/>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4" w:lineRule="exact"/>
        <w:rPr>
          <w:rFonts w:ascii="Arial" w:cs="Arial" w:eastAsia="Arial" w:hAnsi="Arial"/>
          <w:sz w:val="18"/>
          <w:szCs w:val="18"/>
          <w:color w:val="auto"/>
        </w:rPr>
      </w:pPr>
    </w:p>
    <w:p>
      <w:pPr>
        <w:ind w:left="1980" w:right="899" w:hanging="352"/>
        <w:spacing w:after="0" w:line="263" w:lineRule="auto"/>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43" w:lineRule="exact"/>
        <w:rPr>
          <w:rFonts w:ascii="Arial" w:cs="Arial" w:eastAsia="Arial" w:hAnsi="Arial"/>
          <w:sz w:val="18"/>
          <w:szCs w:val="18"/>
          <w:color w:val="auto"/>
        </w:rPr>
      </w:pPr>
    </w:p>
    <w:p>
      <w:pPr>
        <w:ind w:left="1980" w:right="679" w:hanging="352"/>
        <w:spacing w:after="0" w:line="259" w:lineRule="auto"/>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Class A common stock shall require the Company or the representatives to publish a prospectus pursuant to Article 3 of the Prospectus Directive or supplement a prospectus pursuant to Article 16 of the Prospectus Directive.</w:t>
      </w:r>
    </w:p>
    <w:p>
      <w:pPr>
        <w:spacing w:after="0" w:line="79"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Each person in a Relevant Member State who initially acquires any shares of Class A common stock or to whom any offer is made will be deemed to have represented, acknowledged and agreed that it is a “qualified investor” within the meaning of the law in that Relevant Member State implementing Article 2(1)(e) of the Prospectus Directive. In the case of any shares of Class A common stock being offered to a financial intermediary as that term is used in Article 3(2) of the Prospectus Directive,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79"/>
        <w:spacing w:after="0" w:line="263" w:lineRule="auto"/>
        <w:rPr>
          <w:sz w:val="20"/>
          <w:szCs w:val="20"/>
          <w:color w:val="auto"/>
        </w:rPr>
      </w:pPr>
      <w:r>
        <w:rPr>
          <w:rFonts w:ascii="Arial" w:cs="Arial" w:eastAsia="Arial" w:hAnsi="Arial"/>
          <w:sz w:val="18"/>
          <w:szCs w:val="18"/>
          <w:color w:val="auto"/>
        </w:rPr>
        <w:t>may give rise to an offer of any shares of Class A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76"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acknowledgments and agreements.</w:t>
      </w:r>
    </w:p>
    <w:p>
      <w:pPr>
        <w:spacing w:after="0" w:line="62"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of Class A common stock. Accordingly any person making or intending to make an offer in that Relevant Member State of shares of Class A common stock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of Class A common stock in circumstances in which an obligation arises for the Company or the underwriters to publish a prospectus for such offer.</w:t>
      </w:r>
    </w:p>
    <w:p>
      <w:pPr>
        <w:spacing w:after="0" w:line="7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of Class A common stock in any Relevant Member State means the communication in any form and by any means of sufficient information on the terms of the offer and the shares of Class A common stock to be offered so as to enable an investor to decide to purchase or subscribe the shares of Class A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7"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93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0"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980" w:right="779" w:hanging="352"/>
        <w:spacing w:after="0" w:line="277"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75"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92" w:lineRule="exact"/>
        <w:rPr>
          <w:rFonts w:ascii="Arial" w:cs="Arial" w:eastAsia="Arial" w:hAnsi="Arial"/>
          <w:sz w:val="18"/>
          <w:szCs w:val="18"/>
          <w:color w:val="auto"/>
        </w:rPr>
      </w:pPr>
    </w:p>
    <w:p>
      <w:pPr>
        <w:ind w:left="1980" w:right="819" w:hanging="352"/>
        <w:spacing w:after="0" w:line="263"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6"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0"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64"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35" w:lineRule="exact"/>
        <w:rPr>
          <w:sz w:val="20"/>
          <w:szCs w:val="20"/>
          <w:color w:val="auto"/>
        </w:rPr>
      </w:pPr>
    </w:p>
    <w:p>
      <w:pPr>
        <w:ind w:left="1980" w:right="759" w:hanging="352"/>
        <w:spacing w:after="0" w:line="263" w:lineRule="auto"/>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5"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1260" w:right="89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1179" w:hanging="352"/>
        <w:spacing w:after="0" w:line="342" w:lineRule="auto"/>
        <w:tabs>
          <w:tab w:leader="none" w:pos="19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83" w:lineRule="exact"/>
        <w:rPr>
          <w:rFonts w:ascii="Arial" w:cs="Arial" w:eastAsia="Arial" w:hAnsi="Arial"/>
          <w:sz w:val="16"/>
          <w:szCs w:val="16"/>
          <w:color w:val="auto"/>
        </w:rPr>
      </w:pPr>
    </w:p>
    <w:p>
      <w:pPr>
        <w:ind w:left="1980" w:hanging="352"/>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1980" w:right="133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will become effective upon issuance by PricewaterhouseCoopers LLP of its report on the consolidated financial statements as of and for the nine months ended September 30, 2018 to be included in this prospectus.</w:t>
      </w:r>
    </w:p>
    <w:p>
      <w:pPr>
        <w:spacing w:after="0" w:line="69"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58"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Tradeweb Markets LLC has provided a copy of the above statements to PricewaterhouseCoopers LLP and requested that PricewaterhouseCoopers LLP furnish Tradeweb Markets LLC with a letter addressed to the SEC</w:t>
      </w:r>
    </w:p>
    <w:p>
      <w:pPr>
        <w:ind w:left="1260" w:right="959"/>
        <w:spacing w:after="0" w:line="260" w:lineRule="auto"/>
        <w:rPr>
          <w:sz w:val="20"/>
          <w:szCs w:val="20"/>
          <w:color w:val="auto"/>
        </w:rPr>
      </w:pPr>
      <w:r>
        <w:rPr>
          <w:rFonts w:ascii="Arial" w:cs="Arial" w:eastAsia="Arial" w:hAnsi="Arial"/>
          <w:sz w:val="18"/>
          <w:szCs w:val="18"/>
          <w:color w:val="auto"/>
        </w:rPr>
        <w:t>stating whether or not they agree with the above disclosure. A copy of that letter, dated , , is filed as an exhibit to the registration statement of which this prospectus is a part.</w:t>
      </w:r>
    </w:p>
    <w:p>
      <w:pPr>
        <w:spacing w:after="0" w:line="7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On November 11, 2018, Tradeweb Markets Inc. engaged Deloitte &amp; Touche LLP as its independent registered public accounting firm, and Tradeweb Markets LLC also will engage Deloitte &amp; Touche LLP as its independent registered public accounting firm.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financial statement of Tradeweb Markets Inc. as of November 7, 2018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79"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The consolidated financial statements of Tradeweb Markets LLC and its subsidiaries as of September 30, 2018, December 31, 2017 and December 31, 2016, and for the nine months ended September 30, 2018, and for each of the years ended December 31, 2017 and 2016, included in this prospectus, have been so included in reliance on the report of PricewaterhouseCoopers LLP, an independent registered public accounting firm, given on the authority of such firm as experts in accounting and auditing.</w:t>
      </w:r>
    </w:p>
    <w:p>
      <w:pPr>
        <w:spacing w:after="0" w:line="6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70"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judgement in connection with the audit of Tradeweb Markets LLC’s financial statements as of and for the period from January 1,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6"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annual, quarterly and current reports, proxy statements and other information with the SEC.</w:t>
      </w:r>
    </w:p>
    <w:p>
      <w:pPr>
        <w:spacing w:after="0" w:line="76"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You can review the registration statement, as well as our future SEC filings, by accessing the SEC’s website at www.sec.gov. You may also request copies of those documents, at no cost to you, by contacting us at the following address:</w:t>
      </w:r>
    </w:p>
    <w:p>
      <w:pPr>
        <w:spacing w:after="0" w:line="7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103"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We intend to furnish our stockholders with annual reports containing financial statements audited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INDEX TO FINANCIAL STATEMENTS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18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77"/>
        </w:trPr>
        <w:tc>
          <w:tcPr>
            <w:tcW w:w="768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Tradeweb Markets Inc. Statement of Financial Condition</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2"/>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198">
              <w:r>
                <w:rPr>
                  <w:rFonts w:ascii="Arial" w:cs="Arial" w:eastAsia="Arial" w:hAnsi="Arial"/>
                  <w:sz w:val="18"/>
                  <w:szCs w:val="18"/>
                  <w:color w:val="0000EE"/>
                </w:rPr>
                <w:t>F-2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gridSpan w:val="12"/>
            <w:shd w:val="clear" w:color="auto" w:fill="CCEEFF"/>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Statement of Financial Condition as of November 7, 2018</w:t>
              </w:r>
            </w:hyperlink>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199">
              <w:r>
                <w:rPr>
                  <w:rFonts w:ascii="Arial" w:cs="Arial" w:eastAsia="Arial" w:hAnsi="Arial"/>
                  <w:sz w:val="18"/>
                  <w:szCs w:val="18"/>
                  <w:color w:val="0000EE"/>
                </w:rPr>
                <w:t>F-3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4180" w:type="dxa"/>
            <w:vAlign w:val="bottom"/>
            <w:gridSpan w:val="6"/>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Notes to Statement of Financial Condition</w:t>
              </w:r>
            </w:hyperlink>
          </w:p>
        </w:tc>
        <w:tc>
          <w:tcPr>
            <w:tcW w:w="3500" w:type="dxa"/>
            <w:vAlign w:val="bottom"/>
            <w:gridSpan w:val="6"/>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00">
              <w:r>
                <w:rPr>
                  <w:rFonts w:ascii="Arial" w:cs="Arial" w:eastAsia="Arial" w:hAnsi="Arial"/>
                  <w:sz w:val="18"/>
                  <w:szCs w:val="18"/>
                  <w:color w:val="0000EE"/>
                </w:rPr>
                <w:t>F-4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68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2"/>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01">
              <w:r>
                <w:rPr>
                  <w:rFonts w:ascii="Arial" w:cs="Arial" w:eastAsia="Arial" w:hAnsi="Arial"/>
                  <w:sz w:val="18"/>
                  <w:szCs w:val="18"/>
                  <w:color w:val="0000EE"/>
                </w:rPr>
                <w:t>F-5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2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0"/>
              </w:rPr>
            </w:pPr>
            <w:hyperlink w:anchor="page202">
              <w:r>
                <w:rPr>
                  <w:rFonts w:ascii="Arial" w:cs="Arial" w:eastAsia="Arial" w:hAnsi="Arial"/>
                  <w:sz w:val="18"/>
                  <w:szCs w:val="18"/>
                  <w:color w:val="0000EE"/>
                  <w:w w:val="90"/>
                </w:rPr>
                <w:t>Consolidated Statements of Financial Condition as of September 30, 2018 and 2017 (Unaudited)</w:t>
              </w:r>
            </w:hyperlink>
          </w:p>
        </w:tc>
        <w:tc>
          <w:tcPr>
            <w:tcW w:w="6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11"/>
            <w:shd w:val="clear" w:color="auto" w:fill="CCEEFF"/>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and as of December 31, 2017 and 2016</w:t>
              </w:r>
            </w:hyperlink>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F-6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7680" w:type="dxa"/>
            <w:vAlign w:val="bottom"/>
            <w:gridSpan w:val="12"/>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Consolidated Statements of Income for the Nine Months Ended September 30, 2018 and 2017</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6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(Unaudited) and the Years Ended December 31, 2017 and 2016</w:t>
              </w:r>
            </w:hyperlink>
          </w:p>
        </w:tc>
        <w:tc>
          <w:tcPr>
            <w:tcW w:w="9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F-7</w:t>
              </w:r>
            </w:hyperlink>
          </w:p>
        </w:tc>
      </w:tr>
      <w:tr>
        <w:trPr>
          <w:trHeight w:val="34"/>
        </w:trPr>
        <w:tc>
          <w:tcPr>
            <w:tcW w:w="180" w:type="dxa"/>
            <w:vAlign w:val="bottom"/>
          </w:tcPr>
          <w:p>
            <w:pPr>
              <w:spacing w:after="0"/>
              <w:rPr>
                <w:sz w:val="2"/>
                <w:szCs w:val="2"/>
                <w:color w:val="auto"/>
              </w:rPr>
            </w:pPr>
          </w:p>
        </w:tc>
        <w:tc>
          <w:tcPr>
            <w:tcW w:w="2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680" w:type="dxa"/>
            <w:vAlign w:val="bottom"/>
            <w:gridSpan w:val="12"/>
            <w:shd w:val="clear" w:color="auto" w:fill="CCEEFF"/>
          </w:tcPr>
          <w:p>
            <w:pPr>
              <w:spacing w:after="0"/>
              <w:rPr>
                <w:rFonts w:ascii="Arial" w:cs="Arial" w:eastAsia="Arial" w:hAnsi="Arial"/>
                <w:sz w:val="18"/>
                <w:szCs w:val="18"/>
                <w:color w:val="0000EE"/>
                <w:w w:val="97"/>
              </w:rPr>
            </w:pPr>
            <w:hyperlink w:anchor="page204">
              <w:r>
                <w:rPr>
                  <w:rFonts w:ascii="Arial" w:cs="Arial" w:eastAsia="Arial" w:hAnsi="Arial"/>
                  <w:sz w:val="18"/>
                  <w:szCs w:val="18"/>
                  <w:color w:val="0000EE"/>
                  <w:w w:val="97"/>
                </w:rPr>
                <w:t>Consolidated Statements of Changes in Members’ Capital and Accumulated Other Comprehensive</w:t>
              </w:r>
            </w:hyperlink>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20" w:type="dxa"/>
            <w:vAlign w:val="bottom"/>
            <w:tcBorders>
              <w:right w:val="single" w:sz="8" w:color="0000EE"/>
            </w:tcBorders>
            <w:gridSpan w:val="6"/>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00" w:type="dxa"/>
            <w:vAlign w:val="bottom"/>
            <w:tcBorders>
              <w:bottom w:val="single" w:sz="8" w:color="0000EE"/>
              <w:right w:val="single" w:sz="8" w:color="CCEEFF"/>
            </w:tcBorders>
            <w:gridSpan w:val="10"/>
            <w:shd w:val="clear" w:color="auto" w:fill="CCEEFF"/>
          </w:tcPr>
          <w:p>
            <w:pPr>
              <w:spacing w:after="0" w:line="196"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Loss for the Nine Months Ended September 30, 2018 and 2017 (Unaudited) and the Years Ended</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line="196"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December 31, 2017 and 2016</w:t>
              </w:r>
            </w:hyperlink>
          </w:p>
        </w:tc>
        <w:tc>
          <w:tcPr>
            <w:tcW w:w="5360" w:type="dxa"/>
            <w:vAlign w:val="bottom"/>
            <w:gridSpan w:val="10"/>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F-8</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12"/>
          </w:tcPr>
          <w:p>
            <w:pPr>
              <w:spacing w:after="0"/>
              <w:rPr>
                <w:rFonts w:ascii="Arial" w:cs="Arial" w:eastAsia="Arial" w:hAnsi="Arial"/>
                <w:sz w:val="18"/>
                <w:szCs w:val="18"/>
                <w:color w:val="0000EE"/>
                <w:w w:val="97"/>
              </w:rPr>
            </w:pPr>
            <w:hyperlink w:anchor="page205">
              <w:r>
                <w:rPr>
                  <w:rFonts w:ascii="Arial" w:cs="Arial" w:eastAsia="Arial" w:hAnsi="Arial"/>
                  <w:sz w:val="18"/>
                  <w:szCs w:val="18"/>
                  <w:color w:val="0000EE"/>
                  <w:w w:val="97"/>
                </w:rPr>
                <w:t>Consolidated Statements of Cash Flows for the Nine Months Ended September 30, 2018 and 2017</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(Unaudited) and the Years Ended December 31, 2017 and 2016</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F-9</w:t>
              </w:r>
            </w:hyperlink>
          </w:p>
        </w:tc>
      </w:tr>
      <w:tr>
        <w:trPr>
          <w:trHeight w:val="34"/>
        </w:trPr>
        <w:tc>
          <w:tcPr>
            <w:tcW w:w="180" w:type="dxa"/>
            <w:vAlign w:val="bottom"/>
          </w:tcPr>
          <w:p>
            <w:pPr>
              <w:spacing w:after="0"/>
              <w:rPr>
                <w:sz w:val="2"/>
                <w:szCs w:val="2"/>
                <w:color w:val="auto"/>
              </w:rPr>
            </w:pPr>
          </w:p>
        </w:tc>
        <w:tc>
          <w:tcPr>
            <w:tcW w:w="2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160" w:type="dxa"/>
            <w:vAlign w:val="bottom"/>
            <w:gridSpan w:val="5"/>
            <w:shd w:val="clear" w:color="auto" w:fill="CCEEFF"/>
          </w:tcPr>
          <w:p>
            <w:pPr>
              <w:spacing w:after="0"/>
              <w:rPr>
                <w:rFonts w:ascii="Arial" w:cs="Arial" w:eastAsia="Arial" w:hAnsi="Arial"/>
                <w:sz w:val="18"/>
                <w:szCs w:val="18"/>
                <w:color w:val="0000EE"/>
                <w:w w:val="89"/>
              </w:rPr>
            </w:pPr>
            <w:hyperlink w:anchor="page206">
              <w:r>
                <w:rPr>
                  <w:rFonts w:ascii="Arial" w:cs="Arial" w:eastAsia="Arial" w:hAnsi="Arial"/>
                  <w:sz w:val="18"/>
                  <w:szCs w:val="18"/>
                  <w:color w:val="0000EE"/>
                  <w:w w:val="89"/>
                </w:rPr>
                <w:t>Notes to Consolidated Financial Statements</w:t>
              </w:r>
            </w:hyperlink>
          </w:p>
        </w:tc>
        <w:tc>
          <w:tcPr>
            <w:tcW w:w="4520" w:type="dxa"/>
            <w:vAlign w:val="bottom"/>
            <w:gridSpan w:val="7"/>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w w:val="86"/>
              </w:rPr>
            </w:pPr>
            <w:hyperlink w:anchor="page206">
              <w:r>
                <w:rPr>
                  <w:rFonts w:ascii="Arial" w:cs="Arial" w:eastAsia="Arial" w:hAnsi="Arial"/>
                  <w:sz w:val="18"/>
                  <w:szCs w:val="18"/>
                  <w:color w:val="0000EE"/>
                  <w:w w:val="86"/>
                </w:rPr>
                <w:t>F-10</w:t>
              </w:r>
            </w:hyperlink>
          </w:p>
        </w:tc>
      </w:tr>
      <w:tr>
        <w:trPr>
          <w:trHeight w:val="27"/>
        </w:trPr>
        <w:tc>
          <w:tcPr>
            <w:tcW w:w="180" w:type="dxa"/>
            <w:vAlign w:val="bottom"/>
            <w:shd w:val="clear" w:color="auto" w:fill="0000EE"/>
          </w:tcPr>
          <w:p>
            <w:pPr>
              <w:spacing w:after="0"/>
              <w:rPr>
                <w:sz w:val="2"/>
                <w:szCs w:val="2"/>
                <w:color w:val="auto"/>
              </w:rPr>
            </w:pPr>
          </w:p>
        </w:tc>
        <w:tc>
          <w:tcPr>
            <w:tcW w:w="214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-2734310</wp:posOffset>
            </wp:positionV>
            <wp:extent cx="48691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1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Sole Shareholder of Tradeweb Markets Inc.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have audited the accompanying statement of financial condition of Tradeweb Markets Inc. (the “Company”) as of November 7, 2018, and the related notes (collectively referred to as the “financial statement”). In our opinion, the financial statement presents fairly, in all material respects, the financial position of the Company as of November 7, 2018, in conformity with accounting principles generally accepted in the United States of America.</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12, 2018</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84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Tradeweb Markets Inc.</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4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Statement of Financial Condition</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4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November 7, 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issued and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9803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-873760</wp:posOffset>
            </wp:positionV>
            <wp:extent cx="49803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Tradeweb Markets Inc.</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November 7, 2018</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Tradeweb Markets Inc. (the “Corporation”) was formed as a Delaware corporation on November 7, 2018. The Corporation was formed for the purpose of completing certain reorganization transactions in order to carry on the business of Tradeweb Markets LLC and conducting a public offering. It is expected that following the completion of such reorganization transactions the Corporation will be the sole managing member of Tradeweb Markets LLC and will operate and control all of the businesses and affairs of Tradeweb Markets LLC and, through Tradeweb Markets LLC and its subsidiaries, continue to conduct the business now conducted by these subsidiaries.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The statement of financial condition is presented in accordance with accounting principles generally accepted in the United States of America. Separate statements of operations, comprehensive income, changes in stockholder’s equity, and cash flows have not been presented in the financial statement because there have been no activities in this entity other than the initial capitalization.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STOCKHOLDER’S EQUITY</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Corporation is authorized to issue 1,000 shares of Common Stock, par value $0.01 per share. The Chief Executive Officer of Tradeweb Markets LLC is the sole shareholder of the Corporation and contributed $100 to the Corporation on November 7, 2018 to purchase 100 shares of common stock. Holders of common stock are entitled to one vote for each share of common stock held on all matters submitted to shareholders for vote, consent or approval.</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SUBSEQUENT EVENTS</w:t>
      </w:r>
    </w:p>
    <w:p>
      <w:pPr>
        <w:spacing w:after="0" w:line="108"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The Corporation has evaluated subsequent events through November 12, 2018, the date the statement of financial condition was issued. The Corporation did not note any subsequent events requiring disclosure or adjustments to the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19" w:firstLine="1852"/>
        <w:spacing w:after="0" w:line="42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and Members of Tradeweb Markets LLC</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have audited the accompanying consolidated statements of financial condition of Tradeweb Markets LLC and its subsidiaries (the “Company”) as of September 30, 2018, December 31, 2017 and December 31, 2016, and the related consolidated statements of income, of changes in members’ capital and accumulated other comprehensive loss and of cash flows for the nine months ended September 30, 2018 and for the years ended December 31, 2017 and December 31, 2016, including the related notes (collectively referred to as the “consolidated financial statements”). In our opinion, the consolidated financial statements present fairly, in all material respects, the financial position of the Company as of September 30, 2018, December 31, 2017 and December 31, 2016, and the results of its operations and its cash flows for the nine months ended September 30, 2018 and for the years ended December 31, 2017 and December 31, 2016, in conformity with accounting principles generally accepted in the United States of America.</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left="1260" w:right="959" w:firstLine="360"/>
        <w:spacing w:after="0" w:line="301" w:lineRule="auto"/>
        <w:rPr>
          <w:sz w:val="20"/>
          <w:szCs w:val="20"/>
          <w:color w:val="auto"/>
        </w:rPr>
      </w:pPr>
      <w:r>
        <w:rPr>
          <w:rFonts w:ascii="Arial" w:cs="Arial" w:eastAsia="Arial" w:hAnsi="Arial"/>
          <w:sz w:val="16"/>
          <w:szCs w:val="16"/>
          <w:color w:val="auto"/>
        </w:rPr>
        <w:t>We conducted our audits of these consolidated financial statements in accordance with the auditing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49"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17, 2018</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8"/>
              </w:rPr>
              <w:t>September 30,</w:t>
            </w:r>
          </w:p>
        </w:tc>
        <w:tc>
          <w:tcPr>
            <w:tcW w:w="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83"/>
              </w:rPr>
              <w:t>December 31,</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00"/>
              <w:spacing w:after="0" w:line="175" w:lineRule="exact"/>
              <w:rPr>
                <w:sz w:val="20"/>
                <w:szCs w:val="20"/>
                <w:color w:val="auto"/>
              </w:rPr>
            </w:pPr>
            <w:r>
              <w:rPr>
                <w:rFonts w:ascii="Arial" w:cs="Arial" w:eastAsia="Arial" w:hAnsi="Arial"/>
                <w:sz w:val="16"/>
                <w:szCs w:val="16"/>
                <w:b w:val="1"/>
                <w:bCs w:val="1"/>
                <w:color w:val="auto"/>
              </w:rPr>
              <w:t>Assets</w:t>
            </w: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w w:val="96"/>
              </w:rPr>
              <w:t>Cash and cash equivalents including cash deposited with related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rPr>
              <w:t>parties of $230,617, $209,653, $234,107 and $209,877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w w:val="94"/>
              </w:rPr>
              <w:t>September 30, 2018, September 30, 2017, December 31, 2017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180"/>
              <w:spacing w:after="0"/>
              <w:rPr>
                <w:sz w:val="20"/>
                <w:szCs w:val="20"/>
                <w:color w:val="auto"/>
              </w:rPr>
            </w:pPr>
            <w:r>
              <w:rPr>
                <w:rFonts w:ascii="Arial" w:cs="Arial" w:eastAsia="Arial" w:hAnsi="Arial"/>
                <w:sz w:val="16"/>
                <w:szCs w:val="16"/>
                <w:color w:val="auto"/>
              </w:rPr>
              <w:t>and December 31, 2016, respectively</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350,183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316,449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352,598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324,074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1,200</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1,200</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w w:val="97"/>
              </w:rPr>
              <w:t>Receivable from brokers and dealers and clearing organizations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4,642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39,937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4,324</w:t>
            </w: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Deposits with clearing organizations including deposites from</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related parties of $500</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9,200</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15,489</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9,926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w w:val="96"/>
              </w:rPr>
              <w:t>Accounts receivable, net of allowance including receivables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w w:val="99"/>
              </w:rPr>
              <w:t>related parties of $45,762, $36,452, $27,163 and $25,681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w w:val="94"/>
              </w:rPr>
              <w:t>September 30, 2018, September 30, 2017, December 31, 2017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180"/>
              <w:spacing w:after="0"/>
              <w:rPr>
                <w:sz w:val="20"/>
                <w:szCs w:val="20"/>
                <w:color w:val="auto"/>
              </w:rPr>
            </w:pPr>
            <w:r>
              <w:rPr>
                <w:rFonts w:ascii="Arial" w:cs="Arial" w:eastAsia="Arial" w:hAnsi="Arial"/>
                <w:sz w:val="16"/>
                <w:szCs w:val="16"/>
                <w:color w:val="auto"/>
              </w:rPr>
              <w:t>and December 31, 2016,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95,959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72,273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69,662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79,440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Furniture, equipment, purchased software and leasehold</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improvements, net of accumulated depreciation and amortization</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23,864</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26,474</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27,031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Software development costs, net of accumulated amortization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40,741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40,575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41,181</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39,444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 of accumulated amortization</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202,624</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228,740</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222,219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253,410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Goodwill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563,421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563,421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563,421</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563,487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Receivable from affiliates</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3,350</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246</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w w:val="93"/>
              </w:rPr>
              <w:t>Other assets including other assets from related parties of $6, $39,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rPr>
              <w:t>$27 and $46 in September 30, 2018, September 30, 2017,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180"/>
              <w:spacing w:after="0"/>
              <w:rPr>
                <w:sz w:val="20"/>
                <w:szCs w:val="20"/>
                <w:color w:val="auto"/>
              </w:rPr>
            </w:pPr>
            <w:r>
              <w:rPr>
                <w:rFonts w:ascii="Arial" w:cs="Arial" w:eastAsia="Arial" w:hAnsi="Arial"/>
                <w:sz w:val="16"/>
                <w:szCs w:val="16"/>
                <w:color w:val="auto"/>
              </w:rPr>
              <w:t>December 31, 2017 and December 31, 2016,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28,623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19,143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24,950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1,323,807</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1,323,947</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1,316,887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1,320,732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1080"/>
              <w:spacing w:after="0"/>
              <w:rPr>
                <w:sz w:val="20"/>
                <w:szCs w:val="20"/>
                <w:color w:val="auto"/>
              </w:rPr>
            </w:pPr>
            <w:r>
              <w:rPr>
                <w:rFonts w:ascii="Arial" w:cs="Arial" w:eastAsia="Arial" w:hAnsi="Arial"/>
                <w:sz w:val="16"/>
                <w:szCs w:val="16"/>
                <w:b w:val="1"/>
                <w:bCs w:val="1"/>
                <w:color w:val="auto"/>
              </w:rPr>
              <w:t>Liabilities and Members’ Capital</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w w:val="92"/>
              </w:rPr>
              <w:t>Payable to brokers and dealers and clearing organizations including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180"/>
              <w:spacing w:after="0"/>
              <w:rPr>
                <w:sz w:val="20"/>
                <w:szCs w:val="20"/>
                <w:color w:val="auto"/>
              </w:rPr>
            </w:pPr>
            <w:r>
              <w:rPr>
                <w:rFonts w:ascii="Arial" w:cs="Arial" w:eastAsia="Arial" w:hAnsi="Arial"/>
                <w:sz w:val="16"/>
                <w:szCs w:val="16"/>
                <w:color w:val="auto"/>
                <w:w w:val="97"/>
              </w:rPr>
              <w:t>payables to related parties of $39,143 in September 30, 2017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39,143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4,322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82,201</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66,457</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89,769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w w:val="95"/>
              </w:rPr>
              <w:t>Deferred revenue including deferred revenue from related parties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w w:val="93"/>
              </w:rPr>
              <w:t>of $11,602, $13,562, $5,106 and $5,570 in September 30, 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w w:val="98"/>
              </w:rPr>
              <w:t>September 30, 2017, December 31, 2017 and 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180"/>
              <w:spacing w:after="0"/>
              <w:rPr>
                <w:sz w:val="20"/>
                <w:szCs w:val="20"/>
                <w:color w:val="auto"/>
              </w:rPr>
            </w:pPr>
            <w:r>
              <w:rPr>
                <w:rFonts w:ascii="Arial" w:cs="Arial" w:eastAsia="Arial" w:hAnsi="Arial"/>
                <w:sz w:val="16"/>
                <w:szCs w:val="16"/>
                <w:color w:val="auto"/>
              </w:rPr>
              <w:t>2016,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28,280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35,045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29,673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42,184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 payable to related parties</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100,408</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129,393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w w:val="94"/>
              </w:rPr>
              <w:t>Accounts payable, accrued expenses and other liabilities including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w w:val="98"/>
              </w:rPr>
              <w:t>payables to related parties of $2,530 and $2,187, $2,555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80"/>
              <w:spacing w:after="0"/>
              <w:rPr>
                <w:sz w:val="20"/>
                <w:szCs w:val="20"/>
                <w:color w:val="auto"/>
              </w:rPr>
            </w:pPr>
            <w:r>
              <w:rPr>
                <w:rFonts w:ascii="Arial" w:cs="Arial" w:eastAsia="Arial" w:hAnsi="Arial"/>
                <w:sz w:val="16"/>
                <w:szCs w:val="16"/>
                <w:color w:val="auto"/>
              </w:rPr>
              <w:t>$7,234 in September 30, 2018, September 30, 2017,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180"/>
              <w:spacing w:after="0"/>
              <w:rPr>
                <w:sz w:val="20"/>
                <w:szCs w:val="20"/>
                <w:color w:val="auto"/>
              </w:rPr>
            </w:pPr>
            <w:r>
              <w:rPr>
                <w:rFonts w:ascii="Arial" w:cs="Arial" w:eastAsia="Arial" w:hAnsi="Arial"/>
                <w:sz w:val="16"/>
                <w:szCs w:val="16"/>
                <w:color w:val="auto"/>
              </w:rPr>
              <w:t>December 31, 2017 and December 31, 2016,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35,545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23,040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27,364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30,489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Employee equity compensation payable</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33,914</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22,976</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31,019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Convertible term note payable to related party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29,285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Payable to affiliates</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5,856</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7,487</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5,578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185,796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294,556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317,118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283,319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6"/>
                <w:szCs w:val="16"/>
                <w:b w:val="1"/>
                <w:bCs w:val="1"/>
                <w:color w:val="auto"/>
              </w:rPr>
              <w:t>Mezzanine Capital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Class C Shares and Class P(C) Shares</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12,846</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11,182</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13,301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4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Members’ capital</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Members’ capital</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1,141,496</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1,031,748</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999,735</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1,040,911</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(16,331)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(13,539)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(13,267)</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(16,152)</w:t>
            </w: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members’ capital</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1,125,165</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1,018,209</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986,468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1,024,759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 liabilities and members’ capital</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1,323,807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1,323,947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1,316,887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1,320,732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-307975</wp:posOffset>
            </wp:positionV>
            <wp:extent cx="431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-307975</wp:posOffset>
            </wp:positionV>
            <wp:extent cx="11176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-307975</wp:posOffset>
            </wp:positionV>
            <wp:extent cx="12001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-307975</wp:posOffset>
            </wp:positionV>
            <wp:extent cx="34886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-1319530</wp:posOffset>
            </wp:positionV>
            <wp:extent cx="431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-1319530</wp:posOffset>
            </wp:positionV>
            <wp:extent cx="1117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-1319530</wp:posOffset>
            </wp:positionV>
            <wp:extent cx="12001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-1319530</wp:posOffset>
            </wp:positionV>
            <wp:extent cx="34886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-3779520</wp:posOffset>
            </wp:positionV>
            <wp:extent cx="431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-3779520</wp:posOffset>
            </wp:positionV>
            <wp:extent cx="1117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-3779520</wp:posOffset>
            </wp:positionV>
            <wp:extent cx="12001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-3779520</wp:posOffset>
            </wp:positionV>
            <wp:extent cx="34886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1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Income</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For the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nine months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ended</w:t>
            </w:r>
          </w:p>
        </w:tc>
        <w:tc>
          <w:tcPr>
            <w:tcW w:w="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year ended</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Revenues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Transaction fees including from related parties of $159,663,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$109,915, $151,695 and $134,231 in the period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w w:val="91"/>
              </w:rPr>
              <w:t>September 30, 2018, September 30, 2017, December 31, 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and December 31, 2016, respectively</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273,751</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198,562</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267,020</w:t>
            </w:r>
          </w:p>
        </w:tc>
        <w:tc>
          <w:tcPr>
            <w:tcW w:w="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230,171</w:t>
            </w:r>
          </w:p>
        </w:tc>
        <w:tc>
          <w:tcPr>
            <w:tcW w:w="0" w:type="dxa"/>
            <w:vAlign w:val="bottom"/>
          </w:tcPr>
          <w:p>
            <w:pPr>
              <w:spacing w:after="0"/>
              <w:rPr>
                <w:sz w:val="1"/>
                <w:szCs w:val="1"/>
                <w:color w:val="auto"/>
              </w:rPr>
            </w:pPr>
          </w:p>
        </w:tc>
      </w:tr>
      <w:tr>
        <w:trPr>
          <w:trHeight w:val="193"/>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Subscription fees including from related parties of $16,627,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2"/>
              </w:rPr>
              <w:t>$25,645, $37,426 and $35,169 in the period ended September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30, 2018, September 30, 2017, December 31, 2017 and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December 31, 2016, 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107,130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107,992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144,409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141,419</w:t>
            </w:r>
          </w:p>
        </w:tc>
        <w:tc>
          <w:tcPr>
            <w:tcW w:w="0" w:type="dxa"/>
            <w:vAlign w:val="bottom"/>
          </w:tcPr>
          <w:p>
            <w:pPr>
              <w:spacing w:after="0"/>
              <w:rPr>
                <w:sz w:val="1"/>
                <w:szCs w:val="1"/>
                <w:color w:val="auto"/>
              </w:rPr>
            </w:pPr>
          </w:p>
        </w:tc>
      </w:tr>
      <w:tr>
        <w:trPr>
          <w:trHeight w:val="193"/>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Commissions including from related parties of $34,944,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w w:val="92"/>
              </w:rPr>
              <w:t>$38,014, $43,315 and $42,343 in the period ended September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30, 2018, September 30, 2017, December 31, 2017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December 31, 2016, 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79,830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71,616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96,745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91,663</w:t>
            </w: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Thomson Reuters market data fees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75" w:lineRule="exact"/>
              <w:rPr>
                <w:sz w:val="20"/>
                <w:szCs w:val="20"/>
                <w:color w:val="auto"/>
              </w:rPr>
            </w:pPr>
            <w:r>
              <w:rPr>
                <w:rFonts w:ascii="Arial" w:cs="Arial" w:eastAsia="Arial" w:hAnsi="Arial"/>
                <w:sz w:val="16"/>
                <w:szCs w:val="16"/>
                <w:color w:val="auto"/>
              </w:rPr>
              <w:t>36,851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37,895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50,125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50,564</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8,209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3,504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4,669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169"/>
        </w:trPr>
        <w:tc>
          <w:tcPr>
            <w:tcW w:w="4460" w:type="dxa"/>
            <w:vAlign w:val="bottom"/>
            <w:tcBorders>
              <w:top w:val="single" w:sz="8" w:color="CCEEFF"/>
            </w:tcBorders>
            <w:gridSpan w:val="2"/>
            <w:shd w:val="clear" w:color="auto" w:fill="CCEEFF"/>
          </w:tcPr>
          <w:p>
            <w:pPr>
              <w:ind w:left="360"/>
              <w:spacing w:after="0" w:line="169" w:lineRule="exact"/>
              <w:rPr>
                <w:sz w:val="20"/>
                <w:szCs w:val="20"/>
                <w:color w:val="auto"/>
              </w:rPr>
            </w:pPr>
            <w:r>
              <w:rPr>
                <w:rFonts w:ascii="Arial" w:cs="Arial" w:eastAsia="Arial" w:hAnsi="Arial"/>
                <w:sz w:val="16"/>
                <w:szCs w:val="16"/>
                <w:b w:val="1"/>
                <w:bCs w:val="1"/>
                <w:color w:val="auto"/>
              </w:rPr>
              <w:t>Gross revenue</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505,771</w:t>
            </w: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419,569</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562,968</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518,404</w:t>
            </w: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Contingent consideration to related parties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(26,830)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(29,535)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(58,520)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(26,224)</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revenue</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3"/>
              </w:rPr>
              <w:t>478,941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390,034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3"/>
              </w:rPr>
              <w:t>504,448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492,180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Employee compensation and benefits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75" w:lineRule="exact"/>
              <w:rPr>
                <w:sz w:val="20"/>
                <w:szCs w:val="20"/>
                <w:color w:val="auto"/>
              </w:rPr>
            </w:pPr>
            <w:r>
              <w:rPr>
                <w:rFonts w:ascii="Arial" w:cs="Arial" w:eastAsia="Arial" w:hAnsi="Arial"/>
                <w:sz w:val="16"/>
                <w:szCs w:val="16"/>
                <w:color w:val="auto"/>
                <w:w w:val="93"/>
              </w:rPr>
              <w:t>209,053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w w:val="96"/>
              </w:rPr>
              <w:t>185,727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w w:val="93"/>
              </w:rPr>
              <w:t>248,963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w w:val="93"/>
              </w:rPr>
              <w:t>228,584</w:t>
            </w:r>
          </w:p>
        </w:tc>
        <w:tc>
          <w:tcPr>
            <w:tcW w:w="0" w:type="dxa"/>
            <w:vAlign w:val="bottom"/>
          </w:tcPr>
          <w:p>
            <w:pPr>
              <w:spacing w:after="0"/>
              <w:rPr>
                <w:sz w:val="1"/>
                <w:szCs w:val="1"/>
                <w:color w:val="auto"/>
              </w:rPr>
            </w:pPr>
          </w:p>
        </w:tc>
      </w:tr>
      <w:tr>
        <w:trPr>
          <w:trHeight w:val="175"/>
        </w:trPr>
        <w:tc>
          <w:tcPr>
            <w:tcW w:w="44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48,808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52,645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68,615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80,859</w:t>
            </w:r>
          </w:p>
        </w:tc>
        <w:tc>
          <w:tcPr>
            <w:tcW w:w="0" w:type="dxa"/>
            <w:vAlign w:val="bottom"/>
          </w:tcPr>
          <w:p>
            <w:pPr>
              <w:spacing w:after="0"/>
              <w:rPr>
                <w:sz w:val="1"/>
                <w:szCs w:val="1"/>
                <w:color w:val="auto"/>
              </w:rPr>
            </w:pPr>
          </w:p>
        </w:tc>
      </w:tr>
      <w:tr>
        <w:trPr>
          <w:trHeight w:val="193"/>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General and administrative including from related parties of</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1"/>
              </w:rPr>
              <w:t>$539, $536, $719 and $740 in the period ended September 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1"/>
              </w:rPr>
              <w:t>2018, September 30, 2017, December 31, 2017 and December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31, 2016, 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23,056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25,416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27,392</w:t>
            </w:r>
          </w:p>
        </w:tc>
        <w:tc>
          <w:tcPr>
            <w:tcW w:w="0" w:type="dxa"/>
            <w:vAlign w:val="bottom"/>
          </w:tcPr>
          <w:p>
            <w:pPr>
              <w:spacing w:after="0"/>
              <w:rPr>
                <w:sz w:val="1"/>
                <w:szCs w:val="1"/>
                <w:color w:val="auto"/>
              </w:rPr>
            </w:pPr>
          </w:p>
        </w:tc>
      </w:tr>
      <w:tr>
        <w:trPr>
          <w:trHeight w:val="193"/>
        </w:trPr>
        <w:tc>
          <w:tcPr>
            <w:tcW w:w="4460" w:type="dxa"/>
            <w:vAlign w:val="bottom"/>
            <w:gridSpan w:val="2"/>
          </w:tcPr>
          <w:p>
            <w:pPr>
              <w:ind w:left="180"/>
              <w:spacing w:after="0"/>
              <w:rPr>
                <w:sz w:val="20"/>
                <w:szCs w:val="20"/>
                <w:color w:val="auto"/>
              </w:rPr>
            </w:pPr>
            <w:r>
              <w:rPr>
                <w:rFonts w:ascii="Arial" w:cs="Arial" w:eastAsia="Arial" w:hAnsi="Arial"/>
                <w:sz w:val="16"/>
                <w:szCs w:val="16"/>
                <w:color w:val="auto"/>
                <w:w w:val="95"/>
              </w:rPr>
              <w:t>Technology and communications including from related parties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w w:val="99"/>
              </w:rPr>
              <w:t>of $2,220, $2,220, $2,960 and $2,960 in the period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w w:val="91"/>
              </w:rPr>
              <w:t>September 30, 2018, September 30, 2017, December 31, 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and December 31, 2016, 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26,598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22,390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30,013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28,239</w:t>
            </w: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20,360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13,262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19,351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18,158</w:t>
            </w:r>
          </w:p>
        </w:tc>
        <w:tc>
          <w:tcPr>
            <w:tcW w:w="0" w:type="dxa"/>
            <w:vAlign w:val="bottom"/>
          </w:tcPr>
          <w:p>
            <w:pPr>
              <w:spacing w:after="0"/>
              <w:rPr>
                <w:sz w:val="1"/>
                <w:szCs w:val="1"/>
                <w:color w:val="auto"/>
              </w:rPr>
            </w:pPr>
          </w:p>
        </w:tc>
      </w:tr>
      <w:tr>
        <w:trPr>
          <w:trHeight w:val="206"/>
        </w:trPr>
        <w:tc>
          <w:tcPr>
            <w:tcW w:w="4460" w:type="dxa"/>
            <w:vAlign w:val="bottom"/>
            <w:gridSpan w:val="2"/>
          </w:tcPr>
          <w:p>
            <w:pPr>
              <w:ind w:left="180"/>
              <w:spacing w:after="0"/>
              <w:rPr>
                <w:sz w:val="20"/>
                <w:szCs w:val="20"/>
                <w:color w:val="auto"/>
              </w:rPr>
            </w:pPr>
            <w:r>
              <w:rPr>
                <w:rFonts w:ascii="Arial" w:cs="Arial" w:eastAsia="Arial" w:hAnsi="Arial"/>
                <w:sz w:val="16"/>
                <w:szCs w:val="16"/>
                <w:color w:val="auto"/>
                <w:w w:val="99"/>
              </w:rPr>
              <w:t>Occupancy including from related parties of $466, 466, $621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w w:val="91"/>
              </w:rPr>
              <w:t>and $600 in the period ended September 30, 2018, September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30, 2017, December 31, 2017 and December 31, 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10,732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11,322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14,441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15,817</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338,607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310,762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415,356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399,049</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140,334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79,272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89,092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93,131</w:t>
            </w:r>
          </w:p>
        </w:tc>
        <w:tc>
          <w:tcPr>
            <w:tcW w:w="0" w:type="dxa"/>
            <w:vAlign w:val="bottom"/>
          </w:tcPr>
          <w:p>
            <w:pPr>
              <w:spacing w:after="0"/>
              <w:rPr>
                <w:sz w:val="1"/>
                <w:szCs w:val="1"/>
                <w:color w:val="auto"/>
              </w:rPr>
            </w:pPr>
          </w:p>
        </w:tc>
      </w:tr>
      <w:tr>
        <w:trPr>
          <w:trHeight w:val="200"/>
        </w:trPr>
        <w:tc>
          <w:tcPr>
            <w:tcW w:w="44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6"/>
              </w:rPr>
              <w:t>Interest income including from related parties of $34, $32, $40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3"/>
              </w:rPr>
              <w:t>and $80 in the period ended September 30, 2018, September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30, 2017, December 31, 2017 and December 31, 2016,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1,726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Interest expense from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Income before taxes</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w w:val="93"/>
              </w:rPr>
              <w:t>142,060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79,700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89,777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92,436</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(11,900)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(3,159)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(6,129)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130,160</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76,541</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83,648</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93,161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839.42</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500.81</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546.55</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613.30</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839.42</w:t>
            </w: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500.81</w:t>
            </w: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546.55</w:t>
            </w:r>
          </w:p>
        </w:tc>
        <w:tc>
          <w:tcPr>
            <w:tcW w:w="6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613.30</w:t>
            </w: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155,060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152,836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153,046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151,902</w:t>
            </w: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155,060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152,836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153,046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151,902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-882015</wp:posOffset>
            </wp:positionV>
            <wp:extent cx="7747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-882015</wp:posOffset>
            </wp:positionV>
            <wp:extent cx="17970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413194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-1139190</wp:posOffset>
            </wp:positionV>
            <wp:extent cx="7747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-1139190</wp:posOffset>
            </wp:positionV>
            <wp:extent cx="17970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-1139190</wp:posOffset>
            </wp:positionV>
            <wp:extent cx="413194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-1773555</wp:posOffset>
            </wp:positionV>
            <wp:extent cx="774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-1773555</wp:posOffset>
            </wp:positionV>
            <wp:extent cx="1797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-1773555</wp:posOffset>
            </wp:positionV>
            <wp:extent cx="413194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-2047875</wp:posOffset>
            </wp:positionV>
            <wp:extent cx="7747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-2047875</wp:posOffset>
            </wp:positionV>
            <wp:extent cx="17970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-2047875</wp:posOffset>
            </wp:positionV>
            <wp:extent cx="413194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-4199890</wp:posOffset>
            </wp:positionV>
            <wp:extent cx="774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-4199890</wp:posOffset>
            </wp:positionV>
            <wp:extent cx="17970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-4199890</wp:posOffset>
            </wp:positionV>
            <wp:extent cx="413194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-4439920</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-4439920</wp:posOffset>
            </wp:positionV>
            <wp:extent cx="17970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-4439920</wp:posOffset>
            </wp:positionV>
            <wp:extent cx="413194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3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Consolidated Statements of Changes in Members’ Capital and Accumulated Other Comprehensive Loss</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Members’</w:t>
            </w: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1,079,417</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(11,473)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1,067,944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93,161</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(4,679)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93,161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0"/>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(130,000)</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1,040,911</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 (16,152)</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1,024,759</w:t>
            </w:r>
          </w:p>
        </w:tc>
        <w:tc>
          <w:tcPr>
            <w:tcW w:w="0" w:type="dxa"/>
            <w:vAlign w:val="bottom"/>
          </w:tcPr>
          <w:p>
            <w:pPr>
              <w:spacing w:after="0"/>
              <w:rPr>
                <w:sz w:val="1"/>
                <w:szCs w:val="1"/>
                <w:color w:val="auto"/>
              </w:rPr>
            </w:pPr>
          </w:p>
        </w:tc>
      </w:tr>
      <w:tr>
        <w:trPr>
          <w:trHeight w:val="257"/>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(unaudited):</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76,541</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76,541</w:t>
            </w:r>
          </w:p>
        </w:tc>
        <w:tc>
          <w:tcPr>
            <w:tcW w:w="0" w:type="dxa"/>
            <w:vAlign w:val="bottom"/>
          </w:tcPr>
          <w:p>
            <w:pPr>
              <w:spacing w:after="0"/>
              <w:rPr>
                <w:sz w:val="1"/>
                <w:szCs w:val="1"/>
                <w:color w:val="auto"/>
              </w:rPr>
            </w:pPr>
          </w:p>
        </w:tc>
      </w:tr>
      <w:tr>
        <w:trPr>
          <w:trHeight w:val="26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2,613</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76,541</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2,613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79,154</w:t>
            </w:r>
          </w:p>
        </w:tc>
        <w:tc>
          <w:tcPr>
            <w:tcW w:w="0" w:type="dxa"/>
            <w:vAlign w:val="bottom"/>
          </w:tcPr>
          <w:p>
            <w:pPr>
              <w:spacing w:after="0"/>
              <w:rPr>
                <w:sz w:val="1"/>
                <w:szCs w:val="1"/>
                <w:color w:val="auto"/>
              </w:rPr>
            </w:pPr>
          </w:p>
        </w:tc>
      </w:tr>
      <w:tr>
        <w:trPr>
          <w:trHeight w:val="229"/>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180"/>
              <w:spacing w:after="0"/>
              <w:rPr>
                <w:sz w:val="20"/>
                <w:szCs w:val="20"/>
                <w:color w:val="auto"/>
              </w:rPr>
            </w:pPr>
            <w:r>
              <w:rPr>
                <w:rFonts w:ascii="Arial" w:cs="Arial" w:eastAsia="Arial" w:hAnsi="Arial"/>
                <w:sz w:val="18"/>
                <w:szCs w:val="18"/>
                <w:color w:val="auto"/>
              </w:rPr>
              <w:t>Capital contributions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29,285</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29,285</w:t>
            </w:r>
          </w:p>
        </w:tc>
        <w:tc>
          <w:tcPr>
            <w:tcW w:w="0" w:type="dxa"/>
            <w:vAlign w:val="bottom"/>
          </w:tcPr>
          <w:p>
            <w:pPr>
              <w:spacing w:after="0"/>
              <w:rPr>
                <w:sz w:val="1"/>
                <w:szCs w:val="1"/>
                <w:color w:val="auto"/>
              </w:rPr>
            </w:pPr>
          </w:p>
        </w:tc>
      </w:tr>
      <w:tr>
        <w:trPr>
          <w:trHeight w:val="26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(115,000)</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September 30, 2017 (unaudited)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1,031,748</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 (13,539)</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1,018,209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Borders>
              <w:right w:val="single" w:sz="8" w:color="CCEEFF"/>
            </w:tcBorders>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1,040,911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(16,152)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77"/>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contributions</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(152,000)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(152,000)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2017</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right w:val="single" w:sz="8" w:color="CCEEFF"/>
            </w:tcBorders>
            <w:vMerge w:val="continue"/>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999,735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(13,267)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(3,064)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130,160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7"/>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contingent consideration</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150,495</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(139,350)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(139,350)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September 30, 2018</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right w:val="single" w:sz="8" w:color="CCEEFF"/>
            </w:tcBorders>
            <w:vMerge w:val="continue"/>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1,141,496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(16,331)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68884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-1045210</wp:posOffset>
            </wp:positionV>
            <wp:extent cx="468884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-1748155</wp:posOffset>
            </wp:positionV>
            <wp:extent cx="468884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468884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-5554345</wp:posOffset>
            </wp:positionV>
            <wp:extent cx="468884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-6223000</wp:posOffset>
            </wp:positionV>
            <wp:extent cx="1371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-6223000</wp:posOffset>
            </wp:positionV>
            <wp:extent cx="39344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nine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Cash flows from operating activities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line="175" w:lineRule="exact"/>
              <w:rPr>
                <w:sz w:val="20"/>
                <w:szCs w:val="20"/>
                <w:color w:val="auto"/>
              </w:rPr>
            </w:pPr>
            <w:r>
              <w:rPr>
                <w:rFonts w:ascii="Arial" w:cs="Arial" w:eastAsia="Arial" w:hAnsi="Arial"/>
                <w:sz w:val="16"/>
                <w:szCs w:val="16"/>
                <w:color w:val="auto"/>
              </w:rPr>
              <w:t>Net income</w:t>
            </w:r>
          </w:p>
        </w:tc>
        <w:tc>
          <w:tcPr>
            <w:tcW w:w="2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130,160</w:t>
            </w:r>
          </w:p>
        </w:tc>
        <w:tc>
          <w:tcPr>
            <w:tcW w:w="60" w:type="dxa"/>
            <w:vAlign w:val="bottom"/>
          </w:tcPr>
          <w:p>
            <w:pPr>
              <w:spacing w:after="0"/>
              <w:rPr>
                <w:sz w:val="15"/>
                <w:szCs w:val="15"/>
                <w:color w:val="auto"/>
              </w:rPr>
            </w:pP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76,541</w:t>
            </w:r>
          </w:p>
        </w:tc>
        <w:tc>
          <w:tcPr>
            <w:tcW w:w="60" w:type="dxa"/>
            <w:vAlign w:val="bottom"/>
          </w:tcPr>
          <w:p>
            <w:pPr>
              <w:spacing w:after="0"/>
              <w:rPr>
                <w:sz w:val="15"/>
                <w:szCs w:val="15"/>
                <w:color w:val="auto"/>
              </w:rPr>
            </w:pPr>
          </w:p>
        </w:tc>
        <w:tc>
          <w:tcPr>
            <w:tcW w:w="180" w:type="dxa"/>
            <w:vAlign w:val="bottom"/>
            <w:gridSpan w:val="2"/>
          </w:tcPr>
          <w:p>
            <w:pPr>
              <w:ind w:left="80"/>
              <w:spacing w:after="0" w:line="175" w:lineRule="exact"/>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83,648</w:t>
            </w:r>
          </w:p>
        </w:tc>
        <w:tc>
          <w:tcPr>
            <w:tcW w:w="60" w:type="dxa"/>
            <w:vAlign w:val="bottom"/>
          </w:tcPr>
          <w:p>
            <w:pPr>
              <w:spacing w:after="0"/>
              <w:rPr>
                <w:sz w:val="15"/>
                <w:szCs w:val="15"/>
                <w:color w:val="auto"/>
              </w:rPr>
            </w:pPr>
          </w:p>
        </w:tc>
        <w:tc>
          <w:tcPr>
            <w:tcW w:w="180" w:type="dxa"/>
            <w:vAlign w:val="bottom"/>
            <w:gridSpan w:val="2"/>
          </w:tcPr>
          <w:p>
            <w:pPr>
              <w:ind w:left="80"/>
              <w:spacing w:after="0" w:line="175" w:lineRule="exact"/>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93,161</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activities: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360"/>
              <w:spacing w:after="0" w:line="175" w:lineRule="exact"/>
              <w:rPr>
                <w:sz w:val="20"/>
                <w:szCs w:val="20"/>
                <w:color w:val="auto"/>
              </w:rPr>
            </w:pPr>
            <w:r>
              <w:rPr>
                <w:rFonts w:ascii="Arial" w:cs="Arial" w:eastAsia="Arial" w:hAnsi="Arial"/>
                <w:sz w:val="16"/>
                <w:szCs w:val="16"/>
                <w:color w:val="auto"/>
              </w:rPr>
              <w:t>Depreciation and amortization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48,808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52,645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68,615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80,859</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Contingent consideration</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26,830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29,535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58,520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26,224</w:t>
            </w:r>
          </w:p>
        </w:tc>
        <w:tc>
          <w:tcPr>
            <w:tcW w:w="0" w:type="dxa"/>
            <w:vAlign w:val="bottom"/>
          </w:tcPr>
          <w:p>
            <w:pPr>
              <w:spacing w:after="0"/>
              <w:rPr>
                <w:sz w:val="1"/>
                <w:szCs w:val="1"/>
                <w:color w:val="auto"/>
              </w:rPr>
            </w:pPr>
          </w:p>
        </w:tc>
      </w:tr>
      <w:tr>
        <w:trPr>
          <w:trHeight w:val="176"/>
        </w:trPr>
        <w:tc>
          <w:tcPr>
            <w:tcW w:w="4400" w:type="dxa"/>
            <w:vAlign w:val="bottom"/>
          </w:tcPr>
          <w:p>
            <w:pPr>
              <w:ind w:left="360"/>
              <w:spacing w:after="0" w:line="175" w:lineRule="exact"/>
              <w:rPr>
                <w:sz w:val="20"/>
                <w:szCs w:val="20"/>
                <w:color w:val="auto"/>
              </w:rPr>
            </w:pPr>
            <w:r>
              <w:rPr>
                <w:rFonts w:ascii="Arial" w:cs="Arial" w:eastAsia="Arial" w:hAnsi="Arial"/>
                <w:sz w:val="16"/>
                <w:szCs w:val="16"/>
                <w:color w:val="auto"/>
              </w:rPr>
              <w:t>Vesting of P-1(C) 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(5,728)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(Increase) decrease in operating assets: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540"/>
              <w:spacing w:after="0"/>
              <w:rPr>
                <w:sz w:val="20"/>
                <w:szCs w:val="20"/>
                <w:color w:val="auto"/>
              </w:rPr>
            </w:pPr>
            <w:r>
              <w:rPr>
                <w:rFonts w:ascii="Arial" w:cs="Arial" w:eastAsia="Arial" w:hAnsi="Arial"/>
                <w:sz w:val="16"/>
                <w:szCs w:val="16"/>
                <w:color w:val="auto"/>
              </w:rPr>
              <w:t>Receivable from brokers and dealers and clearing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tcPr>
          <w:p>
            <w:pPr>
              <w:ind w:left="720"/>
              <w:spacing w:after="0"/>
              <w:rPr>
                <w:sz w:val="20"/>
                <w:szCs w:val="20"/>
                <w:color w:val="auto"/>
              </w:rPr>
            </w:pPr>
            <w:r>
              <w:rPr>
                <w:rFonts w:ascii="Arial" w:cs="Arial" w:eastAsia="Arial" w:hAnsi="Arial"/>
                <w:sz w:val="16"/>
                <w:szCs w:val="16"/>
                <w:color w:val="auto"/>
              </w:rPr>
              <w:t>organizations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(39,937)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(4,324)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540"/>
              <w:spacing w:after="0" w:line="175" w:lineRule="exact"/>
              <w:rPr>
                <w:sz w:val="20"/>
                <w:szCs w:val="20"/>
                <w:color w:val="auto"/>
              </w:rPr>
            </w:pPr>
            <w:r>
              <w:rPr>
                <w:rFonts w:ascii="Arial" w:cs="Arial" w:eastAsia="Arial" w:hAnsi="Arial"/>
                <w:sz w:val="16"/>
                <w:szCs w:val="16"/>
                <w:color w:val="auto"/>
              </w:rPr>
              <w:t>Deposits with clearing organizations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726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(4,956)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606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175"/>
        </w:trPr>
        <w:tc>
          <w:tcPr>
            <w:tcW w:w="4400" w:type="dxa"/>
            <w:vAlign w:val="bottom"/>
          </w:tcPr>
          <w:p>
            <w:pPr>
              <w:ind w:left="540"/>
              <w:spacing w:after="0" w:line="175" w:lineRule="exact"/>
              <w:rPr>
                <w:sz w:val="20"/>
                <w:szCs w:val="20"/>
                <w:color w:val="auto"/>
              </w:rPr>
            </w:pPr>
            <w:r>
              <w:rPr>
                <w:rFonts w:ascii="Arial" w:cs="Arial" w:eastAsia="Arial" w:hAnsi="Arial"/>
                <w:sz w:val="16"/>
                <w:szCs w:val="16"/>
                <w:color w:val="auto"/>
              </w:rPr>
              <w:t>Accounts receivable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(28,434)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8,554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11,196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(18,683)</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540"/>
              <w:spacing w:after="0" w:line="175" w:lineRule="exact"/>
              <w:rPr>
                <w:sz w:val="20"/>
                <w:szCs w:val="20"/>
                <w:color w:val="auto"/>
              </w:rPr>
            </w:pPr>
            <w:r>
              <w:rPr>
                <w:rFonts w:ascii="Arial" w:cs="Arial" w:eastAsia="Arial" w:hAnsi="Arial"/>
                <w:sz w:val="16"/>
                <w:szCs w:val="16"/>
                <w:color w:val="auto"/>
              </w:rPr>
              <w:t>Receivable from affiliates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(2,534)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315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314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176"/>
        </w:trPr>
        <w:tc>
          <w:tcPr>
            <w:tcW w:w="4400" w:type="dxa"/>
            <w:vAlign w:val="bottom"/>
          </w:tcPr>
          <w:p>
            <w:pPr>
              <w:ind w:left="540"/>
              <w:spacing w:after="0" w:line="175" w:lineRule="exact"/>
              <w:rPr>
                <w:sz w:val="20"/>
                <w:szCs w:val="20"/>
                <w:color w:val="auto"/>
              </w:rPr>
            </w:pPr>
            <w:r>
              <w:rPr>
                <w:rFonts w:ascii="Arial" w:cs="Arial" w:eastAsia="Arial" w:hAnsi="Arial"/>
                <w:sz w:val="16"/>
                <w:szCs w:val="16"/>
                <w:color w:val="auto"/>
              </w:rPr>
              <w:t>Other assets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(3,769)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3,769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(11,692)</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Increase (decrease) in operating liabilities: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540"/>
              <w:spacing w:after="0"/>
              <w:rPr>
                <w:sz w:val="20"/>
                <w:szCs w:val="20"/>
                <w:color w:val="auto"/>
              </w:rPr>
            </w:pPr>
            <w:r>
              <w:rPr>
                <w:rFonts w:ascii="Arial" w:cs="Arial" w:eastAsia="Arial" w:hAnsi="Arial"/>
                <w:sz w:val="16"/>
                <w:szCs w:val="16"/>
                <w:color w:val="auto"/>
              </w:rPr>
              <w:t>Payable to brokers and dealers and clearing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tcPr>
          <w:p>
            <w:pPr>
              <w:ind w:left="720"/>
              <w:spacing w:after="0"/>
              <w:rPr>
                <w:sz w:val="20"/>
                <w:szCs w:val="20"/>
                <w:color w:val="auto"/>
              </w:rPr>
            </w:pPr>
            <w:r>
              <w:rPr>
                <w:rFonts w:ascii="Arial" w:cs="Arial" w:eastAsia="Arial" w:hAnsi="Arial"/>
                <w:sz w:val="16"/>
                <w:szCs w:val="16"/>
                <w:color w:val="auto"/>
              </w:rPr>
              <w:t>organizations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(4,322)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39,143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4,322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540"/>
              <w:spacing w:after="0" w:line="175" w:lineRule="exact"/>
              <w:rPr>
                <w:sz w:val="20"/>
                <w:szCs w:val="20"/>
                <w:color w:val="auto"/>
              </w:rPr>
            </w:pPr>
            <w:r>
              <w:rPr>
                <w:rFonts w:ascii="Arial" w:cs="Arial" w:eastAsia="Arial" w:hAnsi="Arial"/>
                <w:sz w:val="16"/>
                <w:szCs w:val="16"/>
                <w:color w:val="auto"/>
              </w:rPr>
              <w:t>Accrued compensation</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(7,568)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(10,344)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12,364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7,851</w:t>
            </w:r>
          </w:p>
        </w:tc>
        <w:tc>
          <w:tcPr>
            <w:tcW w:w="0" w:type="dxa"/>
            <w:vAlign w:val="bottom"/>
          </w:tcPr>
          <w:p>
            <w:pPr>
              <w:spacing w:after="0"/>
              <w:rPr>
                <w:sz w:val="1"/>
                <w:szCs w:val="1"/>
                <w:color w:val="auto"/>
              </w:rPr>
            </w:pPr>
          </w:p>
        </w:tc>
      </w:tr>
      <w:tr>
        <w:trPr>
          <w:trHeight w:val="175"/>
        </w:trPr>
        <w:tc>
          <w:tcPr>
            <w:tcW w:w="4400" w:type="dxa"/>
            <w:vAlign w:val="bottom"/>
          </w:tcPr>
          <w:p>
            <w:pPr>
              <w:ind w:left="540"/>
              <w:spacing w:after="0" w:line="175" w:lineRule="exact"/>
              <w:rPr>
                <w:sz w:val="20"/>
                <w:szCs w:val="20"/>
                <w:color w:val="auto"/>
              </w:rPr>
            </w:pPr>
            <w:r>
              <w:rPr>
                <w:rFonts w:ascii="Arial" w:cs="Arial" w:eastAsia="Arial" w:hAnsi="Arial"/>
                <w:sz w:val="16"/>
                <w:szCs w:val="16"/>
                <w:color w:val="auto"/>
              </w:rPr>
              <w:t>Deferred revenue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(1,396)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(7,307)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(12,555)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payable, accrued expenses and other</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liabilities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8,793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(8,341)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175"/>
        </w:trPr>
        <w:tc>
          <w:tcPr>
            <w:tcW w:w="4400" w:type="dxa"/>
            <w:vAlign w:val="bottom"/>
          </w:tcPr>
          <w:p>
            <w:pPr>
              <w:ind w:left="540"/>
              <w:spacing w:after="0" w:line="175" w:lineRule="exact"/>
              <w:rPr>
                <w:sz w:val="20"/>
                <w:szCs w:val="20"/>
                <w:color w:val="auto"/>
              </w:rPr>
            </w:pPr>
            <w:r>
              <w:rPr>
                <w:rFonts w:ascii="Arial" w:cs="Arial" w:eastAsia="Arial" w:hAnsi="Arial"/>
                <w:sz w:val="16"/>
                <w:szCs w:val="16"/>
                <w:color w:val="auto"/>
              </w:rPr>
              <w:t>Employee equity compensation payable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2,896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(5,663)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2,380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Payable to affiliates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bottom w:val="single" w:sz="8" w:color="CCEEFF"/>
            </w:tcBorders>
          </w:tcPr>
          <w:p>
            <w:pPr>
              <w:ind w:left="7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164,828</w:t>
            </w:r>
          </w:p>
        </w:tc>
        <w:tc>
          <w:tcPr>
            <w:tcW w:w="1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141,295</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224,580</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171,845</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80"/>
              <w:spacing w:after="0"/>
              <w:rPr>
                <w:sz w:val="20"/>
                <w:szCs w:val="20"/>
                <w:color w:val="auto"/>
              </w:rPr>
            </w:pPr>
            <w:r>
              <w:rPr>
                <w:rFonts w:ascii="Arial" w:cs="Arial" w:eastAsia="Arial" w:hAnsi="Arial"/>
                <w:sz w:val="16"/>
                <w:szCs w:val="16"/>
                <w:color w:val="auto"/>
              </w:rPr>
              <w:t>Purchase of furniture, equipment, software and leasehold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tcPr>
          <w:p>
            <w:pPr>
              <w:ind w:left="360"/>
              <w:spacing w:after="0"/>
              <w:rPr>
                <w:sz w:val="20"/>
                <w:szCs w:val="20"/>
                <w:color w:val="auto"/>
              </w:rPr>
            </w:pPr>
            <w:r>
              <w:rPr>
                <w:rFonts w:ascii="Arial" w:cs="Arial" w:eastAsia="Arial" w:hAnsi="Arial"/>
                <w:sz w:val="16"/>
                <w:szCs w:val="16"/>
                <w:color w:val="auto"/>
              </w:rPr>
              <w:t>improvements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(6,327)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(10,037)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(13,461)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(9,998)</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Capitalized software development costs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(19,523)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(20,042)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(27,157)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(25,351)</w:t>
            </w:r>
          </w:p>
        </w:tc>
        <w:tc>
          <w:tcPr>
            <w:tcW w:w="0" w:type="dxa"/>
            <w:vAlign w:val="bottom"/>
          </w:tcPr>
          <w:p>
            <w:pPr>
              <w:spacing w:after="0"/>
              <w:rPr>
                <w:sz w:val="1"/>
                <w:szCs w:val="1"/>
                <w:color w:val="auto"/>
              </w:rPr>
            </w:pPr>
          </w:p>
        </w:tc>
      </w:tr>
      <w:tr>
        <w:trPr>
          <w:trHeight w:val="175"/>
        </w:trPr>
        <w:tc>
          <w:tcPr>
            <w:tcW w:w="4400" w:type="dxa"/>
            <w:vAlign w:val="bottom"/>
          </w:tcPr>
          <w:p>
            <w:pPr>
              <w:ind w:left="180"/>
              <w:spacing w:after="0" w:line="175" w:lineRule="exact"/>
              <w:rPr>
                <w:sz w:val="20"/>
                <w:szCs w:val="20"/>
                <w:color w:val="auto"/>
              </w:rPr>
            </w:pPr>
            <w:r>
              <w:rPr>
                <w:rFonts w:ascii="Arial" w:cs="Arial" w:eastAsia="Arial" w:hAnsi="Arial"/>
                <w:sz w:val="16"/>
                <w:szCs w:val="16"/>
                <w:color w:val="auto"/>
              </w:rPr>
              <w:t>Business acquisitions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(15,216)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investments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bottom w:val="single" w:sz="8" w:color="CCEEFF"/>
            </w:tcBorders>
          </w:tcPr>
          <w:p>
            <w:pPr>
              <w:ind w:left="720"/>
              <w:spacing w:after="0" w:line="183" w:lineRule="exact"/>
              <w:rPr>
                <w:sz w:val="20"/>
                <w:szCs w:val="20"/>
                <w:color w:val="auto"/>
              </w:rPr>
            </w:pPr>
            <w:r>
              <w:rPr>
                <w:rFonts w:ascii="Arial" w:cs="Arial" w:eastAsia="Arial" w:hAnsi="Arial"/>
                <w:sz w:val="16"/>
                <w:szCs w:val="16"/>
                <w:color w:val="auto"/>
              </w:rPr>
              <w:t>Net cash used in investing activities</w:t>
            </w:r>
          </w:p>
        </w:tc>
        <w:tc>
          <w:tcPr>
            <w:tcW w:w="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(25,850)</w:t>
            </w:r>
          </w:p>
        </w:tc>
        <w:tc>
          <w:tcPr>
            <w:tcW w:w="1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(35,013)</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(45,552)</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(50,565)</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line="175" w:lineRule="exact"/>
              <w:rPr>
                <w:sz w:val="20"/>
                <w:szCs w:val="20"/>
                <w:color w:val="auto"/>
              </w:rPr>
            </w:pPr>
            <w:r>
              <w:rPr>
                <w:rFonts w:ascii="Arial" w:cs="Arial" w:eastAsia="Arial" w:hAnsi="Arial"/>
                <w:sz w:val="16"/>
                <w:szCs w:val="16"/>
                <w:color w:val="auto"/>
              </w:rPr>
              <w:t>Capital distributions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w w:val="93"/>
              </w:rPr>
              <w:t>(139,350)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3"/>
              </w:rPr>
              <w:t>(115,000)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3"/>
              </w:rPr>
              <w:t>(152,000)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3"/>
              </w:rPr>
              <w:t>(130,000)</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Mezzanine capital contributions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Mezzanine capital distributions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(139,350)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(116,461)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(153,461)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(130,521)</w:t>
            </w:r>
          </w:p>
        </w:tc>
        <w:tc>
          <w:tcPr>
            <w:tcW w:w="0" w:type="dxa"/>
            <w:vAlign w:val="bottom"/>
          </w:tcPr>
          <w:p>
            <w:pPr>
              <w:spacing w:after="0"/>
              <w:rPr>
                <w:sz w:val="1"/>
                <w:szCs w:val="1"/>
                <w:color w:val="auto"/>
              </w:rPr>
            </w:pPr>
          </w:p>
        </w:tc>
      </w:tr>
      <w:tr>
        <w:trPr>
          <w:trHeight w:val="200"/>
        </w:trPr>
        <w:tc>
          <w:tcPr>
            <w:tcW w:w="4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Effect of exchange rate changes on cash and cash</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00" w:type="dxa"/>
            <w:vAlign w:val="bottom"/>
          </w:tcPr>
          <w:p>
            <w:pPr>
              <w:ind w:left="900"/>
              <w:spacing w:after="0"/>
              <w:rPr>
                <w:sz w:val="20"/>
                <w:szCs w:val="20"/>
                <w:color w:val="auto"/>
              </w:rPr>
            </w:pPr>
            <w:r>
              <w:rPr>
                <w:rFonts w:ascii="Arial" w:cs="Arial" w:eastAsia="Arial" w:hAnsi="Arial"/>
                <w:sz w:val="16"/>
                <w:szCs w:val="16"/>
                <w:color w:val="auto"/>
              </w:rPr>
              <w:t>equivalents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(2,043)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2,754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3,157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(6,200)</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ind w:left="720"/>
              <w:spacing w:after="0"/>
              <w:rPr>
                <w:sz w:val="20"/>
                <w:szCs w:val="20"/>
                <w:color w:val="auto"/>
              </w:rPr>
            </w:pPr>
            <w:r>
              <w:rPr>
                <w:rFonts w:ascii="Arial" w:cs="Arial" w:eastAsia="Arial" w:hAnsi="Arial"/>
                <w:sz w:val="16"/>
                <w:szCs w:val="16"/>
                <w:color w:val="auto"/>
                <w:w w:val="96"/>
              </w:rPr>
              <w:t>Net increase (decrease) in cash and cash equivalents</w:t>
            </w: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(2,415)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(7,425)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28,724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(15,441)</w:t>
            </w:r>
          </w:p>
        </w:tc>
        <w:tc>
          <w:tcPr>
            <w:tcW w:w="0" w:type="dxa"/>
            <w:vAlign w:val="bottom"/>
          </w:tcPr>
          <w:p>
            <w:pPr>
              <w:spacing w:after="0"/>
              <w:rPr>
                <w:sz w:val="1"/>
                <w:szCs w:val="1"/>
                <w:color w:val="auto"/>
              </w:rPr>
            </w:pPr>
          </w:p>
        </w:tc>
      </w:tr>
      <w:tr>
        <w:trPr>
          <w:trHeight w:val="324"/>
        </w:trPr>
        <w:tc>
          <w:tcPr>
            <w:tcW w:w="440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353,798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325,074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325,074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340,515</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0" w:type="dxa"/>
            <w:vAlign w:val="bottom"/>
          </w:tcPr>
          <w:p>
            <w:pPr>
              <w:spacing w:after="0"/>
              <w:rPr>
                <w:sz w:val="20"/>
                <w:szCs w:val="20"/>
                <w:color w:val="auto"/>
              </w:rPr>
            </w:pPr>
            <w:r>
              <w:rPr>
                <w:rFonts w:ascii="Arial" w:cs="Arial" w:eastAsia="Arial" w:hAnsi="Arial"/>
                <w:sz w:val="16"/>
                <w:szCs w:val="16"/>
                <w:color w:val="auto"/>
              </w:rPr>
              <w:t>End of period</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351,383</w:t>
            </w:r>
          </w:p>
        </w:tc>
        <w:tc>
          <w:tcPr>
            <w:tcW w:w="6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317,649</w:t>
            </w:r>
          </w:p>
        </w:tc>
        <w:tc>
          <w:tcPr>
            <w:tcW w:w="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353,798</w:t>
            </w:r>
          </w:p>
        </w:tc>
        <w:tc>
          <w:tcPr>
            <w:tcW w:w="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325,074</w:t>
            </w:r>
          </w:p>
        </w:tc>
        <w:tc>
          <w:tcPr>
            <w:tcW w:w="0" w:type="dxa"/>
            <w:vAlign w:val="bottom"/>
          </w:tcPr>
          <w:p>
            <w:pPr>
              <w:spacing w:after="0"/>
              <w:rPr>
                <w:sz w:val="1"/>
                <w:szCs w:val="1"/>
                <w:color w:val="auto"/>
              </w:rPr>
            </w:pPr>
          </w:p>
        </w:tc>
      </w:tr>
      <w:tr>
        <w:trPr>
          <w:trHeight w:val="264"/>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Interest paid</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5,500</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4,207</w:t>
            </w: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6,312</w:t>
            </w: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6,735</w:t>
            </w:r>
          </w:p>
        </w:tc>
        <w:tc>
          <w:tcPr>
            <w:tcW w:w="0" w:type="dxa"/>
            <w:vAlign w:val="bottom"/>
          </w:tcPr>
          <w:p>
            <w:pPr>
              <w:spacing w:after="0"/>
              <w:rPr>
                <w:sz w:val="1"/>
                <w:szCs w:val="1"/>
                <w:color w:val="auto"/>
              </w:rPr>
            </w:pPr>
          </w:p>
        </w:tc>
      </w:tr>
      <w:tr>
        <w:trPr>
          <w:trHeight w:val="324"/>
        </w:trPr>
        <w:tc>
          <w:tcPr>
            <w:tcW w:w="4400" w:type="dxa"/>
            <w:vAlign w:val="bottom"/>
          </w:tcPr>
          <w:p>
            <w:pPr>
              <w:spacing w:after="0"/>
              <w:rPr>
                <w:sz w:val="20"/>
                <w:szCs w:val="20"/>
                <w:color w:val="auto"/>
              </w:rPr>
            </w:pPr>
            <w:r>
              <w:rPr>
                <w:rFonts w:ascii="Arial" w:cs="Arial" w:eastAsia="Arial" w:hAnsi="Arial"/>
                <w:sz w:val="16"/>
                <w:szCs w:val="16"/>
                <w:b w:val="1"/>
                <w:bCs w:val="1"/>
                <w:color w:val="auto"/>
              </w:rPr>
              <w:t>Non-cash financing activities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Vesting of contingent consideration to Class P-1(A) Shares</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150,495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6"/>
                <w:szCs w:val="16"/>
                <w:color w:val="auto"/>
                <w:w w:val="94"/>
              </w:rPr>
              <w:t>Conversion of convertible term note payable to Thomson Reuters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180"/>
              <w:spacing w:after="0"/>
              <w:rPr>
                <w:sz w:val="20"/>
                <w:szCs w:val="20"/>
                <w:color w:val="auto"/>
              </w:rPr>
            </w:pPr>
            <w:r>
              <w:rPr>
                <w:rFonts w:ascii="Arial" w:cs="Arial" w:eastAsia="Arial" w:hAnsi="Arial"/>
                <w:sz w:val="16"/>
                <w:szCs w:val="16"/>
                <w:color w:val="auto"/>
              </w:rPr>
              <w:t>to Class A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29,285</w:t>
            </w:r>
          </w:p>
        </w:tc>
        <w:tc>
          <w:tcPr>
            <w:tcW w:w="6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29,285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-1632585</wp:posOffset>
            </wp:positionV>
            <wp:extent cx="603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-1632585</wp:posOffset>
            </wp:positionV>
            <wp:extent cx="14541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-1632585</wp:posOffset>
            </wp:positionV>
            <wp:extent cx="15430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-1632585</wp:posOffset>
            </wp:positionV>
            <wp:extent cx="35058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-2035810</wp:posOffset>
            </wp:positionV>
            <wp:extent cx="6032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-2035810</wp:posOffset>
            </wp:positionV>
            <wp:extent cx="14541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-2035810</wp:posOffset>
            </wp:positionV>
            <wp:extent cx="15430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-2035810</wp:posOffset>
            </wp:positionV>
            <wp:extent cx="35058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50583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-2592705</wp:posOffset>
            </wp:positionV>
            <wp:extent cx="6032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-2592705</wp:posOffset>
            </wp:positionV>
            <wp:extent cx="14541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-2592705</wp:posOffset>
            </wp:positionV>
            <wp:extent cx="15430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-2592705</wp:posOffset>
            </wp:positionV>
            <wp:extent cx="350583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50583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-3518535</wp:posOffset>
            </wp:positionV>
            <wp:extent cx="60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-3518535</wp:posOffset>
            </wp:positionV>
            <wp:extent cx="14541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-3518535</wp:posOffset>
            </wp:positionV>
            <wp:extent cx="15430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-3518535</wp:posOffset>
            </wp:positionV>
            <wp:extent cx="35058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6"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Tradeweb Markets LLC (the “Company”), a Delaware limited liability company, is a consolidating subsidiary of Thomson Reuters Corporation (“TR”), with a minority interest owned by a group of investment and commercial banks (the “Banks”). The Company, through its subsidiary Tradeweb Global LLC (“TWG”), owns 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 Tradeweb Europe Limited (“TEL”), a Multilateral Trading Facility regulated by the Financial Conduct Authority (the “FCA”) in the UK, which maintains branches in Asia which are regulated by certain Asian securities regulators, TW SEF LLC (“TW SEF”), a Swap Execution Facility (“SEF”) regulated by the Commodities Futures Trading Commission (“CFTC”), DW SEF LLC (“DW SEF”), a SEF regulated by the CFTC and Tradeweb Japan K.K. (“TWJ”), a security house regulated by the Japanese Financial Services Agency (“JFSA”) and the Japan Securities Dealers Association (“JSDA”). The Company provides services that enable institutional market participants to view fixed income, fixed income derivative and equity derivative market data and trade fixed income securities, fixed income derivatives and equity derivatives through its regulated subsidiaries, TWL, TEL, TW SEF and TWJ.</w:t>
      </w:r>
    </w:p>
    <w:p>
      <w:pPr>
        <w:spacing w:after="0" w:line="7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the Financial Industry Regulatory Authority (“FINRA”). DW is also registered as an introducing broker with the CFTC and NFA. It operates as a brokers’ broker primarily in the purchase and sale of United States (“US”) government and government agency mortgage-backed securities, US Treasury bills, notes and bonds, repurchase agreements, collateralized mortgage obligations, exchange traded funds and municipal securities as both a voice broker and through an electronic trading platform.</w:t>
      </w:r>
    </w:p>
    <w:p>
      <w:pPr>
        <w:spacing w:after="0" w:line="84"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On October 7, 2011, the Company acquired the assets of the RaffCap business (“RaffCap”). RaffCap operates as a brokers’ broker dealing in the purchase and sale of United States (“US”) government mortgage-backed securities, US Treasury securities, collateralized mortgage obligations, corporate bonds and municipal securities as a voice broker and is included in the operations of DW. The acquisition was accounted for as a business combination and therefore the cost of the assets acquired and liabilities assumed by the Company, which consisted of intangible assets and goodwill, were accounted for at fair value.</w:t>
      </w:r>
    </w:p>
    <w:p>
      <w:pPr>
        <w:spacing w:after="0" w:line="56"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7"/>
          <w:szCs w:val="17"/>
          <w:color w:val="auto"/>
        </w:rPr>
        <w:t>On November 1, 2013, the Company acquired BondDesk Group LLC and subsidiaries (“BondDesk”). BondDesk provides services that enable retail customers to view and trade fixed income securities through its subsidiary Tradeweb Direct LLC (“TWD”) (formerly known as BondDesk Trading LLC), a registered broker-dealer under the Securities Exchange Act of 1934 and a member of FINRA.</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the financial statements and the reported amounts of revenues and expenses during the reporting period. Actual results could differ from those estimates.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Consolidation</w:t>
      </w:r>
    </w:p>
    <w:p>
      <w:pPr>
        <w:spacing w:after="0" w:line="10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generally less than three months.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Doubtful Accounts</w:t>
      </w:r>
    </w:p>
    <w:p>
      <w:pPr>
        <w:spacing w:after="0" w:line="94"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08"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Software Development Costs</w:t>
      </w:r>
    </w:p>
    <w:p>
      <w:pPr>
        <w:spacing w:after="0" w:line="108"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Once the product is placed in service, such costs are amortized on a straight-line basis over three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three to sixteen years.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jc w:val="both"/>
        <w:ind w:left="1260" w:right="699" w:firstLine="360"/>
        <w:spacing w:after="0" w:line="286" w:lineRule="auto"/>
        <w:rPr>
          <w:sz w:val="20"/>
          <w:szCs w:val="20"/>
          <w:color w:val="auto"/>
        </w:rPr>
      </w:pPr>
      <w:r>
        <w:rPr>
          <w:rFonts w:ascii="Arial" w:cs="Arial" w:eastAsia="Arial" w:hAnsi="Arial"/>
          <w:sz w:val="17"/>
          <w:szCs w:val="17"/>
          <w:color w:val="auto"/>
        </w:rPr>
        <w:t>Goodwill is the cost of acquired companies in excess of the fair value of identifiable net assets at acquisition date. Goodwill is not amortized, but in accordance with ASC 350, goodwill is tested for impairment annually and between annual tests whenever events or changes in circumstances indicate that</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Translation of Foreign Currency</w:t>
      </w:r>
    </w:p>
    <w:p>
      <w:pPr>
        <w:spacing w:after="0" w:line="108"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108"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 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60"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68" w:lineRule="exact"/>
        <w:rPr>
          <w:sz w:val="20"/>
          <w:szCs w:val="20"/>
          <w:color w:val="auto"/>
        </w:rPr>
      </w:pPr>
    </w:p>
    <w:p>
      <w:pPr>
        <w:jc w:val="both"/>
        <w:ind w:left="1260" w:right="1079" w:firstLine="360"/>
        <w:spacing w:after="0" w:line="311"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4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December 22, 2017, the President signed into law the Tax Cuts and Jobs Act (“TCJA”) effective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tax years ending after December 31, 2017. This legislation replaces the prior corporate tax rate structure with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flat 21% rate, effective in 2018. There were many other future impacts of the tax reform such as the repeal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alternative minimum tax rate, tax loss carryback and carryforward limitations. This legislation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126"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corporations end. The Company has elected to treat taxes due on future U.S. inclusions in taxable income under the GILTI provision as a current period expense when incurred. As a result of the complexities involved in accounting for the full effect of the TCJA, the SEC permits companies to record provisional amounts in the current year. The Company considers all amounts recorded as a result of the TCJA to be provisional and subject to revision. Any such revisions will be treated in accordance with the measurement period guidance allowing for a period of up to one year after the enactment date of the TCJA to finalize the recording of the related tax impacts.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The Company earns transaction fees from securities transactions. Transaction fee revenue is recorded on a trade-date basis.</w:t>
      </w:r>
    </w:p>
    <w:p>
      <w:pPr>
        <w:spacing w:after="0" w:line="62"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Company earns subscription fees from granting access to institutional investors. Subscription fees are recognized into income in the period that access is provided, generally on a monthly basis. Also included in subscription fees on the Consolidated Statements of Income are viewer fees earned monthly from institutional investors accessing fixed income market data. Fees received by the Company which are not yet earned are included in deferred revenue on the Consolidated Statements of Financial Condition until the revenue recognition criteria has been met.</w:t>
      </w:r>
    </w:p>
    <w:p>
      <w:pPr>
        <w:spacing w:after="0" w:line="84"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Securities transactions and related commission income are recorded on a trade-date basis, as if the transactions have settled.</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 earns fees from TR relating to the sale of market data to TR, which redistributes that data.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These fees are recognized in the period that the data is provided, generally on a monthly basis.</w:t>
      </w:r>
    </w:p>
    <w:p>
      <w:pPr>
        <w:spacing w:after="0" w:line="103"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On January 1, 2018, the Company adopted ASU 2014-09 using the modified retrospective approach. The adoption of ASU 2014-09 did not have a material impact on the measurement or recognition of revenue in any prior or current reporting periods.</w:t>
      </w:r>
    </w:p>
    <w:p>
      <w:pPr>
        <w:spacing w:after="0" w:line="76"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Fees earned by the Company have fixed fee components, such as monthly minimums or fixed monthly fees and variable components such as transaction based fees. The breakdown of revenues between fixed and variable revenues, in thousands, for the nine months ended September 30, 2018 and 2017 and the years ended December 31, 2017 and 2016 is as follows:</w:t>
      </w:r>
    </w:p>
    <w:p>
      <w:pPr>
        <w:spacing w:after="0" w:line="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jc w:val="center"/>
              <w:ind w:left="517"/>
              <w:spacing w:after="0"/>
              <w:rPr>
                <w:sz w:val="20"/>
                <w:szCs w:val="20"/>
                <w:color w:val="auto"/>
              </w:rPr>
            </w:pPr>
            <w:r>
              <w:rPr>
                <w:rFonts w:ascii="Arial" w:cs="Arial" w:eastAsia="Arial" w:hAnsi="Arial"/>
                <w:sz w:val="14"/>
                <w:szCs w:val="14"/>
                <w:b w:val="1"/>
                <w:bCs w:val="1"/>
                <w:color w:val="auto"/>
                <w:w w:val="92"/>
              </w:rPr>
              <w:t>Nine Months Ended September 30,</w:t>
            </w:r>
          </w:p>
        </w:tc>
        <w:tc>
          <w:tcPr>
            <w:tcW w:w="600" w:type="dxa"/>
            <w:vAlign w:val="bottom"/>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7"/>
                <w:szCs w:val="17"/>
                <w:color w:val="auto"/>
              </w:rPr>
            </w:pPr>
          </w:p>
        </w:tc>
      </w:tr>
      <w:tr>
        <w:trPr>
          <w:trHeight w:val="25"/>
        </w:trPr>
        <w:tc>
          <w:tcPr>
            <w:tcW w:w="4760" w:type="dxa"/>
            <w:vAlign w:val="bottom"/>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Variable</w:t>
            </w:r>
          </w:p>
        </w:tc>
        <w:tc>
          <w:tcPr>
            <w:tcW w:w="12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Fixed</w:t>
            </w:r>
          </w:p>
        </w:tc>
      </w:tr>
      <w:tr>
        <w:trPr>
          <w:trHeight w:val="25"/>
        </w:trPr>
        <w:tc>
          <w:tcPr>
            <w:tcW w:w="4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3"/>
        </w:trPr>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$208,049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$156,931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41,631</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Subscription and Thomson Reuters market data fees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142,676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144,687</w:t>
            </w:r>
          </w:p>
        </w:tc>
      </w:tr>
      <w:tr>
        <w:trPr>
          <w:trHeight w:val="25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49,367</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42,049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29,567</w:t>
            </w:r>
          </w:p>
        </w:tc>
      </w:tr>
      <w:tr>
        <w:trPr>
          <w:trHeight w:val="263"/>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8,169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3,477</w:t>
            </w:r>
          </w:p>
        </w:tc>
      </w:tr>
      <w:tr>
        <w:trPr>
          <w:trHeight w:val="20"/>
        </w:trPr>
        <w:tc>
          <w:tcPr>
            <w:tcW w:w="4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258,761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247,010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219,362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-196850</wp:posOffset>
            </wp:positionV>
            <wp:extent cx="14605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419163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-1088390</wp:posOffset>
            </wp:positionV>
            <wp:extent cx="1371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-1088390</wp:posOffset>
            </wp:positionV>
            <wp:extent cx="1371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-1088390</wp:posOffset>
            </wp:positionV>
            <wp:extent cx="1371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6"/>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7"/>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7"/>
                <w:szCs w:val="17"/>
                <w:color w:val="auto"/>
              </w:rPr>
            </w:pPr>
          </w:p>
        </w:tc>
      </w:tr>
      <w:tr>
        <w:trPr>
          <w:trHeight w:val="26"/>
        </w:trPr>
        <w:tc>
          <w:tcPr>
            <w:tcW w:w="4760" w:type="dxa"/>
            <w:vAlign w:val="bottom"/>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Variable</w:t>
            </w:r>
          </w:p>
        </w:tc>
        <w:tc>
          <w:tcPr>
            <w:tcW w:w="12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Fixed</w:t>
            </w:r>
          </w:p>
        </w:tc>
      </w:tr>
      <w:tr>
        <w:trPr>
          <w:trHeight w:val="26"/>
        </w:trPr>
        <w:tc>
          <w:tcPr>
            <w:tcW w:w="4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$210,198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56,822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$176,060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54,111</w:t>
            </w:r>
          </w:p>
        </w:tc>
      </w:tr>
      <w:tr>
        <w:trPr>
          <w:trHeight w:val="256"/>
        </w:trPr>
        <w:tc>
          <w:tcPr>
            <w:tcW w:w="4760" w:type="dxa"/>
            <w:vAlign w:val="bottom"/>
            <w:gridSpan w:val="2"/>
          </w:tcPr>
          <w:p>
            <w:pPr>
              <w:spacing w:after="0"/>
              <w:rPr>
                <w:sz w:val="20"/>
                <w:szCs w:val="20"/>
                <w:color w:val="auto"/>
              </w:rPr>
            </w:pPr>
            <w:r>
              <w:rPr>
                <w:rFonts w:ascii="Arial" w:cs="Arial" w:eastAsia="Arial" w:hAnsi="Arial"/>
                <w:sz w:val="18"/>
                <w:szCs w:val="18"/>
                <w:color w:val="auto"/>
              </w:rPr>
              <w:t>Subscription and Thomson Reuters market data fees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192,959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190,487</w:t>
            </w: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57,118</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54,194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37,469</w:t>
            </w:r>
          </w:p>
        </w:tc>
      </w:tr>
      <w:tr>
        <w:trPr>
          <w:trHeight w:val="263"/>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4,633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4,557</w:t>
            </w:r>
          </w:p>
        </w:tc>
      </w:tr>
      <w:tr>
        <w:trPr>
          <w:trHeight w:val="20"/>
        </w:trPr>
        <w:tc>
          <w:tcPr>
            <w:tcW w:w="4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294,041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286,624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-196850</wp:posOffset>
            </wp:positionV>
            <wp:extent cx="14605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41916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-985520</wp:posOffset>
            </wp:positionV>
            <wp:extent cx="1371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-985520</wp:posOffset>
            </wp:positionV>
            <wp:extent cx="137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-985520</wp:posOffset>
            </wp:positionV>
            <wp:extent cx="137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Based Compensation</w:t>
      </w:r>
    </w:p>
    <w:p>
      <w:pPr>
        <w:spacing w:after="0" w:line="81"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Company accounts for stock 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as liability awards. As a liability award, the cost of employee services received in exchange for an award of equity instruments is generally measured based on the grant-date fair value of the award. The fair value of that award is remeasured subsequently at each reporting date through to settlement. Changes in the equity instrument’s fair value during the requisite service period are recognized as compensation cost over that period.</w:t>
      </w:r>
    </w:p>
    <w:p>
      <w:pPr>
        <w:spacing w:after="0" w:line="45" w:lineRule="exact"/>
        <w:rPr>
          <w:sz w:val="20"/>
          <w:szCs w:val="20"/>
          <w:color w:val="auto"/>
        </w:rPr>
      </w:pPr>
    </w:p>
    <w:p>
      <w:pPr>
        <w:ind w:left="1260" w:right="999" w:firstLine="360"/>
        <w:spacing w:after="0" w:line="311" w:lineRule="auto"/>
        <w:rPr>
          <w:sz w:val="20"/>
          <w:szCs w:val="20"/>
          <w:color w:val="auto"/>
        </w:rPr>
      </w:pPr>
      <w:r>
        <w:rPr>
          <w:rFonts w:ascii="Arial" w:cs="Arial" w:eastAsia="Arial" w:hAnsi="Arial"/>
          <w:sz w:val="16"/>
          <w:szCs w:val="16"/>
          <w:color w:val="auto"/>
        </w:rPr>
        <w:t>Under ASC 718, share-based awards that do not require future service (i.e., vested awards) are expensed immediately. Share-based employee awards that require future service, and are graded-vesting awards, are amortized over the relevant service period on a straight-line basis, with each tranche separately measured.</w:t>
      </w:r>
    </w:p>
    <w:p>
      <w:pPr>
        <w:spacing w:after="0" w:line="27"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6"/>
          <w:szCs w:val="16"/>
          <w:color w:val="auto"/>
        </w:rPr>
        <w:t>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Earnings Per Share</w:t>
      </w:r>
    </w:p>
    <w:p>
      <w:pPr>
        <w:spacing w:after="0" w:line="6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the convertible term note payable or contingent consideration payable were converted into the Company’s shares.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8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53"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Fair Value Measurement</w:t>
      </w:r>
    </w:p>
    <w:p>
      <w:pPr>
        <w:spacing w:after="0" w:line="94" w:lineRule="exact"/>
        <w:rPr>
          <w:sz w:val="20"/>
          <w:szCs w:val="20"/>
          <w:color w:val="auto"/>
        </w:rPr>
      </w:pPr>
    </w:p>
    <w:p>
      <w:pPr>
        <w:ind w:left="2280" w:right="1359" w:hanging="647"/>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76" w:lineRule="exact"/>
        <w:rPr>
          <w:sz w:val="20"/>
          <w:szCs w:val="20"/>
          <w:color w:val="auto"/>
        </w:rPr>
      </w:pPr>
    </w:p>
    <w:p>
      <w:pPr>
        <w:ind w:left="2280" w:right="779" w:hanging="647"/>
        <w:spacing w:after="0" w:line="277"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76" w:lineRule="exact"/>
        <w:rPr>
          <w:sz w:val="20"/>
          <w:szCs w:val="20"/>
          <w:color w:val="auto"/>
        </w:rPr>
      </w:pPr>
    </w:p>
    <w:p>
      <w:pPr>
        <w:ind w:left="2280" w:right="859" w:hanging="647"/>
        <w:spacing w:after="0" w:line="277" w:lineRule="auto"/>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6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The lease term will be required to be reassessed when the lessee elects to exercise or not exercise an option during the lease term. ASU2016-02 will be effective for the Company in the fiscal year beginning January 1, 2019. The new standard must be adopted using a modified retrospective transition. The Company is currently evaluating the impact of adopting this ASU on the Company’s financial statements.</w:t>
      </w:r>
    </w:p>
    <w:p>
      <w:pPr>
        <w:spacing w:after="0" w:line="7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will be effective for the Company in the fiscal year beginning January 1, 2019. The Company is currently evaluating the impact of adopting this ASU on the Company’s financial statements.</w:t>
      </w:r>
    </w:p>
    <w:p>
      <w:pPr>
        <w:spacing w:after="0" w:line="80"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6"/>
          <w:szCs w:val="16"/>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doesn’t anticipate the adoption of this ASU to have a material impact on the Company’s financial statements.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Restricted Cash</w:t>
      </w:r>
    </w:p>
    <w:p>
      <w:pPr>
        <w:spacing w:after="0" w:line="108"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September 30, 2018, September 30, 2017, December 31, 2017 and December 31, 2016, cash in the amount of $1,200,000, $1,200,000, $1,200,000 and $1,000,000, respectively, has been segregated in the PAB reserve account exceeding the requirements pursuant to SEC Rule 15c3-3.</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Receivable from and Payable to Brokers and Dealers and Clearing Organizations</w:t>
      </w:r>
    </w:p>
    <w:p>
      <w:pPr>
        <w:spacing w:after="0" w:line="10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Balances receivable from and payable to brokers and dealers and clearing organizations resulting from the Company’s normal securities transactions are generally collateralized by those securities.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Deposits with Clearing Organizations</w:t>
      </w:r>
    </w:p>
    <w:p>
      <w:pPr>
        <w:spacing w:after="0" w:line="10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Furniture, Equipment, Purchased Software and Leasehold Improvements</w:t>
      </w:r>
    </w:p>
    <w:p>
      <w:pPr>
        <w:spacing w:after="0" w:line="108" w:lineRule="exact"/>
        <w:rPr>
          <w:sz w:val="20"/>
          <w:szCs w:val="20"/>
          <w:color w:val="auto"/>
        </w:rPr>
      </w:pPr>
    </w:p>
    <w:p>
      <w:pPr>
        <w:ind w:left="1260" w:right="1499" w:firstLine="360"/>
        <w:spacing w:after="0" w:line="308" w:lineRule="auto"/>
        <w:rPr>
          <w:sz w:val="20"/>
          <w:szCs w:val="20"/>
          <w:color w:val="auto"/>
        </w:rPr>
      </w:pPr>
      <w:r>
        <w:rPr>
          <w:rFonts w:ascii="Arial" w:cs="Arial" w:eastAsia="Arial" w:hAnsi="Arial"/>
          <w:sz w:val="17"/>
          <w:szCs w:val="17"/>
          <w:color w:val="auto"/>
        </w:rPr>
        <w:t>The components of furniture, equipment, purchased software and leasehold improvements, net of accumulated depreciation and amortization are as follows (in thousands):</w:t>
      </w:r>
    </w:p>
    <w:p>
      <w:pPr>
        <w:spacing w:after="0" w:line="4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9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As of September 30,</w:t>
            </w:r>
          </w:p>
        </w:tc>
        <w:tc>
          <w:tcPr>
            <w:tcW w:w="168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4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640" w:type="dxa"/>
            <w:vAlign w:val="bottom"/>
          </w:tcPr>
          <w:p>
            <w:pPr>
              <w:spacing w:after="0"/>
              <w:rPr>
                <w:sz w:val="17"/>
                <w:szCs w:val="17"/>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6"/>
        </w:trPr>
        <w:tc>
          <w:tcPr>
            <w:tcW w:w="4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$ 72,123</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$ 65,054</w:t>
            </w:r>
          </w:p>
        </w:tc>
        <w:tc>
          <w:tcPr>
            <w:tcW w:w="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$ 67,852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$ 55,899</w:t>
            </w:r>
          </w:p>
        </w:tc>
        <w:tc>
          <w:tcPr>
            <w:tcW w:w="60" w:type="dxa"/>
            <w:vAlign w:val="bottom"/>
          </w:tcPr>
          <w:p>
            <w:pPr>
              <w:spacing w:after="0"/>
              <w:rPr>
                <w:sz w:val="22"/>
                <w:szCs w:val="22"/>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27,115</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26,500</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27,139</w:t>
            </w:r>
          </w:p>
        </w:tc>
        <w:tc>
          <w:tcPr>
            <w:tcW w:w="680" w:type="dxa"/>
            <w:vAlign w:val="bottom"/>
          </w:tcPr>
          <w:p>
            <w:pPr>
              <w:jc w:val="right"/>
              <w:spacing w:after="0"/>
              <w:rPr>
                <w:sz w:val="20"/>
                <w:szCs w:val="20"/>
                <w:color w:val="auto"/>
              </w:rPr>
            </w:pPr>
            <w:r>
              <w:rPr>
                <w:rFonts w:ascii="Arial" w:cs="Arial" w:eastAsia="Arial" w:hAnsi="Arial"/>
                <w:sz w:val="18"/>
                <w:szCs w:val="18"/>
                <w:color w:val="auto"/>
              </w:rPr>
              <w:t>26,222</w:t>
            </w:r>
          </w:p>
        </w:tc>
        <w:tc>
          <w:tcPr>
            <w:tcW w:w="60" w:type="dxa"/>
            <w:vAlign w:val="bottom"/>
          </w:tcPr>
          <w:p>
            <w:pPr>
              <w:spacing w:after="0"/>
              <w:rPr>
                <w:sz w:val="22"/>
                <w:szCs w:val="22"/>
                <w:color w:val="auto"/>
              </w:rPr>
            </w:pPr>
          </w:p>
        </w:tc>
      </w:tr>
      <w:tr>
        <w:trPr>
          <w:trHeight w:val="25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13,786</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13,193</w:t>
            </w:r>
          </w:p>
        </w:tc>
        <w:tc>
          <w:tcPr>
            <w:tcW w:w="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60" w:type="dxa"/>
            <w:vAlign w:val="bottom"/>
          </w:tcPr>
          <w:p>
            <w:pPr>
              <w:spacing w:after="0"/>
              <w:rPr>
                <w:sz w:val="22"/>
                <w:szCs w:val="22"/>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6,097</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6,297</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6,350</w:t>
            </w:r>
          </w:p>
        </w:tc>
        <w:tc>
          <w:tcPr>
            <w:tcW w:w="680" w:type="dxa"/>
            <w:vAlign w:val="bottom"/>
          </w:tcPr>
          <w:p>
            <w:pPr>
              <w:jc w:val="right"/>
              <w:spacing w:after="0"/>
              <w:rPr>
                <w:sz w:val="20"/>
                <w:szCs w:val="20"/>
                <w:color w:val="auto"/>
              </w:rPr>
            </w:pPr>
            <w:r>
              <w:rPr>
                <w:rFonts w:ascii="Arial" w:cs="Arial" w:eastAsia="Arial" w:hAnsi="Arial"/>
                <w:sz w:val="18"/>
                <w:szCs w:val="18"/>
                <w:color w:val="auto"/>
              </w:rPr>
              <w:t>5,960</w:t>
            </w:r>
          </w:p>
        </w:tc>
        <w:tc>
          <w:tcPr>
            <w:tcW w:w="60" w:type="dxa"/>
            <w:vAlign w:val="bottom"/>
          </w:tcPr>
          <w:p>
            <w:pPr>
              <w:spacing w:after="0"/>
              <w:rPr>
                <w:sz w:val="22"/>
                <w:szCs w:val="22"/>
                <w:color w:val="auto"/>
              </w:rPr>
            </w:pPr>
          </w:p>
        </w:tc>
      </w:tr>
      <w:tr>
        <w:trPr>
          <w:trHeight w:val="263"/>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(95,257)</w:t>
            </w: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(84,570)</w:t>
            </w: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(75,342)</w:t>
            </w:r>
          </w:p>
        </w:tc>
        <w:tc>
          <w:tcPr>
            <w:tcW w:w="60" w:type="dxa"/>
            <w:vAlign w:val="bottom"/>
          </w:tcPr>
          <w:p>
            <w:pPr>
              <w:spacing w:after="0"/>
              <w:rPr>
                <w:sz w:val="22"/>
                <w:szCs w:val="22"/>
                <w:color w:val="auto"/>
              </w:rPr>
            </w:pPr>
          </w:p>
        </w:tc>
      </w:tr>
      <w:tr>
        <w:trPr>
          <w:trHeight w:val="229"/>
        </w:trPr>
        <w:tc>
          <w:tcPr>
            <w:tcW w:w="4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Furniture, equipment, purchased software and leasehold</w:t>
            </w: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improvements, net of accumulated depreciation and</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$ 23,864</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$ 26,474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$ 27,031</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$ 24,829</w:t>
            </w:r>
          </w:p>
        </w:tc>
        <w:tc>
          <w:tcPr>
            <w:tcW w:w="6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For the nine months ended September 30, 2018 and 2017 and the years ended December 31, 2017 and 2016, depreciation and amortization expense related to these assets was $9,270,000, $9,065,000, $11,959,000 and $12,910,000 respectively.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Software Development Cost</w:t>
      </w:r>
    </w:p>
    <w:p>
      <w:pPr>
        <w:spacing w:after="0" w:line="108"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6"/>
                <w:szCs w:val="16"/>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4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4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237,904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211,266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218,382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191,225</w:t>
            </w:r>
          </w:p>
        </w:tc>
        <w:tc>
          <w:tcPr>
            <w:tcW w:w="60" w:type="dxa"/>
            <w:vAlign w:val="bottom"/>
          </w:tcPr>
          <w:p>
            <w:pPr>
              <w:spacing w:after="0"/>
              <w:rPr>
                <w:sz w:val="22"/>
                <w:szCs w:val="22"/>
                <w:color w:val="auto"/>
              </w:rPr>
            </w:pPr>
          </w:p>
        </w:tc>
      </w:tr>
      <w:tr>
        <w:trPr>
          <w:trHeight w:val="263"/>
        </w:trPr>
        <w:tc>
          <w:tcPr>
            <w:tcW w:w="45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(197,163)</w:t>
            </w: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(170,691)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(177,201)</w:t>
            </w: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(151,781)</w:t>
            </w:r>
          </w:p>
        </w:tc>
      </w:tr>
      <w:tr>
        <w:trPr>
          <w:trHeight w:val="229"/>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w:t>
            </w: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40,741</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39,444</w:t>
            </w:r>
          </w:p>
        </w:tc>
        <w:tc>
          <w:tcPr>
            <w:tcW w:w="60" w:type="dxa"/>
            <w:vAlign w:val="bottom"/>
          </w:tcPr>
          <w:p>
            <w:pPr>
              <w:spacing w:after="0"/>
              <w:rPr>
                <w:sz w:val="22"/>
                <w:szCs w:val="22"/>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-342265</wp:posOffset>
            </wp:positionV>
            <wp:extent cx="14605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-342265</wp:posOffset>
            </wp:positionV>
            <wp:extent cx="14541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-342265</wp:posOffset>
            </wp:positionV>
            <wp:extent cx="3505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49"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For the nine months ended September 30, 2018 and 2017 and the years ended December 31, 2017 and 2016, software development costs totaling $19,523,000, $20,042,000, $27,157,000 and $25,351,000, respectively, were capitalized. In addition, in 2016, software development costs of $3,600,000 were acquired together with a business. Non-capitalized software costs and routine maintenance costs are expensed as incurred and are included in employee compensation and benefits and professional fees on the Consolidated Statements of Income. For the nine months ended September 30, 2018 and 2017, and the years ended December 31, 2017 and 2016, amortization expense related to these assets was $19,962,000, $18,910,000, $25,420,000 and $26,824,000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Intangible Assets and Goodwill</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September 30,</w:t>
            </w:r>
          </w:p>
        </w:tc>
        <w:tc>
          <w:tcPr>
            <w:tcW w:w="162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8"/>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r>
      <w:tr>
        <w:trPr>
          <w:trHeight w:val="26"/>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3"/>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 Acquisition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$334,185</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$ 334,185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$334,185</w:t>
            </w: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$334,185</w:t>
            </w: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Merger</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66,484</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66,484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66,484</w:t>
            </w:r>
          </w:p>
        </w:tc>
        <w:tc>
          <w:tcPr>
            <w:tcW w:w="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66,484</w:t>
            </w:r>
          </w:p>
        </w:tc>
      </w:tr>
      <w:tr>
        <w:trPr>
          <w:trHeight w:val="257"/>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RaffCap Business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49,200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49,200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49,200</w:t>
            </w: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BondDesk</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103,158</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103,158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103,158</w:t>
            </w:r>
          </w:p>
        </w:tc>
        <w:tc>
          <w:tcPr>
            <w:tcW w:w="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103,158</w:t>
            </w:r>
          </w:p>
        </w:tc>
      </w:tr>
      <w:tr>
        <w:trPr>
          <w:trHeight w:val="263"/>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r>
      <w:tr>
        <w:trPr>
          <w:trHeight w:val="257"/>
        </w:trPr>
        <w:tc>
          <w:tcPr>
            <w:tcW w:w="4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563,421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$ 563,421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563,421</w:t>
            </w:r>
          </w:p>
        </w:tc>
        <w:tc>
          <w:tcPr>
            <w:tcW w:w="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563,487</w:t>
            </w:r>
          </w:p>
        </w:tc>
      </w:tr>
      <w:tr>
        <w:trPr>
          <w:trHeight w:val="20"/>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Intangible assets for in-place licenses, which have an indefinite useful life, are $12,000,000 at September 30, 2018, September 30, 2017, December 31, 2017 and December 31, 2016.</w:t>
      </w:r>
    </w:p>
    <w:p>
      <w:pPr>
        <w:spacing w:after="0" w:line="62" w:lineRule="exact"/>
        <w:rPr>
          <w:sz w:val="20"/>
          <w:szCs w:val="20"/>
          <w:color w:val="auto"/>
        </w:rPr>
      </w:pPr>
    </w:p>
    <w:p>
      <w:pPr>
        <w:ind w:left="1260" w:right="1159" w:firstLine="360"/>
        <w:spacing w:after="0" w:line="342" w:lineRule="auto"/>
        <w:rPr>
          <w:sz w:val="20"/>
          <w:szCs w:val="20"/>
          <w:color w:val="auto"/>
        </w:rPr>
      </w:pPr>
      <w:r>
        <w:rPr>
          <w:rFonts w:ascii="Arial" w:cs="Arial" w:eastAsia="Arial" w:hAnsi="Arial"/>
          <w:sz w:val="16"/>
          <w:szCs w:val="16"/>
          <w:color w:val="auto"/>
        </w:rPr>
        <w:t>Intangible assets that are subject to amortization, including the related accumulated amortization, are comprised as follows as of September 30, 2018 and 2017 and December 31, 2017 and 2016 (in thousands):</w:t>
      </w:r>
    </w:p>
    <w:p>
      <w:pPr>
        <w:spacing w:after="0" w:line="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8"/>
              </w:rPr>
              <w:t>As of September 30,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8"/>
        </w:trPr>
        <w:tc>
          <w:tcPr>
            <w:tcW w:w="2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
        </w:trPr>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r>
      <w:tr>
        <w:trPr>
          <w:trHeight w:val="173"/>
        </w:trPr>
        <w:tc>
          <w:tcPr>
            <w:tcW w:w="2300" w:type="dxa"/>
            <w:vAlign w:val="bottom"/>
          </w:tcPr>
          <w:p>
            <w:pPr>
              <w:spacing w:after="0"/>
              <w:rPr>
                <w:sz w:val="15"/>
                <w:szCs w:val="15"/>
                <w:color w:val="auto"/>
              </w:rPr>
            </w:pPr>
          </w:p>
        </w:tc>
        <w:tc>
          <w:tcPr>
            <w:tcW w:w="92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Amortization</w:t>
            </w:r>
          </w:p>
        </w:tc>
        <w:tc>
          <w:tcPr>
            <w:tcW w:w="7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Net Carrying</w:t>
            </w:r>
          </w:p>
        </w:tc>
        <w:tc>
          <w:tcPr>
            <w:tcW w:w="72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7"/>
              </w:rPr>
              <w:t>Net Carrying</w:t>
            </w:r>
          </w:p>
        </w:tc>
      </w:tr>
      <w:tr>
        <w:trPr>
          <w:trHeight w:val="186"/>
        </w:trPr>
        <w:tc>
          <w:tcPr>
            <w:tcW w:w="23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r>
      <w:tr>
        <w:trPr>
          <w:trHeight w:val="25"/>
        </w:trPr>
        <w:tc>
          <w:tcPr>
            <w:tcW w:w="2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3"/>
        </w:trPr>
        <w:tc>
          <w:tcPr>
            <w:tcW w:w="2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Fixed</w:t>
            </w:r>
          </w:p>
        </w:tc>
        <w:tc>
          <w:tcPr>
            <w:tcW w:w="92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29"/>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Business</w:t>
            </w:r>
          </w:p>
        </w:tc>
        <w:tc>
          <w:tcPr>
            <w:tcW w:w="9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13 Years</w:t>
            </w:r>
          </w:p>
        </w:tc>
        <w:tc>
          <w:tcPr>
            <w:tcW w:w="74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$155,284</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 (155,284)</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$155,284</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 (155,270)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3"/>
        </w:trPr>
        <w:tc>
          <w:tcPr>
            <w:tcW w:w="2300" w:type="dxa"/>
            <w:vAlign w:val="bottom"/>
          </w:tcPr>
          <w:p>
            <w:pPr>
              <w:spacing w:after="0"/>
              <w:rPr>
                <w:sz w:val="20"/>
                <w:szCs w:val="20"/>
                <w:color w:val="auto"/>
              </w:rPr>
            </w:pPr>
            <w:r>
              <w:rPr>
                <w:rFonts w:ascii="Arial" w:cs="Arial" w:eastAsia="Arial" w:hAnsi="Arial"/>
                <w:sz w:val="16"/>
                <w:szCs w:val="16"/>
                <w:color w:val="auto"/>
              </w:rPr>
              <w:t>Customer relationships – DW</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11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65,000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(46,780)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18,220</w:t>
            </w:r>
          </w:p>
        </w:tc>
        <w:tc>
          <w:tcPr>
            <w:tcW w:w="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65,000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(40,871)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24,129</w:t>
            </w:r>
          </w:p>
        </w:tc>
        <w:tc>
          <w:tcPr>
            <w:tcW w:w="120" w:type="dxa"/>
            <w:vAlign w:val="bottom"/>
          </w:tcPr>
          <w:p>
            <w:pPr>
              <w:spacing w:after="0"/>
              <w:rPr>
                <w:sz w:val="20"/>
                <w:szCs w:val="20"/>
                <w:color w:val="auto"/>
              </w:rPr>
            </w:pPr>
          </w:p>
        </w:tc>
      </w:tr>
      <w:tr>
        <w:trPr>
          <w:trHeight w:val="247"/>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w:t>
            </w:r>
          </w:p>
        </w:tc>
        <w:tc>
          <w:tcPr>
            <w:tcW w:w="92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29"/>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RaffCap</w:t>
            </w:r>
          </w:p>
        </w:tc>
        <w:tc>
          <w:tcPr>
            <w:tcW w:w="9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12 Years</w:t>
            </w:r>
          </w:p>
        </w:tc>
        <w:tc>
          <w:tcPr>
            <w:tcW w:w="74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17,600</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(10,267)</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7,333</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17,600</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6"/>
                <w:szCs w:val="16"/>
                <w:color w:val="auto"/>
              </w:rPr>
              <w:t>Customer relationships –</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6"/>
                <w:szCs w:val="16"/>
                <w:color w:val="auto"/>
              </w:rPr>
              <w:t>BondDesk</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15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104,000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(34,006)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69,994</w:t>
            </w:r>
          </w:p>
        </w:tc>
        <w:tc>
          <w:tcPr>
            <w:tcW w:w="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104,000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(27,072)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76,928</w:t>
            </w:r>
          </w:p>
        </w:tc>
        <w:tc>
          <w:tcPr>
            <w:tcW w:w="12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Other</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 Years</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1,553</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120" w:type="dxa"/>
            <w:vAlign w:val="bottom"/>
            <w:shd w:val="clear" w:color="auto" w:fill="CCEEFF"/>
          </w:tcPr>
          <w:p>
            <w:pPr>
              <w:spacing w:after="0"/>
              <w:rPr>
                <w:sz w:val="21"/>
                <w:szCs w:val="21"/>
                <w:color w:val="auto"/>
              </w:rPr>
            </w:pPr>
          </w:p>
        </w:tc>
      </w:tr>
      <w:tr>
        <w:trPr>
          <w:trHeight w:val="247"/>
        </w:trPr>
        <w:tc>
          <w:tcPr>
            <w:tcW w:w="2300" w:type="dxa"/>
            <w:vAlign w:val="bottom"/>
          </w:tcPr>
          <w:p>
            <w:pPr>
              <w:spacing w:after="0"/>
              <w:rPr>
                <w:sz w:val="20"/>
                <w:szCs w:val="20"/>
                <w:color w:val="auto"/>
              </w:rPr>
            </w:pPr>
            <w:r>
              <w:rPr>
                <w:rFonts w:ascii="Arial" w:cs="Arial" w:eastAsia="Arial" w:hAnsi="Arial"/>
                <w:sz w:val="16"/>
                <w:szCs w:val="16"/>
                <w:color w:val="auto"/>
              </w:rPr>
              <w:t>Tradenames</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10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1"/>
                <w:szCs w:val="21"/>
                <w:color w:val="auto"/>
              </w:rPr>
            </w:pPr>
          </w:p>
        </w:tc>
      </w:tr>
      <w:tr>
        <w:trPr>
          <w:trHeight w:val="270"/>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Liquidity contracts</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16 Years</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(91,536)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93,464</w:t>
            </w:r>
          </w:p>
        </w:tc>
        <w:tc>
          <w:tcPr>
            <w:tcW w:w="60" w:type="dxa"/>
            <w:vAlign w:val="bottom"/>
            <w:tcBorders>
              <w:right w:val="single" w:sz="8" w:color="CCEEFF"/>
            </w:tcBorders>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(79,974)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105,026</w:t>
            </w:r>
          </w:p>
        </w:tc>
        <w:tc>
          <w:tcPr>
            <w:tcW w:w="120" w:type="dxa"/>
            <w:vAlign w:val="bottom"/>
            <w:shd w:val="clear" w:color="auto" w:fill="CCEEFF"/>
          </w:tcPr>
          <w:p>
            <w:pPr>
              <w:spacing w:after="0"/>
              <w:rPr>
                <w:sz w:val="23"/>
                <w:szCs w:val="23"/>
                <w:color w:val="auto"/>
              </w:rPr>
            </w:pPr>
          </w:p>
        </w:tc>
      </w:tr>
      <w:tr>
        <w:trPr>
          <w:trHeight w:val="23"/>
        </w:trPr>
        <w:tc>
          <w:tcPr>
            <w:tcW w:w="230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53"/>
        </w:trPr>
        <w:tc>
          <w:tcPr>
            <w:tcW w:w="2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529,184</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 (338,560)</w:t>
            </w:r>
          </w:p>
        </w:tc>
        <w:tc>
          <w:tcPr>
            <w:tcW w:w="4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190,624</w:t>
            </w:r>
          </w:p>
        </w:tc>
        <w:tc>
          <w:tcPr>
            <w:tcW w:w="6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529,184</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 (312,444)</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216,740</w:t>
            </w:r>
          </w:p>
        </w:tc>
        <w:tc>
          <w:tcPr>
            <w:tcW w:w="120" w:type="dxa"/>
            <w:vAlign w:val="bottom"/>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7"/>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r>
      <w:tr>
        <w:trPr>
          <w:trHeight w:val="173"/>
        </w:trPr>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Amortization</w:t>
            </w:r>
          </w:p>
        </w:tc>
        <w:tc>
          <w:tcPr>
            <w:tcW w:w="7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Net Carrying</w:t>
            </w:r>
          </w:p>
        </w:tc>
        <w:tc>
          <w:tcPr>
            <w:tcW w:w="7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7"/>
              </w:rPr>
              <w:t>Net Carrying</w:t>
            </w:r>
          </w:p>
        </w:tc>
      </w:tr>
      <w:tr>
        <w:trPr>
          <w:trHeight w:val="186"/>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r>
      <w:tr>
        <w:trPr>
          <w:trHeight w:val="26"/>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17"/>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Fixed</w:t>
            </w:r>
          </w:p>
        </w:tc>
        <w:tc>
          <w:tcPr>
            <w:tcW w:w="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Business</w:t>
            </w: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13 Years</w:t>
            </w:r>
          </w:p>
        </w:tc>
        <w:tc>
          <w:tcPr>
            <w:tcW w:w="74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$155,284</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 (155,270)</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$155,217</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 (150,147)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3"/>
        </w:trPr>
        <w:tc>
          <w:tcPr>
            <w:tcW w:w="2240" w:type="dxa"/>
            <w:vAlign w:val="bottom"/>
          </w:tcPr>
          <w:p>
            <w:pPr>
              <w:spacing w:after="0"/>
              <w:rPr>
                <w:sz w:val="20"/>
                <w:szCs w:val="20"/>
                <w:color w:val="auto"/>
              </w:rPr>
            </w:pPr>
            <w:r>
              <w:rPr>
                <w:rFonts w:ascii="Arial" w:cs="Arial" w:eastAsia="Arial" w:hAnsi="Arial"/>
                <w:sz w:val="16"/>
                <w:szCs w:val="16"/>
                <w:color w:val="auto"/>
              </w:rPr>
              <w:t>Customer relationships – DW</w:t>
            </w:r>
          </w:p>
        </w:tc>
        <w:tc>
          <w:tcPr>
            <w:tcW w:w="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11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65,000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(42,348)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22,652</w:t>
            </w:r>
          </w:p>
        </w:tc>
        <w:tc>
          <w:tcPr>
            <w:tcW w:w="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65,000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(36,439)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28,561</w:t>
            </w:r>
          </w:p>
        </w:tc>
        <w:tc>
          <w:tcPr>
            <w:tcW w:w="120" w:type="dxa"/>
            <w:vAlign w:val="bottom"/>
          </w:tcPr>
          <w:p>
            <w:pPr>
              <w:spacing w:after="0"/>
              <w:rPr>
                <w:sz w:val="20"/>
                <w:szCs w:val="20"/>
                <w:color w:val="auto"/>
              </w:rPr>
            </w:pPr>
          </w:p>
        </w:tc>
      </w:tr>
      <w:tr>
        <w:trPr>
          <w:trHeight w:val="247"/>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w:t>
            </w:r>
          </w:p>
        </w:tc>
        <w:tc>
          <w:tcPr>
            <w:tcW w:w="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29"/>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RaffCap</w:t>
            </w: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12 Years</w:t>
            </w:r>
          </w:p>
        </w:tc>
        <w:tc>
          <w:tcPr>
            <w:tcW w:w="74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17,600</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8,434</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17,600</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6"/>
                <w:szCs w:val="16"/>
                <w:color w:val="auto"/>
              </w:rPr>
              <w:t>Customer relationships –</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6"/>
                <w:szCs w:val="16"/>
                <w:color w:val="auto"/>
              </w:rPr>
              <w:t>BondDesk</w:t>
            </w: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15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104,000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(28,806)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75,194</w:t>
            </w:r>
          </w:p>
        </w:tc>
        <w:tc>
          <w:tcPr>
            <w:tcW w:w="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104,000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(21,872)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82,128</w:t>
            </w:r>
          </w:p>
        </w:tc>
        <w:tc>
          <w:tcPr>
            <w:tcW w:w="12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Other</w:t>
            </w:r>
          </w:p>
        </w:tc>
        <w:tc>
          <w:tcPr>
            <w:tcW w:w="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 Years</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1,715</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20" w:type="dxa"/>
            <w:vAlign w:val="bottom"/>
            <w:shd w:val="clear" w:color="auto" w:fill="CCEEFF"/>
          </w:tcPr>
          <w:p>
            <w:pPr>
              <w:spacing w:after="0"/>
              <w:rPr>
                <w:sz w:val="21"/>
                <w:szCs w:val="21"/>
                <w:color w:val="auto"/>
              </w:rPr>
            </w:pPr>
          </w:p>
        </w:tc>
      </w:tr>
      <w:tr>
        <w:trPr>
          <w:trHeight w:val="233"/>
        </w:trPr>
        <w:tc>
          <w:tcPr>
            <w:tcW w:w="2240" w:type="dxa"/>
            <w:vAlign w:val="bottom"/>
          </w:tcPr>
          <w:p>
            <w:pPr>
              <w:spacing w:after="0"/>
              <w:rPr>
                <w:sz w:val="20"/>
                <w:szCs w:val="20"/>
                <w:color w:val="auto"/>
              </w:rPr>
            </w:pPr>
            <w:r>
              <w:rPr>
                <w:rFonts w:ascii="Arial" w:cs="Arial" w:eastAsia="Arial" w:hAnsi="Arial"/>
                <w:sz w:val="16"/>
                <w:szCs w:val="16"/>
                <w:color w:val="auto"/>
              </w:rPr>
              <w:t>Tradenames</w:t>
            </w:r>
          </w:p>
        </w:tc>
        <w:tc>
          <w:tcPr>
            <w:tcW w:w="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10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5,400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(5,272)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Liquidity contracts</w:t>
            </w:r>
          </w:p>
        </w:tc>
        <w:tc>
          <w:tcPr>
            <w:tcW w:w="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16 Years</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(82,865)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102,135</w:t>
            </w:r>
          </w:p>
        </w:tc>
        <w:tc>
          <w:tcPr>
            <w:tcW w:w="60" w:type="dxa"/>
            <w:vAlign w:val="bottom"/>
            <w:tcBorders>
              <w:right w:val="single" w:sz="8" w:color="CCEEFF"/>
            </w:tcBorders>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(71,302)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113,698</w:t>
            </w:r>
          </w:p>
        </w:tc>
        <w:tc>
          <w:tcPr>
            <w:tcW w:w="120" w:type="dxa"/>
            <w:vAlign w:val="bottom"/>
            <w:shd w:val="clear" w:color="auto" w:fill="CCEEFF"/>
          </w:tcPr>
          <w:p>
            <w:pPr>
              <w:spacing w:after="0"/>
              <w:rPr>
                <w:sz w:val="22"/>
                <w:szCs w:val="22"/>
                <w:color w:val="auto"/>
              </w:rPr>
            </w:pPr>
          </w:p>
        </w:tc>
      </w:tr>
      <w:tr>
        <w:trPr>
          <w:trHeight w:val="23"/>
        </w:trPr>
        <w:tc>
          <w:tcPr>
            <w:tcW w:w="2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53"/>
        </w:trPr>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529,184</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 (318,965)</w:t>
            </w:r>
          </w:p>
        </w:tc>
        <w:tc>
          <w:tcPr>
            <w:tcW w:w="4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210,219</w:t>
            </w:r>
          </w:p>
        </w:tc>
        <w:tc>
          <w:tcPr>
            <w:tcW w:w="6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534,317</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 (292,907)</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241,410</w:t>
            </w:r>
          </w:p>
        </w:tc>
        <w:tc>
          <w:tcPr>
            <w:tcW w:w="120" w:type="dxa"/>
            <w:vAlign w:val="bottom"/>
          </w:tcPr>
          <w:p>
            <w:pPr>
              <w:spacing w:after="0"/>
              <w:rPr>
                <w:sz w:val="22"/>
                <w:szCs w:val="22"/>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-1748155</wp:posOffset>
            </wp:positionV>
            <wp:extent cx="514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-1748155</wp:posOffset>
            </wp:positionV>
            <wp:extent cx="342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-1748155</wp:posOffset>
            </wp:positionV>
            <wp:extent cx="342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-1748155</wp:posOffset>
            </wp:positionV>
            <wp:extent cx="342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-1748155</wp:posOffset>
            </wp:positionV>
            <wp:extent cx="342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-1748155</wp:posOffset>
            </wp:positionV>
            <wp:extent cx="342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-1748155</wp:posOffset>
            </wp:positionV>
            <wp:extent cx="145732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36"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For the nine months ended September 30, 2018 and 2017 and years ended December 31, 2017 and 2016, amortization expense relating to these assets was $19,576,000, $24,670,000, $31,236,000 and $41,125,000 respectively.</w:t>
      </w:r>
    </w:p>
    <w:p>
      <w:pPr>
        <w:spacing w:after="0" w:line="76"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estimated annual future amortization for existing intangibles assets through September 30, 2023 is as follows (in thousands):</w:t>
      </w:r>
    </w:p>
    <w:p>
      <w:pPr>
        <w:spacing w:after="0" w:line="81"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5"/>
        </w:trPr>
        <w:tc>
          <w:tcPr>
            <w:tcW w:w="5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$26,122</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26,122</w:t>
            </w:r>
          </w:p>
        </w:tc>
      </w:tr>
      <w:tr>
        <w:trPr>
          <w:trHeight w:val="256"/>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w:t>
            </w:r>
          </w:p>
        </w:tc>
      </w:tr>
      <w:tr>
        <w:trPr>
          <w:trHeight w:val="270"/>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20,694</w:t>
            </w: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-839470</wp:posOffset>
            </wp:positionV>
            <wp:extent cx="13716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Deferred Revenue</w:t>
      </w:r>
    </w:p>
    <w:p>
      <w:pPr>
        <w:spacing w:after="0" w:line="10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from deferred revenue and the remaining balance is shown below (in thousands):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For the</w:t>
            </w:r>
          </w:p>
        </w:tc>
        <w:tc>
          <w:tcPr>
            <w:tcW w:w="120" w:type="dxa"/>
            <w:vAlign w:val="bottom"/>
          </w:tcPr>
          <w:p>
            <w:pPr>
              <w:spacing w:after="0"/>
              <w:rPr>
                <w:sz w:val="14"/>
                <w:szCs w:val="14"/>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nine months</w:t>
            </w:r>
          </w:p>
        </w:tc>
        <w:tc>
          <w:tcPr>
            <w:tcW w:w="1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nine months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For the year</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For the year</w:t>
            </w:r>
          </w:p>
        </w:tc>
      </w:tr>
      <w:tr>
        <w:trPr>
          <w:trHeight w:val="162"/>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ended</w:t>
            </w:r>
          </w:p>
        </w:tc>
      </w:tr>
      <w:tr>
        <w:trPr>
          <w:trHeight w:val="162"/>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r>
      <w:tr>
        <w:trPr>
          <w:trHeight w:val="25"/>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3"/>
        </w:trPr>
        <w:tc>
          <w:tcPr>
            <w:tcW w:w="3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beginning of period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29,673</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42,184</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42,184</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80" w:type="dxa"/>
            <w:vAlign w:val="bottom"/>
            <w:shd w:val="clear" w:color="auto" w:fill="CCEEFF"/>
          </w:tcPr>
          <w:p>
            <w:pPr>
              <w:spacing w:after="0"/>
              <w:rPr>
                <w:sz w:val="22"/>
                <w:szCs w:val="22"/>
                <w:color w:val="auto"/>
              </w:rPr>
            </w:pP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New billings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100,091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127,312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130,084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132,501</w:t>
            </w:r>
          </w:p>
        </w:tc>
        <w:tc>
          <w:tcPr>
            <w:tcW w:w="80" w:type="dxa"/>
            <w:vAlign w:val="bottom"/>
          </w:tcPr>
          <w:p>
            <w:pPr>
              <w:spacing w:after="0"/>
              <w:rPr>
                <w:sz w:val="22"/>
                <w:szCs w:val="22"/>
                <w:color w:val="auto"/>
              </w:rPr>
            </w:pPr>
          </w:p>
        </w:tc>
      </w:tr>
      <w:tr>
        <w:trPr>
          <w:trHeight w:val="26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(101,484)</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(139,823)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(142,595)</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(138,850)</w:t>
            </w:r>
          </w:p>
        </w:tc>
      </w:tr>
      <w:tr>
        <w:trPr>
          <w:trHeight w:val="20"/>
        </w:trPr>
        <w:tc>
          <w:tcPr>
            <w:tcW w:w="38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Deferred revenue balance – end of period</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35,045</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29,673</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42,184</w:t>
            </w:r>
          </w:p>
        </w:tc>
        <w:tc>
          <w:tcPr>
            <w:tcW w:w="80" w:type="dxa"/>
            <w:vAlign w:val="bottom"/>
          </w:tcPr>
          <w:p>
            <w:pPr>
              <w:spacing w:after="0"/>
              <w:rPr>
                <w:sz w:val="22"/>
                <w:szCs w:val="22"/>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8" w:lineRule="exact"/>
        <w:rPr>
          <w:sz w:val="20"/>
          <w:szCs w:val="20"/>
          <w:color w:val="auto"/>
        </w:rPr>
      </w:pPr>
    </w:p>
    <w:p>
      <w:pPr>
        <w:ind w:left="1620" w:hanging="352"/>
        <w:spacing w:after="0"/>
        <w:tabs>
          <w:tab w:leader="none" w:pos="16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consists of the following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89"/>
              </w:rPr>
              <w:t>For the nine months ended</w:t>
            </w:r>
          </w:p>
        </w:tc>
        <w:tc>
          <w:tcPr>
            <w:tcW w:w="1360" w:type="dxa"/>
            <w:vAlign w:val="bottom"/>
            <w:gridSpan w:val="6"/>
          </w:tcPr>
          <w:p>
            <w:pPr>
              <w:jc w:val="right"/>
              <w:ind w:right="61"/>
              <w:spacing w:after="0"/>
              <w:rPr>
                <w:sz w:val="20"/>
                <w:szCs w:val="20"/>
                <w:color w:val="auto"/>
              </w:rPr>
            </w:pPr>
            <w:r>
              <w:rPr>
                <w:rFonts w:ascii="Arial" w:cs="Arial" w:eastAsia="Arial" w:hAnsi="Arial"/>
                <w:sz w:val="14"/>
                <w:szCs w:val="14"/>
                <w:b w:val="1"/>
                <w:bCs w:val="1"/>
                <w:color w:val="auto"/>
                <w:w w:val="95"/>
              </w:rPr>
              <w:t>For the year ended</w:t>
            </w:r>
          </w:p>
        </w:tc>
      </w:tr>
      <w:tr>
        <w:trPr>
          <w:trHeight w:val="186"/>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6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7"/>
                <w:szCs w:val="17"/>
                <w:color w:val="auto"/>
              </w:rPr>
            </w:pP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Federal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4,331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2,772</w:t>
            </w:r>
          </w:p>
        </w:tc>
        <w:tc>
          <w:tcPr>
            <w:tcW w:w="60" w:type="dxa"/>
            <w:vAlign w:val="bottom"/>
          </w:tcPr>
          <w:p>
            <w:pPr>
              <w:spacing w:after="0"/>
              <w:rPr>
                <w:sz w:val="22"/>
                <w:szCs w:val="22"/>
                <w:color w:val="auto"/>
              </w:rPr>
            </w:pPr>
          </w:p>
        </w:tc>
      </w:tr>
      <w:tr>
        <w:trPr>
          <w:trHeight w:val="263"/>
        </w:trPr>
        <w:tc>
          <w:tcPr>
            <w:tcW w:w="4800" w:type="dxa"/>
            <w:vAlign w:val="bottom"/>
          </w:tcPr>
          <w:p>
            <w:pPr>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2,748</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2,826</w:t>
            </w:r>
          </w:p>
        </w:tc>
      </w:tr>
      <w:tr>
        <w:trPr>
          <w:trHeight w:val="20"/>
        </w:trPr>
        <w:tc>
          <w:tcPr>
            <w:tcW w:w="4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80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7,079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5,598</w:t>
            </w:r>
          </w:p>
        </w:tc>
        <w:tc>
          <w:tcPr>
            <w:tcW w:w="6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Deferred – Federal</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(5,783)</w:t>
            </w:r>
          </w:p>
        </w:tc>
      </w:tr>
      <w:tr>
        <w:trPr>
          <w:trHeight w:val="26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22"/>
                <w:szCs w:val="22"/>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Total deferred</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(6,323)</w:t>
            </w:r>
          </w:p>
        </w:tc>
      </w:tr>
      <w:tr>
        <w:trPr>
          <w:trHeight w:val="20"/>
        </w:trPr>
        <w:tc>
          <w:tcPr>
            <w:tcW w:w="4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11,900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-196215</wp:posOffset>
            </wp:positionV>
            <wp:extent cx="14605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40626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-882015</wp:posOffset>
            </wp:positionV>
            <wp:extent cx="14605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440626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For the nine months ended</w:t>
            </w:r>
          </w:p>
        </w:tc>
        <w:tc>
          <w:tcPr>
            <w:tcW w:w="12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7"/>
              </w:rPr>
              <w:t>For the year ended</w:t>
            </w: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484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U.S. federal tax at statutory rate</w:t>
            </w:r>
          </w:p>
        </w:tc>
        <w:tc>
          <w:tcPr>
            <w:tcW w:w="1040" w:type="dxa"/>
            <w:vAlign w:val="bottom"/>
            <w:gridSpan w:val="5"/>
          </w:tcPr>
          <w:p>
            <w:pPr>
              <w:jc w:val="right"/>
              <w:ind w:right="180"/>
              <w:spacing w:after="0"/>
              <w:rPr>
                <w:sz w:val="20"/>
                <w:szCs w:val="20"/>
                <w:color w:val="auto"/>
              </w:rPr>
            </w:pPr>
            <w:r>
              <w:rPr>
                <w:rFonts w:ascii="Arial" w:cs="Arial" w:eastAsia="Arial" w:hAnsi="Arial"/>
                <w:sz w:val="18"/>
                <w:szCs w:val="18"/>
                <w:color w:val="auto"/>
              </w:rPr>
              <w:t>21.0%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35.0%</w:t>
            </w: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State and local taxes – net of federal benefit</w:t>
            </w:r>
          </w:p>
        </w:tc>
        <w:tc>
          <w:tcPr>
            <w:tcW w:w="1040" w:type="dxa"/>
            <w:vAlign w:val="bottom"/>
            <w:gridSpan w:val="5"/>
          </w:tcPr>
          <w:p>
            <w:pPr>
              <w:jc w:val="right"/>
              <w:ind w:right="180"/>
              <w:spacing w:after="0"/>
              <w:rPr>
                <w:sz w:val="20"/>
                <w:szCs w:val="20"/>
                <w:color w:val="auto"/>
              </w:rPr>
            </w:pPr>
            <w:r>
              <w:rPr>
                <w:rFonts w:ascii="Arial" w:cs="Arial" w:eastAsia="Arial" w:hAnsi="Arial"/>
                <w:sz w:val="18"/>
                <w:szCs w:val="18"/>
                <w:color w:val="auto"/>
              </w:rPr>
              <w:t>5.1%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4840" w:type="dxa"/>
            <w:vAlign w:val="bottom"/>
          </w:tcPr>
          <w:p>
            <w:pPr>
              <w:spacing w:after="0"/>
              <w:rPr>
                <w:sz w:val="20"/>
                <w:szCs w:val="20"/>
                <w:color w:val="auto"/>
              </w:rPr>
            </w:pPr>
            <w:r>
              <w:rPr>
                <w:rFonts w:ascii="Arial" w:cs="Arial" w:eastAsia="Arial" w:hAnsi="Arial"/>
                <w:sz w:val="18"/>
                <w:szCs w:val="18"/>
                <w:color w:val="auto"/>
              </w:rPr>
              <w:t>Foreign taxes</w:t>
            </w:r>
          </w:p>
        </w:tc>
        <w:tc>
          <w:tcPr>
            <w:tcW w:w="1040" w:type="dxa"/>
            <w:vAlign w:val="bottom"/>
            <w:gridSpan w:val="5"/>
          </w:tcPr>
          <w:p>
            <w:pPr>
              <w:jc w:val="right"/>
              <w:ind w:right="180"/>
              <w:spacing w:after="0"/>
              <w:rPr>
                <w:sz w:val="20"/>
                <w:szCs w:val="20"/>
                <w:color w:val="auto"/>
              </w:rPr>
            </w:pPr>
            <w:r>
              <w:rPr>
                <w:rFonts w:ascii="Arial" w:cs="Arial" w:eastAsia="Arial" w:hAnsi="Arial"/>
                <w:sz w:val="18"/>
                <w:szCs w:val="18"/>
                <w:color w:val="auto"/>
              </w:rPr>
              <w:t>2.5%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TCJA provisional tax charge</w:t>
            </w:r>
          </w:p>
        </w:tc>
        <w:tc>
          <w:tcPr>
            <w:tcW w:w="1040" w:type="dxa"/>
            <w:vAlign w:val="bottom"/>
            <w:gridSpan w:val="5"/>
          </w:tcPr>
          <w:p>
            <w:pPr>
              <w:jc w:val="right"/>
              <w:ind w:right="180"/>
              <w:spacing w:after="0"/>
              <w:rPr>
                <w:sz w:val="20"/>
                <w:szCs w:val="20"/>
                <w:color w:val="auto"/>
              </w:rPr>
            </w:pPr>
            <w:r>
              <w:rPr>
                <w:rFonts w:ascii="Arial" w:cs="Arial" w:eastAsia="Arial" w:hAnsi="Arial"/>
                <w:sz w:val="18"/>
                <w:szCs w:val="18"/>
                <w:color w:val="auto"/>
              </w:rPr>
              <w:t>0.0%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0.0%</w:t>
            </w:r>
          </w:p>
        </w:tc>
      </w:tr>
      <w:tr>
        <w:trPr>
          <w:trHeight w:val="26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320" w:type="dxa"/>
            <w:vAlign w:val="bottom"/>
            <w:gridSpan w:val="2"/>
            <w:shd w:val="clear" w:color="auto" w:fill="CCEEFF"/>
          </w:tcPr>
          <w:p>
            <w:pPr>
              <w:spacing w:after="0"/>
              <w:rPr>
                <w:sz w:val="22"/>
                <w:szCs w:val="2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-20.2%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30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-40.5%</w:t>
            </w:r>
          </w:p>
        </w:tc>
        <w:tc>
          <w:tcPr>
            <w:tcW w:w="100" w:type="dxa"/>
            <w:vAlign w:val="bottom"/>
          </w:tcPr>
          <w:p>
            <w:pPr>
              <w:spacing w:after="0"/>
              <w:rPr>
                <w:sz w:val="22"/>
                <w:szCs w:val="22"/>
                <w:color w:val="auto"/>
              </w:rPr>
            </w:pPr>
          </w:p>
        </w:tc>
      </w:tr>
      <w:tr>
        <w:trPr>
          <w:trHeight w:val="20"/>
        </w:trPr>
        <w:tc>
          <w:tcPr>
            <w:tcW w:w="4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57"/>
        </w:trPr>
        <w:tc>
          <w:tcPr>
            <w:tcW w:w="484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320" w:type="dxa"/>
            <w:vAlign w:val="bottom"/>
            <w:gridSpan w:val="2"/>
          </w:tcPr>
          <w:p>
            <w:pPr>
              <w:spacing w:after="0"/>
              <w:rPr>
                <w:sz w:val="22"/>
                <w:szCs w:val="22"/>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8.4%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-1019810</wp:posOffset>
            </wp:positionV>
            <wp:extent cx="5212080" cy="16319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-693420</wp:posOffset>
            </wp:positionV>
            <wp:extent cx="5212080" cy="1625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-196215</wp:posOffset>
            </wp:positionV>
            <wp:extent cx="342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both"/>
        <w:ind w:left="1260" w:right="939" w:firstLine="360"/>
        <w:spacing w:after="0" w:line="263" w:lineRule="auto"/>
        <w:rPr>
          <w:sz w:val="20"/>
          <w:szCs w:val="20"/>
          <w:color w:val="auto"/>
        </w:rPr>
      </w:pPr>
      <w:r>
        <w:rPr>
          <w:rFonts w:ascii="Arial" w:cs="Arial" w:eastAsia="Arial" w:hAnsi="Arial"/>
          <w:sz w:val="18"/>
          <w:szCs w:val="18"/>
          <w:color w:val="auto"/>
        </w:rPr>
        <w:t>Included in other assets are deferred tax assets of $4,218,000, $8,145,000, $6,820,000 and $6,369,000 at September 30, 2018 and 2017, December 31, 2017 and 2016, respectively. The components of the Company’s deferred tax assets are as follows (in thousands):</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74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1440" w:type="dxa"/>
            <w:vAlign w:val="bottom"/>
            <w:gridSpan w:val="4"/>
          </w:tcPr>
          <w:p>
            <w:pPr>
              <w:ind w:left="10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5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10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5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5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Net operating losses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$ 7,317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10,116</w:t>
            </w: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$ 8,966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$ 7,750</w:t>
            </w:r>
          </w:p>
        </w:tc>
      </w:tr>
      <w:tr>
        <w:trPr>
          <w:trHeight w:val="25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(1,971)</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(1,381)</w:t>
            </w:r>
          </w:p>
        </w:tc>
        <w:tc>
          <w:tcPr>
            <w:tcW w:w="60" w:type="dxa"/>
            <w:vAlign w:val="bottom"/>
          </w:tcPr>
          <w:p>
            <w:pPr>
              <w:spacing w:after="0"/>
              <w:rPr>
                <w:sz w:val="22"/>
                <w:szCs w:val="22"/>
                <w:color w:val="auto"/>
              </w:rPr>
            </w:pPr>
          </w:p>
        </w:tc>
      </w:tr>
      <w:tr>
        <w:trPr>
          <w:trHeight w:val="264"/>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5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$ 4,218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8,145</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$ 6,820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$ 6,369</w:t>
            </w:r>
          </w:p>
        </w:tc>
        <w:tc>
          <w:tcPr>
            <w:tcW w:w="60" w:type="dxa"/>
            <w:vAlign w:val="bottom"/>
          </w:tcPr>
          <w:p>
            <w:pPr>
              <w:spacing w:after="0"/>
              <w:rPr>
                <w:sz w:val="22"/>
                <w:szCs w:val="22"/>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-196850</wp:posOffset>
            </wp:positionV>
            <wp:extent cx="14605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434594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222" w:lineRule="exact"/>
        <w:rPr>
          <w:sz w:val="20"/>
          <w:szCs w:val="20"/>
          <w:color w:val="auto"/>
        </w:rPr>
      </w:pPr>
    </w:p>
    <w:p>
      <w:pPr>
        <w:jc w:val="both"/>
        <w:ind w:left="1260" w:right="1059" w:firstLine="360"/>
        <w:spacing w:after="0" w:line="279" w:lineRule="auto"/>
        <w:rPr>
          <w:sz w:val="20"/>
          <w:szCs w:val="20"/>
          <w:color w:val="auto"/>
        </w:rPr>
      </w:pPr>
      <w:r>
        <w:rPr>
          <w:rFonts w:ascii="Arial" w:cs="Arial" w:eastAsia="Arial" w:hAnsi="Arial"/>
          <w:sz w:val="17"/>
          <w:szCs w:val="17"/>
          <w:color w:val="auto"/>
        </w:rPr>
        <w:t>The Company was audited by the City of New York (“NYC”) for the tax periods from 2011 – 2013 and TWG was audited for the tax periods 2009 – 2011. In 2018, NYC issued an assessment for the periods under audit. Furthermore, NYC has also requested an extension of the statute of limitations, for TWG for the years 2012 – 2014 and for the Company for 2014, as it will audit those periods as well.</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During the nine months ended September 30, 2018, the Company recorded the additional tax, penalties and interest of $1,288,000 resulting from the NYC UBT audit assessments. For the tax periods from 2012 – 2016, the Company has calculated and recorded a provision of $2,003,000 for the additional exposure based on the methodology from the UBT audit assessment. This provision was made using the best estimate of the amount expected to be paid based on available information and assessment of all relevant factors. Due to the uncertainty associated with tax audits, it is possible that at some future date liabilities resulting from this audit could vary significantly from our provision. Nevertheless, based on currently enacted legislation and information currently known to us, the company believes that the ultimate resolution of this audit will not have a material adverse impact on the Company’s financial condition taken as a whole.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Shares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Company’s issued and vested shares are as follows as of September 30, 2018 and 2017,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62"/>
        </w:trPr>
        <w:tc>
          <w:tcPr>
            <w:tcW w:w="6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Vested Shares</w:t>
            </w:r>
          </w:p>
        </w:tc>
      </w:tr>
      <w:tr>
        <w:trPr>
          <w:trHeight w:val="186"/>
        </w:trPr>
        <w:tc>
          <w:tcPr>
            <w:tcW w:w="66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r>
      <w:tr>
        <w:trPr>
          <w:trHeight w:val="26"/>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2018</w:t>
            </w:r>
          </w:p>
        </w:tc>
        <w:tc>
          <w:tcPr>
            <w:tcW w:w="880" w:type="dxa"/>
            <w:vAlign w:val="bottom"/>
            <w:shd w:val="clear" w:color="auto" w:fill="CCEEFF"/>
          </w:tcPr>
          <w:p>
            <w:pPr>
              <w:spacing w:after="0"/>
              <w:rPr>
                <w:sz w:val="21"/>
                <w:szCs w:val="21"/>
                <w:color w:val="auto"/>
              </w:rPr>
            </w:pP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Class A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146,333</w:t>
            </w:r>
          </w:p>
        </w:tc>
      </w:tr>
      <w:tr>
        <w:trPr>
          <w:trHeight w:val="25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Class P(A)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6,887</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Class P-1(A)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6,094</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232</w:t>
            </w:r>
          </w:p>
        </w:tc>
      </w:tr>
      <w:tr>
        <w:trPr>
          <w:trHeight w:val="378"/>
        </w:trPr>
        <w:tc>
          <w:tcPr>
            <w:tcW w:w="660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880" w:type="dxa"/>
            <w:vAlign w:val="bottom"/>
          </w:tcPr>
          <w:p>
            <w:pPr>
              <w:spacing w:after="0"/>
              <w:rPr>
                <w:sz w:val="24"/>
                <w:szCs w:val="24"/>
                <w:color w:val="auto"/>
              </w:rPr>
            </w:pP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880" w:type="dxa"/>
            <w:vAlign w:val="bottom"/>
            <w:shd w:val="clear" w:color="auto" w:fill="CCEEFF"/>
          </w:tcPr>
          <w:p>
            <w:pPr>
              <w:spacing w:after="0"/>
              <w:rPr>
                <w:sz w:val="23"/>
                <w:szCs w:val="23"/>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Class A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146,333</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Class P(A)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6,887</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r>
      <w:tr>
        <w:trPr>
          <w:trHeight w:val="378"/>
        </w:trPr>
        <w:tc>
          <w:tcPr>
            <w:tcW w:w="660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880" w:type="dxa"/>
            <w:vAlign w:val="bottom"/>
          </w:tcPr>
          <w:p>
            <w:pPr>
              <w:spacing w:after="0"/>
              <w:rPr>
                <w:sz w:val="24"/>
                <w:szCs w:val="24"/>
                <w:color w:val="auto"/>
              </w:rPr>
            </w:pP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146,333</w:t>
            </w: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Class C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447</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P(A)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6,887</w:t>
            </w: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Class P(C)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w:t>
            </w:r>
          </w:p>
        </w:tc>
      </w:tr>
      <w:tr>
        <w:trPr>
          <w:trHeight w:val="378"/>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24"/>
                <w:szCs w:val="24"/>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Class A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144,498</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Class P(A) Shares</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6,887</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-4122420</wp:posOffset>
            </wp:positionV>
            <wp:extent cx="41833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222"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Each outstanding Class A Share, Class P(A) Share, Class P-1(A) Share, Class C Share, Class P(C) Share and Class P-1(C) Share equally participates in the earnings of the Company. All of these shares cannot be transferred without approval by the Board of Managers of the Company, with the exception of</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jc w:val="both"/>
        <w:ind w:left="1260" w:right="719"/>
        <w:spacing w:after="0" w:line="263" w:lineRule="auto"/>
        <w:rPr>
          <w:sz w:val="20"/>
          <w:szCs w:val="20"/>
          <w:color w:val="auto"/>
        </w:rPr>
      </w:pPr>
      <w:r>
        <w:rPr>
          <w:rFonts w:ascii="Arial" w:cs="Arial" w:eastAsia="Arial" w:hAnsi="Arial"/>
          <w:sz w:val="18"/>
          <w:szCs w:val="18"/>
          <w:color w:val="auto"/>
        </w:rPr>
        <w:t>transfers to certain related parties. Most of the Class A and Class P(A) Shareholders have the right to appoint the members of the Board of Managers. The Class C Shareholders and Class P(C) Shareholders do not have the right to appoint members of the Board of Managers.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Stock Based Compensation Plans</w:t>
      </w:r>
    </w:p>
    <w:p>
      <w:pPr>
        <w:spacing w:after="0" w:line="10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Company has a stock incentive plan which provides for the grant of performance-based restricted share units (“PRSUs”), to encourage employees of the Company to participate in the long-term success of the Company. The Company measures the cost of employee services received in exchange for the award based on its current fair value. The fair value of each award is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69"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7"/>
          <w:szCs w:val="17"/>
          <w:color w:val="auto"/>
        </w:rPr>
        <w:t>PRSUs vest on January 1, 2019, 2020 and 2021. The final value of the PRSUs upon vesting is determined by a performance modifier, which is adjusted as a result of the financial performance of the Company. If an employee’s employment with the Company is terminated, all unvested PRSUs are forfeited.</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PRSUs issued by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Number of</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PRSUs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Value of PRSUs</w:t>
            </w:r>
          </w:p>
        </w:tc>
      </w:tr>
      <w:tr>
        <w:trPr>
          <w:trHeight w:val="26"/>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200" w:type="dxa"/>
            <w:vAlign w:val="bottom"/>
            <w:shd w:val="clear" w:color="auto" w:fill="CCEEFF"/>
          </w:tcPr>
          <w:p>
            <w:pPr>
              <w:spacing w:after="0"/>
              <w:rPr>
                <w:sz w:val="21"/>
                <w:szCs w:val="2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21,723</w:t>
            </w:r>
          </w:p>
        </w:tc>
        <w:tc>
          <w:tcPr>
            <w:tcW w:w="200" w:type="dxa"/>
            <w:vAlign w:val="bottom"/>
          </w:tcPr>
          <w:p>
            <w:pPr>
              <w:spacing w:after="0"/>
              <w:rPr>
                <w:sz w:val="22"/>
                <w:szCs w:val="22"/>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8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23,170</w:t>
            </w:r>
          </w:p>
        </w:tc>
        <w:tc>
          <w:tcPr>
            <w:tcW w:w="200" w:type="dxa"/>
            <w:vAlign w:val="bottom"/>
            <w:shd w:val="clear" w:color="auto" w:fill="CCEEFF"/>
          </w:tcPr>
          <w:p>
            <w:pPr>
              <w:spacing w:after="0"/>
              <w:rPr>
                <w:sz w:val="22"/>
                <w:szCs w:val="22"/>
                <w:color w:val="auto"/>
              </w:rPr>
            </w:pPr>
          </w:p>
        </w:tc>
      </w:tr>
      <w:tr>
        <w:trPr>
          <w:trHeight w:val="257"/>
        </w:trPr>
        <w:tc>
          <w:tcPr>
            <w:tcW w:w="5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28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1,074.6</w:t>
            </w: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13,159</w:t>
            </w:r>
          </w:p>
        </w:tc>
        <w:tc>
          <w:tcPr>
            <w:tcW w:w="200" w:type="dxa"/>
            <w:vAlign w:val="bottom"/>
            <w:tcBorders>
              <w:top w:val="single" w:sz="8" w:color="CCEEFF"/>
            </w:tcBorders>
          </w:tcPr>
          <w:p>
            <w:pPr>
              <w:spacing w:after="0"/>
              <w:rPr>
                <w:sz w:val="22"/>
                <w:szCs w:val="22"/>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00" w:type="dxa"/>
            <w:vAlign w:val="bottom"/>
            <w:shd w:val="clear" w:color="auto" w:fill="CCEEFF"/>
          </w:tcPr>
          <w:p>
            <w:pPr>
              <w:spacing w:after="0"/>
              <w:rPr>
                <w:sz w:val="22"/>
                <w:szCs w:val="22"/>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26,770</w:t>
            </w:r>
          </w:p>
        </w:tc>
        <w:tc>
          <w:tcPr>
            <w:tcW w:w="200" w:type="dxa"/>
            <w:vAlign w:val="bottom"/>
          </w:tcPr>
          <w:p>
            <w:pPr>
              <w:spacing w:after="0"/>
              <w:rPr>
                <w:sz w:val="22"/>
                <w:szCs w:val="22"/>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2017 (unaudited)</w:t>
            </w:r>
          </w:p>
        </w:tc>
        <w:tc>
          <w:tcPr>
            <w:tcW w:w="2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1,577.6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$31,039</w:t>
            </w:r>
          </w:p>
        </w:tc>
        <w:tc>
          <w:tcPr>
            <w:tcW w:w="200" w:type="dxa"/>
            <w:vAlign w:val="bottom"/>
            <w:shd w:val="clear" w:color="auto" w:fill="CCEEFF"/>
          </w:tcPr>
          <w:p>
            <w:pPr>
              <w:spacing w:after="0"/>
              <w:rPr>
                <w:sz w:val="22"/>
                <w:szCs w:val="22"/>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$13,159</w:t>
            </w:r>
          </w:p>
        </w:tc>
        <w:tc>
          <w:tcPr>
            <w:tcW w:w="200" w:type="dxa"/>
            <w:vAlign w:val="bottom"/>
          </w:tcPr>
          <w:p>
            <w:pPr>
              <w:spacing w:after="0"/>
              <w:rPr>
                <w:sz w:val="20"/>
                <w:szCs w:val="20"/>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00" w:type="dxa"/>
            <w:vAlign w:val="bottom"/>
            <w:shd w:val="clear" w:color="auto" w:fill="CCEEFF"/>
          </w:tcPr>
          <w:p>
            <w:pPr>
              <w:spacing w:after="0"/>
              <w:rPr>
                <w:sz w:val="22"/>
                <w:szCs w:val="22"/>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26,770</w:t>
            </w:r>
          </w:p>
        </w:tc>
        <w:tc>
          <w:tcPr>
            <w:tcW w:w="200" w:type="dxa"/>
            <w:vAlign w:val="bottom"/>
          </w:tcPr>
          <w:p>
            <w:pPr>
              <w:spacing w:after="0"/>
              <w:rPr>
                <w:sz w:val="22"/>
                <w:szCs w:val="22"/>
                <w:color w:val="auto"/>
              </w:rPr>
            </w:pPr>
          </w:p>
        </w:tc>
      </w:tr>
      <w:tr>
        <w:trPr>
          <w:trHeight w:val="25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280" w:type="dxa"/>
            <w:vAlign w:val="bottom"/>
            <w:tcBorders>
              <w:top w:val="single" w:sz="8" w:color="CCEEFF"/>
              <w:right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1,577.6</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31,039</w:t>
            </w:r>
          </w:p>
        </w:tc>
        <w:tc>
          <w:tcPr>
            <w:tcW w:w="200" w:type="dxa"/>
            <w:vAlign w:val="bottom"/>
            <w:tcBorders>
              <w:top w:val="single" w:sz="8" w:color="CCEEFF"/>
            </w:tcBorders>
            <w:shd w:val="clear" w:color="auto" w:fill="CCEEFF"/>
          </w:tcPr>
          <w:p>
            <w:pPr>
              <w:spacing w:after="0"/>
              <w:rPr>
                <w:sz w:val="22"/>
                <w:szCs w:val="22"/>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531.9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29,609</w:t>
            </w:r>
          </w:p>
        </w:tc>
        <w:tc>
          <w:tcPr>
            <w:tcW w:w="200" w:type="dxa"/>
            <w:vAlign w:val="bottom"/>
          </w:tcPr>
          <w:p>
            <w:pPr>
              <w:spacing w:after="0"/>
              <w:rPr>
                <w:sz w:val="22"/>
                <w:szCs w:val="22"/>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(560.4)</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32,246</w:t>
            </w:r>
          </w:p>
        </w:tc>
        <w:tc>
          <w:tcPr>
            <w:tcW w:w="200" w:type="dxa"/>
            <w:vAlign w:val="bottom"/>
            <w:shd w:val="clear" w:color="auto" w:fill="CCEEFF"/>
          </w:tcPr>
          <w:p>
            <w:pPr>
              <w:spacing w:after="0"/>
              <w:rPr>
                <w:sz w:val="22"/>
                <w:szCs w:val="22"/>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31,130</w:t>
            </w:r>
          </w:p>
        </w:tc>
        <w:tc>
          <w:tcPr>
            <w:tcW w:w="200" w:type="dxa"/>
            <w:vAlign w:val="bottom"/>
          </w:tcPr>
          <w:p>
            <w:pPr>
              <w:spacing w:after="0"/>
              <w:rPr>
                <w:sz w:val="22"/>
                <w:szCs w:val="22"/>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2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1,539.</w:t>
            </w:r>
            <w:r>
              <w:rPr>
                <w:rFonts w:ascii="Arial" w:cs="Arial" w:eastAsia="Arial" w:hAnsi="Arial"/>
                <w:sz w:val="18"/>
                <w:szCs w:val="18"/>
                <w:u w:val="single" w:color="auto"/>
                <w:color w:val="auto"/>
                <w:w w:val="93"/>
              </w:rPr>
              <w:t>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38,017</w:t>
            </w:r>
          </w:p>
        </w:tc>
        <w:tc>
          <w:tcPr>
            <w:tcW w:w="200" w:type="dxa"/>
            <w:vAlign w:val="bottom"/>
            <w:shd w:val="clear" w:color="auto" w:fill="CCEEFF"/>
          </w:tcPr>
          <w:p>
            <w:pPr>
              <w:spacing w:after="0"/>
              <w:rPr>
                <w:sz w:val="22"/>
                <w:szCs w:val="22"/>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74916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-865505</wp:posOffset>
            </wp:positionV>
            <wp:extent cx="474916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-1559560</wp:posOffset>
            </wp:positionV>
            <wp:extent cx="474916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-2571115</wp:posOffset>
            </wp:positionV>
            <wp:extent cx="41148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22"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are forfeited. All vested SARs were only exercisable during a specific period of the year and must have been exercised by 2017.</w:t>
      </w:r>
    </w:p>
    <w:p>
      <w:pPr>
        <w:spacing w:after="0" w:line="79"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fair value of the SARs is calculated at the date of grant and remeasurement date using an appropriate valuation model such as Black-Scholes. Consequently, the fair values of these awards are based on the estimated fair value at that date.</w:t>
      </w:r>
    </w:p>
    <w:p>
      <w:pPr>
        <w:spacing w:after="0" w:line="7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activity for SARs issued by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6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Exercise Price</w:t>
            </w:r>
          </w:p>
        </w:tc>
      </w:tr>
      <w:tr>
        <w:trPr>
          <w:trHeight w:val="186"/>
        </w:trPr>
        <w:tc>
          <w:tcPr>
            <w:tcW w:w="566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of SARs</w:t>
            </w:r>
          </w:p>
        </w:tc>
      </w:tr>
      <w:tr>
        <w:trPr>
          <w:trHeight w:val="26"/>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2,886.1</w:t>
            </w: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20" w:type="dxa"/>
            <w:vAlign w:val="bottom"/>
            <w:shd w:val="clear" w:color="auto" w:fill="CCEEFF"/>
          </w:tcPr>
          <w:p>
            <w:pPr>
              <w:spacing w:after="0"/>
              <w:rPr>
                <w:sz w:val="21"/>
                <w:szCs w:val="21"/>
                <w:color w:val="auto"/>
              </w:rPr>
            </w:pPr>
          </w:p>
        </w:tc>
      </w:tr>
      <w:tr>
        <w:trPr>
          <w:trHeight w:val="263"/>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(2,886.1)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(17,344)</w:t>
            </w:r>
          </w:p>
        </w:tc>
      </w:tr>
      <w:tr>
        <w:trPr>
          <w:trHeight w:val="20"/>
        </w:trPr>
        <w:tc>
          <w:tcPr>
            <w:tcW w:w="56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6"/>
        </w:trPr>
        <w:tc>
          <w:tcPr>
            <w:tcW w:w="5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 and December 31, 2017</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74916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-539115</wp:posOffset>
            </wp:positionV>
            <wp:extent cx="41662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6" w:lineRule="exact"/>
        <w:rPr>
          <w:sz w:val="20"/>
          <w:szCs w:val="20"/>
          <w:color w:val="auto"/>
        </w:rPr>
      </w:pPr>
    </w:p>
    <w:p>
      <w:pPr>
        <w:jc w:val="both"/>
        <w:ind w:left="1260" w:right="1420" w:firstLine="360"/>
        <w:spacing w:after="0" w:line="263" w:lineRule="auto"/>
        <w:rPr>
          <w:sz w:val="20"/>
          <w:szCs w:val="20"/>
          <w:color w:val="auto"/>
        </w:rPr>
      </w:pPr>
      <w:r>
        <w:rPr>
          <w:rFonts w:ascii="Arial" w:cs="Arial" w:eastAsia="Arial" w:hAnsi="Arial"/>
          <w:sz w:val="18"/>
          <w:szCs w:val="18"/>
          <w:color w:val="auto"/>
        </w:rPr>
        <w:t>As of September 30, 2018, there was $29,105,000 of total unrecognized compensation cost related to non-vested share-based compensation arrangements. This cost is expected to be recognized over a weighted average period of 1.8 years.</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employees acquired Class C Shares and Class P(C) Shares of the Company.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records activity of Class C Shares held by employees of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Number of</w:t>
            </w:r>
          </w:p>
        </w:tc>
      </w:t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r>
      <w:tr>
        <w:trPr>
          <w:trHeight w:val="26"/>
        </w:trPr>
        <w:tc>
          <w:tcPr>
            <w:tcW w:w="65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21"/>
                <w:szCs w:val="2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Sold</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(24)</w:t>
            </w:r>
          </w:p>
        </w:tc>
      </w:tr>
      <w:tr>
        <w:trPr>
          <w:trHeight w:val="257"/>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22"/>
                <w:szCs w:val="22"/>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Purchased</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2"/>
                <w:szCs w:val="22"/>
                <w:color w:val="auto"/>
              </w:rPr>
            </w:pPr>
          </w:p>
        </w:tc>
      </w:tr>
      <w:tr>
        <w:trPr>
          <w:trHeight w:val="263"/>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420" w:type="dxa"/>
            <w:vAlign w:val="bottom"/>
            <w:gridSpan w:val="2"/>
            <w:shd w:val="clear" w:color="auto" w:fill="CCEEFF"/>
          </w:tcPr>
          <w:p>
            <w:pPr>
              <w:spacing w:after="0"/>
              <w:rPr>
                <w:sz w:val="22"/>
                <w:szCs w:val="2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r>
      <w:tr>
        <w:trPr>
          <w:trHeight w:val="304"/>
        </w:trPr>
        <w:tc>
          <w:tcPr>
            <w:tcW w:w="65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2017 (unaudited)</w:t>
            </w:r>
          </w:p>
        </w:tc>
        <w:tc>
          <w:tcPr>
            <w:tcW w:w="420" w:type="dxa"/>
            <w:vAlign w:val="bottom"/>
            <w:tcBorders>
              <w:top w:val="single" w:sz="8" w:color="CCEEFF"/>
              <w:bottom w:val="single" w:sz="8" w:color="CCEEFF"/>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447</w:t>
            </w:r>
          </w:p>
        </w:tc>
        <w:tc>
          <w:tcPr>
            <w:tcW w:w="200" w:type="dxa"/>
            <w:vAlign w:val="bottom"/>
            <w:tcBorders>
              <w:top w:val="single" w:sz="8" w:color="CCEEFF"/>
              <w:bottom w:val="single" w:sz="8" w:color="CCEEFF"/>
            </w:tcBorders>
          </w:tcPr>
          <w:p>
            <w:pPr>
              <w:spacing w:after="0"/>
              <w:rPr>
                <w:sz w:val="24"/>
                <w:szCs w:val="24"/>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20"/>
                <w:szCs w:val="20"/>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Purchased</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2"/>
                <w:szCs w:val="22"/>
                <w:color w:val="auto"/>
              </w:rPr>
            </w:pPr>
          </w:p>
        </w:tc>
      </w:tr>
      <w:tr>
        <w:trPr>
          <w:trHeight w:val="264"/>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420" w:type="dxa"/>
            <w:vAlign w:val="bottom"/>
            <w:gridSpan w:val="2"/>
            <w:shd w:val="clear" w:color="auto" w:fill="CCEEFF"/>
          </w:tcPr>
          <w:p>
            <w:pPr>
              <w:spacing w:after="0"/>
              <w:rPr>
                <w:sz w:val="22"/>
                <w:szCs w:val="2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r>
      <w:tr>
        <w:trPr>
          <w:trHeight w:val="256"/>
        </w:trPr>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2017</w:t>
            </w:r>
          </w:p>
        </w:tc>
        <w:tc>
          <w:tcPr>
            <w:tcW w:w="420" w:type="dxa"/>
            <w:vAlign w:val="bottom"/>
            <w:tcBorders>
              <w:top w:val="single" w:sz="8" w:color="CCEEFF"/>
            </w:tcBorders>
            <w:gridSpan w:val="2"/>
          </w:tcPr>
          <w:p>
            <w:pPr>
              <w:spacing w:after="0"/>
              <w:rPr>
                <w:sz w:val="22"/>
                <w:szCs w:val="2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447</w:t>
            </w:r>
          </w:p>
        </w:tc>
        <w:tc>
          <w:tcPr>
            <w:tcW w:w="200" w:type="dxa"/>
            <w:vAlign w:val="bottom"/>
            <w:tcBorders>
              <w:top w:val="single" w:sz="8" w:color="CCEEFF"/>
            </w:tcBorders>
          </w:tcPr>
          <w:p>
            <w:pPr>
              <w:spacing w:after="0"/>
              <w:rPr>
                <w:sz w:val="22"/>
                <w:szCs w:val="22"/>
                <w:color w:val="auto"/>
              </w:rPr>
            </w:pPr>
          </w:p>
        </w:tc>
      </w:tr>
      <w:tr>
        <w:trPr>
          <w:trHeight w:val="264"/>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Sold</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2"/>
                <w:szCs w:val="22"/>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-2065020</wp:posOffset>
            </wp:positionV>
            <wp:extent cx="429450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records activity of vested Class P(C) Shares held by employees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16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3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19"/>
                <w:szCs w:val="19"/>
                <w:color w:val="auto"/>
              </w:rPr>
            </w:pPr>
          </w:p>
        </w:tc>
      </w:tr>
      <w:tr>
        <w:trPr>
          <w:trHeight w:val="263"/>
        </w:trPr>
        <w:tc>
          <w:tcPr>
            <w:tcW w:w="1620" w:type="dxa"/>
            <w:vAlign w:val="bottom"/>
          </w:tcPr>
          <w:p>
            <w:pPr>
              <w:spacing w:after="0"/>
              <w:rPr>
                <w:sz w:val="22"/>
                <w:szCs w:val="22"/>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Sold</w:t>
            </w:r>
          </w:p>
        </w:tc>
        <w:tc>
          <w:tcPr>
            <w:tcW w:w="32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16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3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19"/>
                <w:szCs w:val="19"/>
                <w:color w:val="auto"/>
              </w:rPr>
            </w:pPr>
          </w:p>
        </w:tc>
      </w:tr>
      <w:tr>
        <w:trPr>
          <w:trHeight w:val="264"/>
        </w:trPr>
        <w:tc>
          <w:tcPr>
            <w:tcW w:w="1620" w:type="dxa"/>
            <w:vAlign w:val="bottom"/>
          </w:tcPr>
          <w:p>
            <w:pPr>
              <w:spacing w:after="0"/>
              <w:rPr>
                <w:sz w:val="22"/>
                <w:szCs w:val="22"/>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Sold</w:t>
            </w:r>
          </w:p>
        </w:tc>
        <w:tc>
          <w:tcPr>
            <w:tcW w:w="32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spacing w:after="0"/>
              <w:rPr>
                <w:sz w:val="22"/>
                <w:szCs w:val="22"/>
                <w:color w:val="auto"/>
              </w:rPr>
            </w:pPr>
          </w:p>
        </w:tc>
        <w:tc>
          <w:tcPr>
            <w:tcW w:w="1620" w:type="dxa"/>
            <w:vAlign w:val="bottom"/>
          </w:tcPr>
          <w:p>
            <w:pPr>
              <w:spacing w:after="0"/>
              <w:rPr>
                <w:sz w:val="22"/>
                <w:szCs w:val="22"/>
                <w:color w:val="auto"/>
              </w:rPr>
            </w:pPr>
          </w:p>
        </w:tc>
      </w:tr>
      <w:tr>
        <w:trPr>
          <w:trHeight w:val="263"/>
        </w:trPr>
        <w:tc>
          <w:tcPr>
            <w:tcW w:w="1620" w:type="dxa"/>
            <w:vAlign w:val="bottom"/>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Outstanding at September 30, 2017 (unaudited)</w:t>
            </w:r>
          </w:p>
        </w:tc>
        <w:tc>
          <w:tcPr>
            <w:tcW w:w="35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Pr>
          <w:p>
            <w:pPr>
              <w:spacing w:after="0"/>
              <w:rPr>
                <w:sz w:val="22"/>
                <w:szCs w:val="22"/>
                <w:color w:val="auto"/>
              </w:rPr>
            </w:pPr>
          </w:p>
        </w:tc>
      </w:tr>
      <w:tr>
        <w:trPr>
          <w:trHeight w:val="20"/>
        </w:trPr>
        <w:tc>
          <w:tcPr>
            <w:tcW w:w="512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3"/>
        </w:trPr>
        <w:tc>
          <w:tcPr>
            <w:tcW w:w="5120" w:type="dxa"/>
            <w:vAlign w:val="bottom"/>
            <w:gridSpan w:val="2"/>
          </w:tcPr>
          <w:p>
            <w:pPr>
              <w:ind w:left="1620"/>
              <w:spacing w:after="0" w:line="203" w:lineRule="exact"/>
              <w:rPr>
                <w:sz w:val="20"/>
                <w:szCs w:val="20"/>
                <w:color w:val="auto"/>
              </w:rPr>
            </w:pPr>
            <w:r>
              <w:rPr>
                <w:rFonts w:ascii="Arial" w:cs="Arial" w:eastAsia="Arial" w:hAnsi="Arial"/>
                <w:sz w:val="18"/>
                <w:szCs w:val="18"/>
                <w:color w:val="auto"/>
              </w:rPr>
              <w:t>Outstanding at December 31, 2016</w:t>
            </w:r>
          </w:p>
        </w:tc>
        <w:tc>
          <w:tcPr>
            <w:tcW w:w="3980" w:type="dxa"/>
            <w:vAlign w:val="bottom"/>
            <w:gridSpan w:val="4"/>
          </w:tcPr>
          <w:p>
            <w:pPr>
              <w:jc w:val="right"/>
              <w:ind w:right="260"/>
              <w:spacing w:after="0" w:line="203" w:lineRule="exact"/>
              <w:rPr>
                <w:sz w:val="20"/>
                <w:szCs w:val="20"/>
                <w:color w:val="auto"/>
              </w:rPr>
            </w:pPr>
            <w:r>
              <w:rPr>
                <w:rFonts w:ascii="Arial" w:cs="Arial" w:eastAsia="Arial" w:hAnsi="Arial"/>
                <w:sz w:val="18"/>
                <w:szCs w:val="18"/>
                <w:color w:val="auto"/>
              </w:rPr>
              <w:t>2</w:t>
            </w:r>
          </w:p>
        </w:tc>
        <w:tc>
          <w:tcPr>
            <w:tcW w:w="1620" w:type="dxa"/>
            <w:vAlign w:val="bottom"/>
          </w:tcPr>
          <w:p>
            <w:pPr>
              <w:spacing w:after="0"/>
              <w:rPr>
                <w:sz w:val="17"/>
                <w:szCs w:val="17"/>
                <w:color w:val="auto"/>
              </w:rPr>
            </w:pPr>
          </w:p>
        </w:tc>
      </w:tr>
      <w:tr>
        <w:trPr>
          <w:trHeight w:val="264"/>
        </w:trPr>
        <w:tc>
          <w:tcPr>
            <w:tcW w:w="1620" w:type="dxa"/>
            <w:vAlign w:val="bottom"/>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Sold</w:t>
            </w:r>
          </w:p>
        </w:tc>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5120" w:type="dxa"/>
            <w:vAlign w:val="bottom"/>
            <w:gridSpan w:val="2"/>
          </w:tcPr>
          <w:p>
            <w:pPr>
              <w:ind w:left="1620"/>
              <w:spacing w:after="0"/>
              <w:rPr>
                <w:sz w:val="20"/>
                <w:szCs w:val="20"/>
                <w:color w:val="auto"/>
              </w:rPr>
            </w:pPr>
            <w:r>
              <w:rPr>
                <w:rFonts w:ascii="Arial" w:cs="Arial" w:eastAsia="Arial" w:hAnsi="Arial"/>
                <w:sz w:val="18"/>
                <w:szCs w:val="18"/>
                <w:color w:val="auto"/>
              </w:rPr>
              <w:t>Outstanding at December 31, 2017</w:t>
            </w:r>
          </w:p>
        </w:tc>
        <w:tc>
          <w:tcPr>
            <w:tcW w:w="398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19"/>
                <w:szCs w:val="19"/>
                <w:color w:val="auto"/>
              </w:rPr>
            </w:pPr>
          </w:p>
        </w:tc>
      </w:tr>
      <w:tr>
        <w:trPr>
          <w:trHeight w:val="277"/>
        </w:trPr>
        <w:tc>
          <w:tcPr>
            <w:tcW w:w="16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Sold</w:t>
            </w:r>
          </w:p>
        </w:tc>
        <w:tc>
          <w:tcPr>
            <w:tcW w:w="3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5120" w:type="dxa"/>
            <w:vAlign w:val="bottom"/>
            <w:gridSpan w:val="2"/>
          </w:tcPr>
          <w:p>
            <w:pPr>
              <w:ind w:left="1620"/>
              <w:spacing w:after="0"/>
              <w:rPr>
                <w:sz w:val="20"/>
                <w:szCs w:val="20"/>
                <w:color w:val="auto"/>
              </w:rPr>
            </w:pPr>
            <w:r>
              <w:rPr>
                <w:rFonts w:ascii="Arial" w:cs="Arial" w:eastAsia="Arial" w:hAnsi="Arial"/>
                <w:sz w:val="18"/>
                <w:szCs w:val="18"/>
                <w:color w:val="auto"/>
              </w:rPr>
              <w:t>Outstanding at September 30, 2018</w:t>
            </w:r>
          </w:p>
        </w:tc>
        <w:tc>
          <w:tcPr>
            <w:tcW w:w="3520" w:type="dxa"/>
            <w:vAlign w:val="bottom"/>
            <w:gridSpan w:val="2"/>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0"/>
        </w:trPr>
        <w:tc>
          <w:tcPr>
            <w:tcW w:w="1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20"/>
        </w:trPr>
        <w:tc>
          <w:tcPr>
            <w:tcW w:w="1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80" w:type="dxa"/>
            <w:vAlign w:val="bottom"/>
            <w:gridSpan w:val="4"/>
          </w:tcPr>
          <w:p>
            <w:pPr>
              <w:ind w:left="80"/>
              <w:spacing w:after="0"/>
              <w:rPr>
                <w:sz w:val="20"/>
                <w:szCs w:val="20"/>
                <w:color w:val="auto"/>
              </w:rPr>
            </w:pPr>
            <w:r>
              <w:rPr>
                <w:rFonts w:ascii="Arial" w:cs="Arial" w:eastAsia="Arial" w:hAnsi="Arial"/>
                <w:sz w:val="18"/>
                <w:szCs w:val="18"/>
                <w:color w:val="auto"/>
              </w:rPr>
              <w:t>F-22</w:t>
            </w: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-1653540</wp:posOffset>
            </wp:positionV>
            <wp:extent cx="474916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-1979295</wp:posOffset>
            </wp:positionV>
            <wp:extent cx="474916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-2305050</wp:posOffset>
            </wp:positionV>
            <wp:extent cx="429450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19" w:name="page220"/>
    <w:bookmarkEnd w:id="219"/>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records activity of vested Class P-1(C) Shares held by employees of the Company.</w:t>
      </w:r>
    </w:p>
    <w:p>
      <w:pPr>
        <w:spacing w:after="0" w:line="14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r>
      <w:tr>
        <w:trPr>
          <w:trHeight w:val="186"/>
        </w:trPr>
        <w:tc>
          <w:tcPr>
            <w:tcW w:w="678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w:t>
            </w:r>
          </w:p>
        </w:tc>
      </w:tr>
      <w:tr>
        <w:trPr>
          <w:trHeight w:val="26"/>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63"/>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Vested</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w:t>
            </w:r>
          </w:p>
        </w:tc>
        <w:tc>
          <w:tcPr>
            <w:tcW w:w="200" w:type="dxa"/>
            <w:vAlign w:val="bottom"/>
            <w:tcBorders>
              <w:bottom w:val="single" w:sz="8" w:color="CCEEFF"/>
            </w:tcBorders>
          </w:tcPr>
          <w:p>
            <w:pPr>
              <w:spacing w:after="0"/>
              <w:rPr>
                <w:sz w:val="22"/>
                <w:szCs w:val="22"/>
                <w:color w:val="auto"/>
              </w:rPr>
            </w:pPr>
          </w:p>
        </w:tc>
      </w:tr>
      <w:tr>
        <w:trPr>
          <w:trHeight w:val="257"/>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7491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-539115</wp:posOffset>
            </wp:positionV>
            <wp:extent cx="429450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168"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The C Shares, vested Class P(C) Shares and vested Class P-1(C) Shares are classified as mezzanine capital, as opposed to members’ capital, due to the right of employees to sell the shares back to the Company at fair market value upon termination of employment. C Shares, vested Class P(C) Shares and vested Class P-1(C) Shares that have been outstanding for less than six months are included in employee compensation payable. At September 30, 2017 and December 31, 2017 and 2016 there were no C Shares, vested Class P(C) Shares or vested Class P-1(C) Shares included in employee compensation payable. At September 30, 2018, $5,728,000 of vested Class P-1(C) Shares are included in equity compensation payable. Changes in the Class C Share’s and vested Class P(C) Share’s fair value included in mezzanine capital were not recognized as compensation cost.</w:t>
      </w:r>
    </w:p>
    <w:p>
      <w:pPr>
        <w:spacing w:after="0" w:line="5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For the nine months ended September 30, 2018 and 2017 and the years ended December 31, 2017 and 2016, $15,949,000, $17,571,000, $26,100,000 and $19,032,000 has been expensed relating to PRSUs, SARs and shares granted to or acquired by employees and included in employee compensation and benefits in the Consolidated Statements of Income.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Related Party Transactions</w:t>
      </w:r>
    </w:p>
    <w:p>
      <w:pPr>
        <w:spacing w:after="0" w:line="81"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 Company enters into transactions with affiliates of the Banks and TR. At September 30, 2018 and 2017 and December 31, 2017 and 2016, the following balances with such affiliates were included in the Consolidated Statements of Financial Condition in the following line items (in thousands):</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86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September 30,</w:t>
            </w:r>
          </w:p>
        </w:tc>
        <w:tc>
          <w:tcPr>
            <w:tcW w:w="16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47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8"/>
        </w:trPr>
        <w:tc>
          <w:tcPr>
            <w:tcW w:w="47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r>
      <w:tr>
        <w:trPr>
          <w:trHeight w:val="25"/>
        </w:trPr>
        <w:tc>
          <w:tcPr>
            <w:tcW w:w="47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4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6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$230,617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$ 209,653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$234,107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$209,877</w:t>
            </w:r>
          </w:p>
        </w:tc>
      </w:tr>
      <w:tr>
        <w:trPr>
          <w:trHeight w:val="257"/>
        </w:trPr>
        <w:tc>
          <w:tcPr>
            <w:tcW w:w="474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45,762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36,452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3,350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72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7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39,143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100,408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129,393</w:t>
            </w:r>
          </w:p>
        </w:tc>
        <w:tc>
          <w:tcPr>
            <w:tcW w:w="720" w:type="dxa"/>
            <w:vAlign w:val="bottom"/>
          </w:tcPr>
          <w:p>
            <w:pPr>
              <w:jc w:val="right"/>
              <w:spacing w:after="0"/>
              <w:rPr>
                <w:sz w:val="20"/>
                <w:szCs w:val="20"/>
                <w:color w:val="auto"/>
              </w:rPr>
            </w:pPr>
            <w:r>
              <w:rPr>
                <w:rFonts w:ascii="Arial" w:cs="Arial" w:eastAsia="Arial" w:hAnsi="Arial"/>
                <w:sz w:val="18"/>
                <w:szCs w:val="18"/>
                <w:color w:val="auto"/>
              </w:rPr>
              <w:t>70,873</w:t>
            </w:r>
          </w:p>
        </w:tc>
      </w:tr>
      <w:tr>
        <w:trPr>
          <w:trHeight w:val="27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Convertible term note payable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29,285</w:t>
            </w:r>
          </w:p>
        </w:tc>
      </w:tr>
      <w:tr>
        <w:trPr>
          <w:trHeight w:val="27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r>
    </w:tbl>
    <w:p>
      <w:pPr>
        <w:spacing w:after="0" w:line="202"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The Company maintains a shared services agreement with TR. Under the terms of the agreement, TR provides the Company with certain real estate, payroll, benefits administration, insurance, content, financial reporting and tax support. During the nine months ended September 30, 2018 and 2017, the Company incurred shared services fees of $3,225,000 and during the years ended December 31, 2017 and 2016 the Company incurred service fees of $4,300,000 relating to this agreement. These fees are included in occupancy, technology and communications and general and administrative expenses in the Consolidated Statements of Income.</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Company maintains market data license agreements with TR. Under the agreements, the Company delivers to TR certain market data feeds which TR redistributes to its customers. The Company earns license fees for these feeds or royalties for customer references. During the nine months ended September 30, 2018 and 2017 and the years ended December 31, 2017 and 2016, the Company earned $36,851,000, $37,895,000, $50,125,000 and $50,564,000, respectively, of revenue under these agreements.</w:t>
      </w:r>
    </w:p>
    <w:p>
      <w:pPr>
        <w:spacing w:after="0" w:line="6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The Company reimburses affiliates of TR for expenses paid on behalf of the Company for various services including payroll, marketing, professional fees, communications, data costs and certain other administrative services. For the nine months ended September 30, 2018 and 2017 and the years ended December 31, 2017 and 2016, the Company reimbursed such affiliates approximately $28,736,000, $31,941,000, $38,361,000 and $34,350,000, respectively, for these expenses.</w:t>
      </w:r>
    </w:p>
    <w:p>
      <w:pPr>
        <w:spacing w:after="0" w:line="68" w:lineRule="exact"/>
        <w:rPr>
          <w:sz w:val="20"/>
          <w:szCs w:val="20"/>
          <w:color w:val="auto"/>
        </w:rPr>
      </w:pPr>
    </w:p>
    <w:p>
      <w:pPr>
        <w:ind w:left="1260" w:right="899" w:firstLine="360"/>
        <w:spacing w:after="0" w:line="286" w:lineRule="auto"/>
        <w:rPr>
          <w:sz w:val="20"/>
          <w:szCs w:val="20"/>
          <w:color w:val="auto"/>
        </w:rPr>
      </w:pPr>
      <w:r>
        <w:rPr>
          <w:rFonts w:ascii="Arial" w:cs="Arial" w:eastAsia="Arial" w:hAnsi="Arial"/>
          <w:sz w:val="17"/>
          <w:szCs w:val="17"/>
          <w:color w:val="auto"/>
        </w:rPr>
        <w:t>During the nine months ended September 30, 2018 and 2017 and the years ended December 31, 2017 and 2016, the Company earned approximately $211,234,000, $173,573,000, $232,436,000 and $211,743,000, respectively, of transaction, subscription and other fees from affiliates of the Banks.</w:t>
      </w:r>
    </w:p>
    <w:p>
      <w:pPr>
        <w:spacing w:after="0" w:line="57"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During the nine months ended September 30, 2018 and 2017 and years ended December 31, 2017 and 2016, the Company earned $34,000, $32,000,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6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Company borrowed $29,285,000 from a subsidiary of TR under a convertible term note. Interest charged on the outstanding borrowings is the greater of LIBOR or 150 basis points, plus 300 basis points per annum, and is reset and payable quarterly. On May 5, 2017, TR converted all outstanding borrowings into 1,835 Class A Shares at the price of $15,958 per share. During the years ended December 31, 2017 and 2016, the interest rate charged was 4.50% per annum. The Company paid and expensed interest on this note of $455,000 in the nine months ended September 30, 2017 and year ended December 31, 2017 and $1,339,000 the year ended December 31, 2016.</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During 2014, the Company issued Class A Shares and unvested Class P-1(A) Shares to some of the Banks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a $120,000,000 capital contribution. In connection with this investment, employees invested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$5,266,000 in the Company and were issued Class C Shares and unvested Class P-1(C) Shares. Certain Class P-</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1(A) Shares and Class P-1(C) Shares vested on July 31, 2018, based on a formula determined by the Company’s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credit platforms’ revenues and any remaining unvested Class P-1(A) Shares and Class P-1(C) Shares were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cancelled. The value of the vested Class P-1(A) Shares which are included in members’ capital is $150,495,000</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the value of the vested P-1(C) Shares which are included in employee equity compensation payable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$5,728,000. During the nine months ended September 30, 2018 and 2017 and the years ended December 31, 2017</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2016, the Company recognized contingent consideration of $26,830,000, $29,535,000, $58,520,000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$26,224,000, respectively, relating to these shares, which is included in net revenue on the Consolidated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Statements of Income. At September 30, 2017, December 31, 2017 and 2016, $100,408,000, $129,393,000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$70,873,000, respectively, is included in contingent consideration payable on the Consolidated Statements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Condition.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108" w:lineRule="exact"/>
        <w:rPr>
          <w:sz w:val="20"/>
          <w:szCs w:val="20"/>
          <w:color w:val="auto"/>
        </w:rPr>
      </w:pPr>
    </w:p>
    <w:p>
      <w:pPr>
        <w:jc w:val="both"/>
        <w:ind w:left="1260" w:right="899" w:firstLine="360"/>
        <w:spacing w:after="0" w:line="311" w:lineRule="auto"/>
        <w:rPr>
          <w:sz w:val="20"/>
          <w:szCs w:val="20"/>
          <w:color w:val="auto"/>
        </w:rPr>
      </w:pPr>
      <w:r>
        <w:rPr>
          <w:rFonts w:ascii="Arial" w:cs="Arial" w:eastAsia="Arial" w:hAnsi="Arial"/>
          <w:sz w:val="16"/>
          <w:szCs w:val="16"/>
          <w:color w:val="auto"/>
        </w:rPr>
        <w:t>Certain financial instruments that are not carried at fair value on the Consolidated Statements of Financial Condition are carried at amounts that approximate fair value. These instruments include deposits with clearing organizations, accounts receivable, working capital revolving note payable and convertible term note payable.</w:t>
      </w:r>
    </w:p>
    <w:p>
      <w:pPr>
        <w:spacing w:after="0" w:line="41" w:lineRule="exact"/>
        <w:rPr>
          <w:sz w:val="20"/>
          <w:szCs w:val="20"/>
          <w:color w:val="auto"/>
        </w:rPr>
      </w:pPr>
    </w:p>
    <w:p>
      <w:pPr>
        <w:ind w:left="1260" w:right="799" w:firstLine="360"/>
        <w:spacing w:after="0" w:line="342" w:lineRule="auto"/>
        <w:rPr>
          <w:sz w:val="20"/>
          <w:szCs w:val="20"/>
          <w:color w:val="auto"/>
        </w:rPr>
      </w:pPr>
      <w:r>
        <w:rPr>
          <w:rFonts w:ascii="Arial" w:cs="Arial" w:eastAsia="Arial" w:hAnsi="Arial"/>
          <w:sz w:val="16"/>
          <w:szCs w:val="16"/>
          <w:color w:val="auto"/>
        </w:rPr>
        <w:t>Following is a description of the fair value methodologies used for the Company’s instruments measured at fair value, as well as the general classification of such instruments pursuant to the valuation hierarchy:</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1260" w:firstLine="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62" w:lineRule="exact"/>
        <w:rPr>
          <w:sz w:val="20"/>
          <w:szCs w:val="20"/>
          <w:color w:val="auto"/>
        </w:rPr>
      </w:pPr>
    </w:p>
    <w:p>
      <w:pPr>
        <w:ind w:left="1260" w:right="1820" w:firstLine="360"/>
        <w:spacing w:after="0" w:line="296" w:lineRule="auto"/>
        <w:rPr>
          <w:sz w:val="20"/>
          <w:szCs w:val="20"/>
          <w:color w:val="auto"/>
        </w:rPr>
      </w:pPr>
      <w:r>
        <w:rPr>
          <w:rFonts w:ascii="Arial" w:cs="Arial" w:eastAsia="Arial" w:hAnsi="Arial"/>
          <w:sz w:val="16"/>
          <w:szCs w:val="16"/>
          <w:color w:val="auto"/>
        </w:rPr>
        <w:t>Contingent consideration is classified within level 3 of the fair value hierarchy because the valuation requires assumptions that are both significant and unobservable. The contingent consideration valuation is determined using a monte carlo simulation, with key inputs being the standard deviation applied to the Company’s new credit platforms’ revenues, revenue multiple and discount rate. At September 30, 2017, December 31, 2017 and 2016, the inputs in the valuation are as follows:</w:t>
      </w:r>
    </w:p>
    <w:p>
      <w:pPr>
        <w:spacing w:after="0" w:line="7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4380" w:type="dxa"/>
            <w:vAlign w:val="bottom"/>
          </w:tcPr>
          <w:p>
            <w:pPr>
              <w:spacing w:after="0"/>
              <w:rPr>
                <w:sz w:val="16"/>
                <w:szCs w:val="16"/>
                <w:color w:val="auto"/>
              </w:rPr>
            </w:pP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880" w:type="dxa"/>
            <w:vAlign w:val="bottom"/>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r>
      <w:tr>
        <w:trPr>
          <w:trHeight w:val="26"/>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Standard deviation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$ 2,291,667</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$ 1,666,667</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$ 5,000,000</w:t>
            </w:r>
          </w:p>
        </w:tc>
        <w:tc>
          <w:tcPr>
            <w:tcW w:w="140" w:type="dxa"/>
            <w:vAlign w:val="bottom"/>
          </w:tcPr>
          <w:p>
            <w:pPr>
              <w:spacing w:after="0"/>
              <w:rPr>
                <w:sz w:val="21"/>
                <w:szCs w:val="2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Revenue multiple</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6.41x</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7.03x</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5.71x</w:t>
            </w:r>
          </w:p>
        </w:tc>
      </w:tr>
      <w:tr>
        <w:trPr>
          <w:trHeight w:val="257"/>
        </w:trPr>
        <w:tc>
          <w:tcPr>
            <w:tcW w:w="4380" w:type="dxa"/>
            <w:vAlign w:val="bottom"/>
          </w:tcPr>
          <w:p>
            <w:pPr>
              <w:spacing w:after="0"/>
              <w:rPr>
                <w:sz w:val="20"/>
                <w:szCs w:val="20"/>
                <w:color w:val="auto"/>
              </w:rPr>
            </w:pPr>
            <w:r>
              <w:rPr>
                <w:rFonts w:ascii="Arial" w:cs="Arial" w:eastAsia="Arial" w:hAnsi="Arial"/>
                <w:sz w:val="18"/>
                <w:szCs w:val="18"/>
                <w:color w:val="auto"/>
              </w:rPr>
              <w:t>Discount rate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-162560</wp:posOffset>
            </wp:positionV>
            <wp:extent cx="4749165" cy="16319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-496570</wp:posOffset>
            </wp:positionV>
            <wp:extent cx="137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-496570</wp:posOffset>
            </wp:positionV>
            <wp:extent cx="3497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has no instruments that are classified within level 2 of the fair value hierarchy.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Markets for</w:t>
            </w: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Indentical</w:t>
            </w: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Unobservable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2"/>
              </w:rPr>
              <w:t>Assets</w:t>
            </w:r>
          </w:p>
        </w:tc>
        <w:tc>
          <w:tcPr>
            <w:tcW w:w="1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42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 of September 30, 2018</w:t>
            </w: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148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1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134,876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134,876</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1"/>
                <w:szCs w:val="21"/>
                <w:color w:val="auto"/>
              </w:rPr>
            </w:pPr>
          </w:p>
        </w:tc>
        <w:tc>
          <w:tcPr>
            <w:tcW w:w="190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960" w:type="dxa"/>
            <w:vAlign w:val="bottom"/>
            <w:tcBorders>
              <w:top w:val="single" w:sz="8" w:color="CCEEFF"/>
              <w:bottom w:val="single" w:sz="8" w:color="CCEEFF"/>
            </w:tcBorders>
          </w:tcPr>
          <w:p>
            <w:pPr>
              <w:spacing w:after="0"/>
              <w:rPr>
                <w:sz w:val="21"/>
                <w:szCs w:val="21"/>
                <w:color w:val="auto"/>
              </w:rPr>
            </w:pPr>
          </w:p>
        </w:tc>
        <w:tc>
          <w:tcPr>
            <w:tcW w:w="520" w:type="dxa"/>
            <w:vAlign w:val="bottom"/>
            <w:tcBorders>
              <w:top w:val="single" w:sz="8" w:color="CCEEFF"/>
              <w:bottom w:val="single" w:sz="8" w:color="CCEEFF"/>
            </w:tcBorders>
          </w:tcPr>
          <w:p>
            <w:pPr>
              <w:spacing w:after="0"/>
              <w:rPr>
                <w:sz w:val="21"/>
                <w:szCs w:val="21"/>
                <w:color w:val="auto"/>
              </w:rPr>
            </w:pPr>
          </w:p>
        </w:tc>
        <w:tc>
          <w:tcPr>
            <w:tcW w:w="9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134,876</w:t>
            </w:r>
          </w:p>
        </w:tc>
        <w:tc>
          <w:tcPr>
            <w:tcW w:w="1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w:t>
            </w:r>
          </w:p>
        </w:tc>
        <w:tc>
          <w:tcPr>
            <w:tcW w:w="2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134,876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29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9"/>
              </w:rPr>
              <w:t>As of September 30, 2017 (unaudited)</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1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125,392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125,392</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190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960" w:type="dxa"/>
            <w:vAlign w:val="bottom"/>
            <w:tcBorders>
              <w:top w:val="single" w:sz="8" w:color="CCEEFF"/>
              <w:bottom w:val="single" w:sz="8" w:color="CCEEFF"/>
            </w:tcBorders>
          </w:tcPr>
          <w:p>
            <w:pPr>
              <w:spacing w:after="0"/>
              <w:rPr>
                <w:sz w:val="21"/>
                <w:szCs w:val="21"/>
                <w:color w:val="auto"/>
              </w:rPr>
            </w:pPr>
          </w:p>
        </w:tc>
        <w:tc>
          <w:tcPr>
            <w:tcW w:w="520" w:type="dxa"/>
            <w:vAlign w:val="bottom"/>
            <w:tcBorders>
              <w:top w:val="single" w:sz="8" w:color="CCEEFF"/>
              <w:bottom w:val="single" w:sz="8" w:color="CCEEFF"/>
            </w:tcBorders>
          </w:tcPr>
          <w:p>
            <w:pPr>
              <w:spacing w:after="0"/>
              <w:rPr>
                <w:sz w:val="21"/>
                <w:szCs w:val="21"/>
                <w:color w:val="auto"/>
              </w:rPr>
            </w:pPr>
          </w:p>
        </w:tc>
        <w:tc>
          <w:tcPr>
            <w:tcW w:w="9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125,392</w:t>
            </w:r>
          </w:p>
        </w:tc>
        <w:tc>
          <w:tcPr>
            <w:tcW w:w="1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w:t>
            </w:r>
          </w:p>
        </w:tc>
        <w:tc>
          <w:tcPr>
            <w:tcW w:w="2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125,392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4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Liabilities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Contingent consideration payable</w:t>
            </w:r>
          </w:p>
        </w:tc>
        <w:tc>
          <w:tcPr>
            <w:tcW w:w="1120" w:type="dxa"/>
            <w:vAlign w:val="bottom"/>
            <w:gridSpan w:val="3"/>
          </w:tcPr>
          <w:p>
            <w:pPr>
              <w:ind w:left="10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100,408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840" w:type="dxa"/>
            <w:vAlign w:val="bottom"/>
            <w:gridSpan w:val="2"/>
          </w:tcPr>
          <w:p>
            <w:pPr>
              <w:jc w:val="right"/>
              <w:ind w:right="1240"/>
              <w:spacing w:after="0"/>
              <w:rPr>
                <w:sz w:val="20"/>
                <w:szCs w:val="20"/>
                <w:color w:val="auto"/>
              </w:rPr>
            </w:pPr>
            <w:r>
              <w:rPr>
                <w:rFonts w:ascii="Arial" w:cs="Arial" w:eastAsia="Arial" w:hAnsi="Arial"/>
                <w:sz w:val="18"/>
                <w:szCs w:val="18"/>
                <w:color w:val="auto"/>
                <w:w w:val="89"/>
              </w:rPr>
              <w:t>100,408</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100,408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100,408</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w w:val="88"/>
              </w:rPr>
              <w:t>As of December 31, 2017</w:t>
            </w:r>
          </w:p>
        </w:tc>
        <w:tc>
          <w:tcPr>
            <w:tcW w:w="1520" w:type="dxa"/>
            <w:vAlign w:val="bottom"/>
            <w:gridSpan w:val="3"/>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60" w:type="dxa"/>
            <w:vAlign w:val="bottom"/>
          </w:tcPr>
          <w:p>
            <w:pPr>
              <w:spacing w:after="0"/>
              <w:rPr>
                <w:sz w:val="21"/>
                <w:szCs w:val="21"/>
                <w:color w:val="auto"/>
              </w:rPr>
            </w:pPr>
          </w:p>
        </w:tc>
        <w:tc>
          <w:tcPr>
            <w:tcW w:w="1900" w:type="dxa"/>
            <w:vAlign w:val="bottom"/>
            <w:tcBorders>
              <w:bottom w:val="single" w:sz="8" w:color="auto"/>
            </w:tcBorders>
            <w:vMerge w:val="continue"/>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840" w:type="dxa"/>
            <w:vAlign w:val="bottom"/>
            <w:gridSpan w:val="2"/>
          </w:tcPr>
          <w:p>
            <w:pPr>
              <w:jc w:val="right"/>
              <w:ind w:right="1240"/>
              <w:spacing w:after="0"/>
              <w:rPr>
                <w:sz w:val="20"/>
                <w:szCs w:val="20"/>
                <w:color w:val="auto"/>
              </w:rPr>
            </w:pPr>
            <w:r>
              <w:rPr>
                <w:rFonts w:ascii="Arial" w:cs="Arial" w:eastAsia="Arial" w:hAnsi="Arial"/>
                <w:sz w:val="18"/>
                <w:szCs w:val="18"/>
                <w:color w:val="auto"/>
                <w:w w:val="89"/>
              </w:rPr>
              <w:t>101,154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101,154</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i w:val="1"/>
                <w:iCs w:val="1"/>
                <w:color w:val="auto"/>
              </w:rPr>
              <w:t>Liabilities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60" w:type="dxa"/>
            <w:vAlign w:val="bottom"/>
          </w:tcPr>
          <w:p>
            <w:pPr>
              <w:spacing w:after="0"/>
              <w:rPr>
                <w:sz w:val="14"/>
                <w:szCs w:val="14"/>
                <w:color w:val="auto"/>
              </w:rPr>
            </w:pPr>
          </w:p>
        </w:tc>
        <w:tc>
          <w:tcPr>
            <w:tcW w:w="342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0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129,393</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840" w:type="dxa"/>
            <w:vAlign w:val="bottom"/>
            <w:gridSpan w:val="2"/>
          </w:tcPr>
          <w:p>
            <w:pPr>
              <w:jc w:val="right"/>
              <w:ind w:right="1240"/>
              <w:spacing w:after="0"/>
              <w:rPr>
                <w:sz w:val="20"/>
                <w:szCs w:val="20"/>
                <w:color w:val="auto"/>
              </w:rPr>
            </w:pPr>
            <w:r>
              <w:rPr>
                <w:rFonts w:ascii="Arial" w:cs="Arial" w:eastAsia="Arial" w:hAnsi="Arial"/>
                <w:sz w:val="18"/>
                <w:szCs w:val="18"/>
                <w:color w:val="auto"/>
                <w:w w:val="89"/>
              </w:rPr>
              <w:t>129,393</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19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2016</w:t>
            </w:r>
          </w:p>
        </w:tc>
        <w:tc>
          <w:tcPr>
            <w:tcW w:w="1520" w:type="dxa"/>
            <w:vAlign w:val="bottom"/>
            <w:tcBorders>
              <w:top w:val="single" w:sz="8" w:color="CCEEFF"/>
              <w:bottom w:val="single" w:sz="8" w:color="CCEEFF"/>
            </w:tcBorders>
            <w:gridSpan w:val="3"/>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Assets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105,325</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105,325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840" w:type="dxa"/>
            <w:vAlign w:val="bottom"/>
            <w:gridSpan w:val="2"/>
          </w:tcPr>
          <w:p>
            <w:pPr>
              <w:jc w:val="right"/>
              <w:ind w:right="1240"/>
              <w:spacing w:after="0"/>
              <w:rPr>
                <w:sz w:val="20"/>
                <w:szCs w:val="20"/>
                <w:color w:val="auto"/>
              </w:rPr>
            </w:pPr>
            <w:r>
              <w:rPr>
                <w:rFonts w:ascii="Arial" w:cs="Arial" w:eastAsia="Arial" w:hAnsi="Arial"/>
                <w:sz w:val="18"/>
                <w:szCs w:val="18"/>
                <w:color w:val="auto"/>
                <w:w w:val="89"/>
              </w:rPr>
              <w:t>105,325</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3420" w:type="dxa"/>
            <w:vAlign w:val="bottom"/>
            <w:tcBorders>
              <w:top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i w:val="1"/>
                <w:iCs w:val="1"/>
                <w:color w:val="auto"/>
              </w:rPr>
              <w:t>Liabilities</w:t>
            </w:r>
          </w:p>
        </w:tc>
        <w:tc>
          <w:tcPr>
            <w:tcW w:w="9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Contingent consideration payable</w:t>
            </w:r>
          </w:p>
        </w:tc>
        <w:tc>
          <w:tcPr>
            <w:tcW w:w="1020" w:type="dxa"/>
            <w:vAlign w:val="bottom"/>
            <w:gridSpan w:val="2"/>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70,873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240"/>
              <w:spacing w:after="0"/>
              <w:rPr>
                <w:sz w:val="20"/>
                <w:szCs w:val="20"/>
                <w:color w:val="auto"/>
              </w:rPr>
            </w:pPr>
            <w:r>
              <w:rPr>
                <w:rFonts w:ascii="Arial" w:cs="Arial" w:eastAsia="Arial" w:hAnsi="Arial"/>
                <w:sz w:val="18"/>
                <w:szCs w:val="18"/>
                <w:color w:val="auto"/>
              </w:rPr>
              <w:t>70,873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0"/>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70,873</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F-25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-796290</wp:posOffset>
            </wp:positionV>
            <wp:extent cx="19748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-796290</wp:posOffset>
            </wp:positionV>
            <wp:extent cx="410591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-2373630</wp:posOffset>
            </wp:positionV>
            <wp:extent cx="19748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-2373630</wp:posOffset>
            </wp:positionV>
            <wp:extent cx="410591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-3025140</wp:posOffset>
            </wp:positionV>
            <wp:extent cx="19748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-3025140</wp:posOffset>
            </wp:positionV>
            <wp:extent cx="410591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-4508500</wp:posOffset>
            </wp:positionV>
            <wp:extent cx="13716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-4508500</wp:posOffset>
            </wp:positionV>
            <wp:extent cx="13716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-4508500</wp:posOffset>
            </wp:positionV>
            <wp:extent cx="34544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22" w:name="page223"/>
    <w:bookmarkEnd w:id="222"/>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Credit Risk</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The Company may be exposed to credit risk regarding its receivables, which are primarily receivable from financial institutions, including investment managers and broker/dealers. At September 30, 2018 and 2017 and December 31, 2017 and 2016, the Company established an allowance for doubtful accounts of $1,091,000, $936,000, $928,000 and $1,078,000, respectively, with regard to these receivables.</w:t>
      </w:r>
    </w:p>
    <w:p>
      <w:pPr>
        <w:spacing w:after="0" w:line="63"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4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80" w:lineRule="exact"/>
        <w:rPr>
          <w:sz w:val="20"/>
          <w:szCs w:val="20"/>
          <w:color w:val="auto"/>
        </w:rPr>
      </w:pPr>
    </w:p>
    <w:p>
      <w:pPr>
        <w:ind w:left="1260" w:right="739" w:firstLine="360"/>
        <w:spacing w:after="0" w:line="311" w:lineRule="auto"/>
        <w:rPr>
          <w:sz w:val="20"/>
          <w:szCs w:val="20"/>
          <w:color w:val="auto"/>
        </w:rPr>
      </w:pPr>
      <w:r>
        <w:rPr>
          <w:rFonts w:ascii="Arial" w:cs="Arial" w:eastAsia="Arial" w:hAnsi="Arial"/>
          <w:sz w:val="16"/>
          <w:szCs w:val="16"/>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Commitments and Contingencies</w:t>
      </w:r>
    </w:p>
    <w:p>
      <w:pPr>
        <w:spacing w:after="0" w:line="108"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September 30, 2018 (in thousands):</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r>
      <w:tr>
        <w:trPr>
          <w:trHeight w:val="186"/>
        </w:trPr>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5"/>
        </w:trPr>
        <w:tc>
          <w:tcPr>
            <w:tcW w:w="5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$ 11,111</w:t>
            </w:r>
          </w:p>
        </w:tc>
      </w:tr>
      <w:tr>
        <w:trPr>
          <w:trHeight w:val="256"/>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8,404</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r>
      <w:tr>
        <w:trPr>
          <w:trHeight w:val="256"/>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r>
      <w:tr>
        <w:trPr>
          <w:trHeight w:val="263"/>
        </w:trPr>
        <w:tc>
          <w:tcPr>
            <w:tcW w:w="618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jc w:val="right"/>
              <w:spacing w:after="0"/>
              <w:rPr>
                <w:sz w:val="20"/>
                <w:szCs w:val="20"/>
                <w:color w:val="auto"/>
              </w:rPr>
            </w:pPr>
            <w:r>
              <w:rPr>
                <w:rFonts w:ascii="Arial" w:cs="Arial" w:eastAsia="Arial" w:hAnsi="Arial"/>
                <w:sz w:val="18"/>
                <w:szCs w:val="18"/>
                <w:color w:val="auto"/>
              </w:rPr>
              <w:t>12,149</w:t>
            </w:r>
          </w:p>
        </w:tc>
      </w:tr>
      <w:tr>
        <w:trPr>
          <w:trHeight w:val="257"/>
        </w:trPr>
        <w:tc>
          <w:tcPr>
            <w:tcW w:w="20" w:type="dxa"/>
            <w:vAlign w:val="bottom"/>
          </w:tcPr>
          <w:p>
            <w:pPr>
              <w:spacing w:after="0"/>
              <w:rPr>
                <w:sz w:val="22"/>
                <w:szCs w:val="22"/>
                <w:color w:val="auto"/>
              </w:rPr>
            </w:pPr>
          </w:p>
        </w:tc>
        <w:tc>
          <w:tcPr>
            <w:tcW w:w="59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45,902</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-196215</wp:posOffset>
            </wp:positionV>
            <wp:extent cx="391731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-1190625</wp:posOffset>
            </wp:positionV>
            <wp:extent cx="13716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jc w:val="both"/>
        <w:ind w:left="1260" w:right="679" w:firstLine="360"/>
        <w:spacing w:after="0" w:line="375" w:lineRule="auto"/>
        <w:rPr>
          <w:sz w:val="20"/>
          <w:szCs w:val="20"/>
          <w:color w:val="auto"/>
        </w:rPr>
      </w:pPr>
      <w:r>
        <w:rPr>
          <w:rFonts w:ascii="Arial" w:cs="Arial" w:eastAsia="Arial" w:hAnsi="Arial"/>
          <w:sz w:val="15"/>
          <w:szCs w:val="15"/>
          <w:color w:val="auto"/>
        </w:rPr>
        <w:t>The actual rent charged to occupancy amounted to $9,011,000, $9,460,000, $11,774,000 and $13,253,000 in the nine months ended September 30, 2018 and 2017 and years ended December 31, 2017 and 2016, respectively.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One US lease is secured by a letter of credit in the amount of $1,200,000, which is guaranteed by TR.</w:t>
      </w:r>
    </w:p>
    <w:p>
      <w:pPr>
        <w:spacing w:after="0" w:line="129" w:lineRule="exact"/>
        <w:rPr>
          <w:sz w:val="20"/>
          <w:szCs w:val="20"/>
          <w:color w:val="auto"/>
        </w:rPr>
      </w:pPr>
    </w:p>
    <w:p>
      <w:pPr>
        <w:ind w:left="1260" w:right="839" w:firstLine="360"/>
        <w:spacing w:after="0" w:line="296" w:lineRule="auto"/>
        <w:rPr>
          <w:sz w:val="20"/>
          <w:szCs w:val="20"/>
          <w:color w:val="auto"/>
        </w:rPr>
      </w:pPr>
      <w:r>
        <w:rPr>
          <w:rFonts w:ascii="Arial" w:cs="Arial" w:eastAsia="Arial" w:hAnsi="Arial"/>
          <w:sz w:val="16"/>
          <w:szCs w:val="16"/>
          <w:color w:val="auto"/>
        </w:rPr>
        <w:t>In the normal course of business, the Company enters into user agreements with its dealers which provide the dealers with indemnification from third parties in the event that the Tradeweb Network infringes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1460" w:firstLine="360"/>
        <w:spacing w:after="0" w:line="259" w:lineRule="auto"/>
        <w:rPr>
          <w:sz w:val="20"/>
          <w:szCs w:val="20"/>
          <w:color w:val="auto"/>
        </w:rPr>
      </w:pPr>
      <w:r>
        <w:rPr>
          <w:rFonts w:ascii="Arial" w:cs="Arial" w:eastAsia="Arial" w:hAnsi="Arial"/>
          <w:sz w:val="18"/>
          <w:szCs w:val="18"/>
          <w:color w:val="auto"/>
        </w:rPr>
        <w:t>The Company has been named as a defendant in antitrust actions (consolidated). The Company believes it has substantial defenses to plaintiffs’ claims and intends to defend itself vigorously. Any evaluation of the likelihood of an unfavorable outcome or estimate of the amount or range of potential loss as a result is too speculative at this time.</w:t>
      </w:r>
    </w:p>
    <w:p>
      <w:pPr>
        <w:spacing w:after="0" w:line="169" w:lineRule="exact"/>
        <w:rPr>
          <w:sz w:val="20"/>
          <w:szCs w:val="20"/>
          <w:color w:val="auto"/>
        </w:rPr>
      </w:pPr>
    </w:p>
    <w:p>
      <w:pPr>
        <w:ind w:left="1620" w:hanging="352"/>
        <w:spacing w:after="0"/>
        <w:tabs>
          <w:tab w:leader="none" w:pos="16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Years ended</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6"/>
                <w:szCs w:val="16"/>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ind w:left="12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130,160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155,060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152,836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153,046</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151,902</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of Convertible Term Notes Payable</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155,060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152,836</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153,046</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151,902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500.81</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-1182370</wp:posOffset>
            </wp:positionV>
            <wp:extent cx="1371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-1182370</wp:posOffset>
            </wp:positionV>
            <wp:extent cx="1371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1260" w:right="1380" w:firstLine="360"/>
        <w:spacing w:after="0" w:line="301" w:lineRule="auto"/>
        <w:rPr>
          <w:sz w:val="20"/>
          <w:szCs w:val="20"/>
          <w:color w:val="auto"/>
        </w:rPr>
      </w:pPr>
      <w:r>
        <w:rPr>
          <w:rFonts w:ascii="Arial" w:cs="Arial" w:eastAsia="Arial" w:hAnsi="Arial"/>
          <w:sz w:val="16"/>
          <w:szCs w:val="16"/>
          <w:color w:val="auto"/>
        </w:rPr>
        <w:t>Shares from the convertible term note payable totaling 860, 644 and 1,835 in the nine months ended September 30, 2017 and years ended December 31, 2017 and 2016, respectively, and shares from the contingent consideration payable totaling 3,920 in the nine months ended September 30, 2018 were excluded from the computation of diluted earnings per share because their effect would have been anti-dilutive.</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Regulatory Capital Requirements</w:t>
      </w:r>
    </w:p>
    <w:p>
      <w:pPr>
        <w:spacing w:after="0" w:line="108" w:lineRule="exact"/>
        <w:rPr>
          <w:sz w:val="20"/>
          <w:szCs w:val="20"/>
          <w:color w:val="auto"/>
        </w:rPr>
      </w:pPr>
    </w:p>
    <w:p>
      <w:pPr>
        <w:ind w:left="1260" w:right="1280" w:firstLine="360"/>
        <w:spacing w:after="0" w:line="286" w:lineRule="auto"/>
        <w:rPr>
          <w:sz w:val="20"/>
          <w:szCs w:val="20"/>
          <w:color w:val="auto"/>
        </w:rPr>
      </w:pPr>
      <w:r>
        <w:rPr>
          <w:rFonts w:ascii="Arial" w:cs="Arial" w:eastAsia="Arial" w:hAnsi="Arial"/>
          <w:sz w:val="17"/>
          <w:szCs w:val="17"/>
          <w:color w:val="auto"/>
        </w:rPr>
        <w:t>TWL, DW and TWD are subject to the Uniform Net Capital Rule 15c3-1 under the Securities Exchange Act of 1934. TEL is subject to certain financial resource requirements with the FCA in the UK and its Japan branch and TWJ are subject to certain financial resource requirements with the FCA in Japan.</w:t>
      </w:r>
    </w:p>
    <w:p>
      <w:pPr>
        <w:spacing w:after="0" w:line="57" w:lineRule="exact"/>
        <w:rPr>
          <w:sz w:val="20"/>
          <w:szCs w:val="20"/>
          <w:color w:val="auto"/>
        </w:rPr>
      </w:pPr>
    </w:p>
    <w:p>
      <w:pPr>
        <w:ind w:left="1260" w:right="1340" w:firstLine="360"/>
        <w:spacing w:after="0" w:line="308" w:lineRule="auto"/>
        <w:rPr>
          <w:sz w:val="20"/>
          <w:szCs w:val="20"/>
          <w:color w:val="auto"/>
        </w:rPr>
      </w:pPr>
      <w:r>
        <w:rPr>
          <w:rFonts w:ascii="Arial" w:cs="Arial" w:eastAsia="Arial" w:hAnsi="Arial"/>
          <w:sz w:val="17"/>
          <w:szCs w:val="17"/>
          <w:color w:val="auto"/>
        </w:rPr>
        <w:t>At September 30, 2018 and 2017 and December 31, 2017 and 2016, the regulatory capital requirements and regulatory capital for TWL, DW, TWD, TEL and TWJ were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8"/>
              </w:rPr>
              <w:t>TEL Japan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TWL</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DW</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TWD</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TEL</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Branch</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TWJ</w:t>
            </w:r>
          </w:p>
        </w:tc>
        <w:tc>
          <w:tcPr>
            <w:tcW w:w="1240" w:type="dxa"/>
            <w:vAlign w:val="bottom"/>
          </w:tcPr>
          <w:p>
            <w:pPr>
              <w:spacing w:after="0"/>
              <w:rPr>
                <w:sz w:val="16"/>
                <w:szCs w:val="16"/>
                <w:color w:val="auto"/>
              </w:rPr>
            </w:pPr>
          </w:p>
        </w:tc>
      </w:tr>
      <w:tr>
        <w:trPr>
          <w:trHeight w:val="202"/>
        </w:trPr>
        <w:tc>
          <w:tcPr>
            <w:tcW w:w="1260" w:type="dxa"/>
            <w:vAlign w:val="bottom"/>
          </w:tcPr>
          <w:p>
            <w:pPr>
              <w:spacing w:after="0"/>
              <w:rPr>
                <w:sz w:val="17"/>
                <w:szCs w:val="17"/>
                <w:color w:val="auto"/>
              </w:rPr>
            </w:pPr>
          </w:p>
        </w:tc>
        <w:tc>
          <w:tcPr>
            <w:tcW w:w="25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September 30, 2018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1260" w:type="dxa"/>
            <w:vAlign w:val="bottom"/>
          </w:tcPr>
          <w:p>
            <w:pPr>
              <w:spacing w:after="0"/>
              <w:rPr>
                <w:sz w:val="18"/>
                <w:szCs w:val="18"/>
                <w:color w:val="auto"/>
              </w:rPr>
            </w:pPr>
          </w:p>
        </w:tc>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Regulatory Capital</w:t>
            </w:r>
          </w:p>
        </w:tc>
        <w:tc>
          <w:tcPr>
            <w:tcW w:w="580" w:type="dxa"/>
            <w:vAlign w:val="bottom"/>
            <w:tcBorders>
              <w:top w:val="single" w:sz="8" w:color="CCEEFF"/>
            </w:tcBorders>
            <w:gridSpan w:val="2"/>
          </w:tcPr>
          <w:p>
            <w:pPr>
              <w:spacing w:after="0"/>
              <w:rPr>
                <w:sz w:val="18"/>
                <w:szCs w:val="18"/>
                <w:color w:val="auto"/>
              </w:rPr>
            </w:pPr>
          </w:p>
        </w:tc>
        <w:tc>
          <w:tcPr>
            <w:tcW w:w="6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9"/>
              </w:rPr>
              <w:t>$14,552</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9"/>
              </w:rPr>
              <w:t>$35,439</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9"/>
              </w:rPr>
              <w:t>$16,322</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6"/>
              </w:rPr>
              <w:t>$37,058</w:t>
            </w: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6"/>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83"/>
              </w:rPr>
              <w:t>11,617</w:t>
            </w:r>
          </w:p>
        </w:tc>
        <w:tc>
          <w:tcPr>
            <w:tcW w:w="1240" w:type="dxa"/>
            <w:vAlign w:val="bottom"/>
          </w:tcPr>
          <w:p>
            <w:pPr>
              <w:spacing w:after="0"/>
              <w:rPr>
                <w:sz w:val="18"/>
                <w:szCs w:val="18"/>
                <w:color w:val="auto"/>
              </w:rPr>
            </w:pPr>
          </w:p>
        </w:tc>
      </w:tr>
      <w:tr>
        <w:trPr>
          <w:trHeight w:val="202"/>
        </w:trPr>
        <w:tc>
          <w:tcPr>
            <w:tcW w:w="1260" w:type="dxa"/>
            <w:vAlign w:val="bottom"/>
          </w:tcPr>
          <w:p>
            <w:pPr>
              <w:spacing w:after="0"/>
              <w:rPr>
                <w:sz w:val="17"/>
                <w:szCs w:val="17"/>
                <w:color w:val="auto"/>
              </w:rPr>
            </w:pPr>
          </w:p>
        </w:tc>
        <w:tc>
          <w:tcPr>
            <w:tcW w:w="24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Regulatory Capital</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24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Requirement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3,509</w:t>
            </w:r>
          </w:p>
        </w:tc>
        <w:tc>
          <w:tcPr>
            <w:tcW w:w="124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auto"/>
              </w:rPr>
              <w:t>Excess Regulatory Capital</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12,640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33,757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15,864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19,146</w:t>
            </w:r>
          </w:p>
        </w:tc>
        <w:tc>
          <w:tcPr>
            <w:tcW w:w="220" w:type="dxa"/>
            <w:vAlign w:val="bottom"/>
          </w:tcPr>
          <w:p>
            <w:pPr>
              <w:spacing w:after="0"/>
              <w:rPr>
                <w:sz w:val="24"/>
                <w:szCs w:val="24"/>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8,108</w:t>
            </w:r>
          </w:p>
        </w:tc>
        <w:tc>
          <w:tcPr>
            <w:tcW w:w="1240" w:type="dxa"/>
            <w:vAlign w:val="bottom"/>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252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As of September 30, 2017</w:t>
            </w: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(unaudited)</w:t>
            </w:r>
          </w:p>
        </w:tc>
        <w:tc>
          <w:tcPr>
            <w:tcW w:w="58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auto"/>
              </w:rPr>
              <w:t>Regulatory Capital</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$16,919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$17,802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$34,968</w:t>
            </w:r>
          </w:p>
        </w:tc>
        <w:tc>
          <w:tcPr>
            <w:tcW w:w="2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$3,189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2"/>
        </w:trPr>
        <w:tc>
          <w:tcPr>
            <w:tcW w:w="1260" w:type="dxa"/>
            <w:vAlign w:val="bottom"/>
          </w:tcPr>
          <w:p>
            <w:pPr>
              <w:spacing w:after="0"/>
              <w:rPr>
                <w:sz w:val="17"/>
                <w:szCs w:val="17"/>
                <w:color w:val="auto"/>
              </w:rPr>
            </w:pPr>
          </w:p>
        </w:tc>
        <w:tc>
          <w:tcPr>
            <w:tcW w:w="24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Regulatory Capital</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24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Requirement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17,891</w:t>
            </w:r>
          </w:p>
        </w:tc>
        <w:tc>
          <w:tcPr>
            <w:tcW w:w="2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auto"/>
              </w:rPr>
              <w:t>Excess Regulatory Capital</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15,460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30,193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17,429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17,077</w:t>
            </w:r>
          </w:p>
        </w:tc>
        <w:tc>
          <w:tcPr>
            <w:tcW w:w="22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34"/>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ind w:left="460"/>
              <w:spacing w:after="0"/>
              <w:rPr>
                <w:sz w:val="20"/>
                <w:szCs w:val="20"/>
                <w:color w:val="auto"/>
              </w:rPr>
            </w:pPr>
            <w:r>
              <w:rPr>
                <w:rFonts w:ascii="Arial" w:cs="Arial" w:eastAsia="Arial" w:hAnsi="Arial"/>
                <w:sz w:val="18"/>
                <w:szCs w:val="18"/>
                <w:color w:val="auto"/>
              </w:rPr>
              <w:t>F-27</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-2279650</wp:posOffset>
            </wp:positionV>
            <wp:extent cx="1371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-2279650</wp:posOffset>
            </wp:positionV>
            <wp:extent cx="1371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-2279650</wp:posOffset>
            </wp:positionV>
            <wp:extent cx="12001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-2279650</wp:posOffset>
            </wp:positionV>
            <wp:extent cx="12001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-2279650</wp:posOffset>
            </wp:positionV>
            <wp:extent cx="21513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1380" cy="8255"/>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24" w:name="page225"/>
    <w:bookmarkEnd w:id="224"/>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TEL Japan</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19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TWL</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DW</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TWD</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TEL</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Branch</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TWJ</w:t>
            </w:r>
          </w:p>
        </w:tc>
      </w:tr>
      <w:tr>
        <w:trPr>
          <w:trHeight w:val="216"/>
        </w:trPr>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2017</w:t>
            </w:r>
          </w:p>
        </w:tc>
        <w:tc>
          <w:tcPr>
            <w:tcW w:w="600" w:type="dxa"/>
            <w:vAlign w:val="bottom"/>
            <w:tcBorders>
              <w:bottom w:val="single" w:sz="8" w:color="CCEEFF"/>
            </w:tcBorders>
            <w:gridSpan w:val="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23"/>
        </w:trPr>
        <w:tc>
          <w:tcPr>
            <w:tcW w:w="2500" w:type="dxa"/>
            <w:vAlign w:val="bottom"/>
            <w:gridSpan w:val="3"/>
          </w:tcPr>
          <w:p>
            <w:pPr>
              <w:spacing w:after="0"/>
              <w:rPr>
                <w:sz w:val="20"/>
                <w:szCs w:val="20"/>
                <w:color w:val="auto"/>
              </w:rPr>
            </w:pPr>
            <w:r>
              <w:rPr>
                <w:rFonts w:ascii="Arial" w:cs="Arial" w:eastAsia="Arial" w:hAnsi="Arial"/>
                <w:sz w:val="18"/>
                <w:szCs w:val="18"/>
                <w:color w:val="auto"/>
              </w:rPr>
              <w:t>Regulatory Capital</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$22,551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$35,546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$16,965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31,509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$5,326</w:t>
            </w:r>
          </w:p>
        </w:tc>
      </w:tr>
      <w:tr>
        <w:trPr>
          <w:trHeight w:val="229"/>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4"/>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Requirement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18,034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r>
      <w:tr>
        <w:trPr>
          <w:trHeight w:val="20"/>
        </w:trPr>
        <w:tc>
          <w:tcPr>
            <w:tcW w:w="19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90"/>
        </w:trPr>
        <w:tc>
          <w:tcPr>
            <w:tcW w:w="2500" w:type="dxa"/>
            <w:vAlign w:val="bottom"/>
            <w:gridSpan w:val="3"/>
          </w:tcPr>
          <w:p>
            <w:pPr>
              <w:spacing w:after="0"/>
              <w:rPr>
                <w:sz w:val="20"/>
                <w:szCs w:val="20"/>
                <w:color w:val="auto"/>
              </w:rPr>
            </w:pPr>
            <w:r>
              <w:rPr>
                <w:rFonts w:ascii="Arial" w:cs="Arial" w:eastAsia="Arial" w:hAnsi="Arial"/>
                <w:sz w:val="18"/>
                <w:szCs w:val="18"/>
                <w:color w:val="auto"/>
              </w:rPr>
              <w:t>Excess Regulatory Capital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33,934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16,587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13,475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4,365</w:t>
            </w:r>
          </w:p>
        </w:tc>
      </w:tr>
      <w:tr>
        <w:trPr>
          <w:trHeight w:val="264"/>
        </w:trPr>
        <w:tc>
          <w:tcPr>
            <w:tcW w:w="19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2016</w:t>
            </w:r>
          </w:p>
        </w:tc>
        <w:tc>
          <w:tcPr>
            <w:tcW w:w="6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23"/>
        </w:trPr>
        <w:tc>
          <w:tcPr>
            <w:tcW w:w="2500" w:type="dxa"/>
            <w:vAlign w:val="bottom"/>
            <w:gridSpan w:val="3"/>
          </w:tcPr>
          <w:p>
            <w:pPr>
              <w:spacing w:after="0"/>
              <w:rPr>
                <w:sz w:val="20"/>
                <w:szCs w:val="20"/>
                <w:color w:val="auto"/>
              </w:rPr>
            </w:pPr>
            <w:r>
              <w:rPr>
                <w:rFonts w:ascii="Arial" w:cs="Arial" w:eastAsia="Arial" w:hAnsi="Arial"/>
                <w:sz w:val="18"/>
                <w:szCs w:val="18"/>
                <w:color w:val="auto"/>
              </w:rPr>
              <w:t>Regulatory Capital</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$17,326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$20,303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$16,651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21,614</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4"/>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Requirement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1,828</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13,390</w:t>
            </w:r>
          </w:p>
        </w:tc>
        <w:tc>
          <w:tcPr>
            <w:tcW w:w="2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0"/>
        </w:trPr>
        <w:tc>
          <w:tcPr>
            <w:tcW w:w="2500" w:type="dxa"/>
            <w:vAlign w:val="bottom"/>
            <w:gridSpan w:val="3"/>
          </w:tcPr>
          <w:p>
            <w:pPr>
              <w:spacing w:after="0"/>
              <w:rPr>
                <w:sz w:val="20"/>
                <w:szCs w:val="20"/>
                <w:color w:val="auto"/>
              </w:rPr>
            </w:pPr>
            <w:r>
              <w:rPr>
                <w:rFonts w:ascii="Arial" w:cs="Arial" w:eastAsia="Arial" w:hAnsi="Arial"/>
                <w:sz w:val="18"/>
                <w:szCs w:val="18"/>
                <w:color w:val="auto"/>
              </w:rPr>
              <w:t>Excess Regulatory Capital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18,475</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16,401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8,224</w:t>
            </w: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-1628140</wp:posOffset>
            </wp:positionV>
            <wp:extent cx="1371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-1628140</wp:posOffset>
            </wp:positionV>
            <wp:extent cx="1371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-1628140</wp:posOffset>
            </wp:positionV>
            <wp:extent cx="13716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-1628140</wp:posOffset>
            </wp:positionV>
            <wp:extent cx="12001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-1628140</wp:posOffset>
            </wp:positionV>
            <wp:extent cx="214312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3"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September 30, 2018 and 2017 and December 31, 2017 and 2016 are as follows (in thousands):</w:t>
      </w:r>
    </w:p>
    <w:p>
      <w:pPr>
        <w:spacing w:after="0" w:line="5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TW SEF</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DW SEF</w:t>
            </w:r>
          </w:p>
        </w:tc>
        <w:tc>
          <w:tcPr>
            <w:tcW w:w="0" w:type="dxa"/>
            <w:vAlign w:val="bottom"/>
          </w:tcPr>
          <w:p>
            <w:pPr>
              <w:spacing w:after="0"/>
              <w:rPr>
                <w:sz w:val="1"/>
                <w:szCs w:val="1"/>
                <w:color w:val="auto"/>
              </w:rPr>
            </w:pPr>
          </w:p>
        </w:tc>
      </w:tr>
      <w:tr>
        <w:trPr>
          <w:trHeight w:val="26"/>
        </w:trPr>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 of September 30, 2018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Financial Resources</w:t>
            </w:r>
          </w:p>
        </w:tc>
        <w:tc>
          <w:tcPr>
            <w:tcW w:w="4140" w:type="dxa"/>
            <w:vAlign w:val="bottom"/>
            <w:tcBorders>
              <w:top w:val="single" w:sz="8" w:color="CCEEFF"/>
            </w:tcBorders>
            <w:gridSpan w:val="3"/>
          </w:tcPr>
          <w:p>
            <w:pPr>
              <w:spacing w:after="0"/>
              <w:rPr>
                <w:sz w:val="22"/>
                <w:szCs w:val="22"/>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24,313</w:t>
            </w: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16,942</w:t>
            </w:r>
          </w:p>
        </w:tc>
        <w:tc>
          <w:tcPr>
            <w:tcW w:w="0" w:type="dxa"/>
            <w:vAlign w:val="bottom"/>
          </w:tcPr>
          <w:p>
            <w:pPr>
              <w:spacing w:after="0"/>
              <w:rPr>
                <w:sz w:val="1"/>
                <w:szCs w:val="1"/>
                <w:color w:val="auto"/>
              </w:rPr>
            </w:pPr>
          </w:p>
        </w:tc>
      </w:tr>
      <w:tr>
        <w:trPr>
          <w:trHeight w:val="263"/>
        </w:trPr>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Required Financial Resources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303"/>
        </w:trPr>
        <w:tc>
          <w:tcPr>
            <w:tcW w:w="6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13,813</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11,743</w:t>
            </w:r>
          </w:p>
        </w:tc>
        <w:tc>
          <w:tcPr>
            <w:tcW w:w="0" w:type="dxa"/>
            <w:vAlign w:val="bottom"/>
          </w:tcPr>
          <w:p>
            <w:pPr>
              <w:spacing w:after="0"/>
              <w:rPr>
                <w:sz w:val="1"/>
                <w:szCs w:val="1"/>
                <w:color w:val="auto"/>
              </w:rPr>
            </w:pPr>
          </w:p>
        </w:tc>
      </w:tr>
      <w:tr>
        <w:trPr>
          <w:trHeight w:val="230"/>
        </w:trPr>
        <w:tc>
          <w:tcPr>
            <w:tcW w:w="6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10,455</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Required Liquid Financial Assets</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0"/>
        </w:trPr>
        <w:tc>
          <w:tcPr>
            <w:tcW w:w="60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As of September 30, 2017 (unaudited)</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gridSpan w:val="5"/>
            <w:vMerge w:val="continue"/>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25,424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19,319</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Required Financial Resources</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14,924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13,258</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5"/>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13,142</w:t>
            </w:r>
          </w:p>
        </w:tc>
        <w:tc>
          <w:tcPr>
            <w:tcW w:w="0" w:type="dxa"/>
            <w:vAlign w:val="bottom"/>
          </w:tcPr>
          <w:p>
            <w:pPr>
              <w:spacing w:after="0"/>
              <w:rPr>
                <w:sz w:val="1"/>
                <w:szCs w:val="1"/>
                <w:color w:val="auto"/>
              </w:rPr>
            </w:pPr>
          </w:p>
        </w:tc>
      </w:tr>
      <w:tr>
        <w:trPr>
          <w:trHeight w:val="263"/>
        </w:trPr>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303"/>
        </w:trPr>
        <w:tc>
          <w:tcPr>
            <w:tcW w:w="6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10,111</w:t>
            </w:r>
          </w:p>
        </w:tc>
        <w:tc>
          <w:tcPr>
            <w:tcW w:w="0" w:type="dxa"/>
            <w:vAlign w:val="bottom"/>
          </w:tcPr>
          <w:p>
            <w:pPr>
              <w:spacing w:after="0"/>
              <w:rPr>
                <w:sz w:val="1"/>
                <w:szCs w:val="1"/>
                <w:color w:val="auto"/>
              </w:rPr>
            </w:pPr>
          </w:p>
        </w:tc>
      </w:tr>
      <w:tr>
        <w:trPr>
          <w:trHeight w:val="291"/>
        </w:trPr>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2017</w:t>
            </w:r>
          </w:p>
        </w:tc>
        <w:tc>
          <w:tcPr>
            <w:tcW w:w="4180" w:type="dxa"/>
            <w:vAlign w:val="bottom"/>
            <w:tcBorders>
              <w:bottom w:val="single" w:sz="8" w:color="CCEEFF"/>
            </w:tcBorders>
            <w:gridSpan w:val="4"/>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gridSpan w:val="5"/>
          </w:tcPr>
          <w:p>
            <w:pPr>
              <w:spacing w:after="0"/>
              <w:rPr>
                <w:sz w:val="20"/>
                <w:szCs w:val="20"/>
                <w:color w:val="auto"/>
              </w:rPr>
            </w:pPr>
            <w:r>
              <w:rPr>
                <w:rFonts w:ascii="Arial" w:cs="Arial" w:eastAsia="Arial" w:hAnsi="Arial"/>
                <w:sz w:val="18"/>
                <w:szCs w:val="18"/>
                <w:color w:val="auto"/>
              </w:rPr>
              <w:t>Financial Resources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23,349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20,069</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Required Financial Resources</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317"/>
        </w:trPr>
        <w:tc>
          <w:tcPr>
            <w:tcW w:w="6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12,849</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14,194</w:t>
            </w:r>
          </w:p>
        </w:tc>
        <w:tc>
          <w:tcPr>
            <w:tcW w:w="0" w:type="dxa"/>
            <w:vAlign w:val="bottom"/>
          </w:tcPr>
          <w:p>
            <w:pPr>
              <w:spacing w:after="0"/>
              <w:rPr>
                <w:sz w:val="1"/>
                <w:szCs w:val="1"/>
                <w:color w:val="auto"/>
              </w:rPr>
            </w:pPr>
          </w:p>
        </w:tc>
      </w:tr>
      <w:tr>
        <w:trPr>
          <w:trHeight w:val="243"/>
        </w:trPr>
        <w:tc>
          <w:tcPr>
            <w:tcW w:w="6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14,084</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13,865</w:t>
            </w: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Required Liquid Financial Assets</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10,972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-2056765</wp:posOffset>
            </wp:positionV>
            <wp:extent cx="437197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-2802255</wp:posOffset>
            </wp:positionV>
            <wp:extent cx="43719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-3839845</wp:posOffset>
            </wp:positionV>
            <wp:extent cx="436308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4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TW SEF</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DW SEF</w:t>
            </w:r>
          </w:p>
        </w:tc>
      </w:tr>
      <w:tr>
        <w:trPr>
          <w:trHeight w:val="26"/>
        </w:trPr>
        <w:tc>
          <w:tcPr>
            <w:tcW w:w="19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3"/>
        </w:trPr>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2016</w:t>
            </w:r>
          </w:p>
        </w:tc>
        <w:tc>
          <w:tcPr>
            <w:tcW w:w="4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50"/>
        </w:trPr>
        <w:tc>
          <w:tcPr>
            <w:tcW w:w="6060" w:type="dxa"/>
            <w:vAlign w:val="bottom"/>
            <w:gridSpan w:val="2"/>
          </w:tcPr>
          <w:p>
            <w:pPr>
              <w:spacing w:after="0"/>
              <w:rPr>
                <w:sz w:val="20"/>
                <w:szCs w:val="20"/>
                <w:color w:val="auto"/>
              </w:rPr>
            </w:pPr>
            <w:r>
              <w:rPr>
                <w:rFonts w:ascii="Arial" w:cs="Arial" w:eastAsia="Arial" w:hAnsi="Arial"/>
                <w:sz w:val="18"/>
                <w:szCs w:val="18"/>
                <w:color w:val="auto"/>
              </w:rPr>
              <w:t>Financial Resources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22,655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17,574</w:t>
            </w:r>
          </w:p>
        </w:tc>
      </w:tr>
      <w:tr>
        <w:trPr>
          <w:trHeight w:val="291"/>
        </w:trPr>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Required Financial Resources</w:t>
            </w: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r>
      <w:tr>
        <w:trPr>
          <w:trHeight w:val="317"/>
        </w:trPr>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Excess Financial Resources</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12,155</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11,810</w:t>
            </w: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13,763</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r>
      <w:tr>
        <w:trPr>
          <w:trHeight w:val="291"/>
        </w:trPr>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Required Liquid Financial Assets</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r>
      <w:tr>
        <w:trPr>
          <w:trHeight w:val="270"/>
        </w:trPr>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r>
      <w:tr>
        <w:trPr>
          <w:trHeight w:val="20"/>
        </w:trPr>
        <w:tc>
          <w:tcPr>
            <w:tcW w:w="19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-1276350</wp:posOffset>
            </wp:positionV>
            <wp:extent cx="436308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Employees Savings Plan</w:t>
      </w:r>
    </w:p>
    <w:p>
      <w:pPr>
        <w:spacing w:after="0" w:line="108"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The Company sponsors a 401(k) savings plan for its US employees. Employees may voluntarily contribute up to 75% of their annual compensation, including bonus. The Company matches 100% of the employee’s contribution, up to 4%, which vests immediately. Company’s expense for matching contributions for these plans was $3,758,000, $3,489,000, $4,137,000 and $4,179,000, in the nine months ended September 30, 2018 and 2017 and years ended December 31, 2017 and 2016, respectively.</w:t>
      </w:r>
    </w:p>
    <w:p>
      <w:pPr>
        <w:spacing w:after="0" w:line="68"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The Company has deferred compensation plans for its UK and Asia employees. Employer contributions to the plan were $1,113,000, $901,000, $1,242,000 and $1,181,000 in the nine months ended September 30, 2018 and 2017 and years ended December 31, 2017 and 2016, respectively.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Segment and Geographic Information</w:t>
      </w:r>
    </w:p>
    <w:p>
      <w:pPr>
        <w:spacing w:after="0" w:line="10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The Company operates electronic over-the-counter marketplaces for the trading of fixed income and derivative securities and provides related pre-trade pricing and post-trade processing services. The Company’s operations constitute a single business segment because of the integrated nature of these marketplaces and services. Information regarding revenue by client sector for the nine months ended September 30, 2018 and 2017 and years ended December 31, 2017 and 2016 follows (in thousands):</w:t>
      </w: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9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For the nine months ended</w:t>
            </w:r>
          </w:p>
        </w:tc>
        <w:tc>
          <w:tcPr>
            <w:tcW w:w="10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For the years ended</w:t>
            </w:r>
          </w:p>
        </w:tc>
      </w:tr>
      <w:tr>
        <w:trPr>
          <w:trHeight w:val="186"/>
        </w:trPr>
        <w:tc>
          <w:tcPr>
            <w:tcW w:w="4700" w:type="dxa"/>
            <w:vAlign w:val="bottom"/>
          </w:tcPr>
          <w:p>
            <w:pPr>
              <w:spacing w:after="0"/>
              <w:rPr>
                <w:sz w:val="16"/>
                <w:szCs w:val="16"/>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7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r>
      <w:tr>
        <w:trPr>
          <w:trHeight w:val="175"/>
        </w:trPr>
        <w:tc>
          <w:tcPr>
            <w:tcW w:w="4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Institutional</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$ 301,918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236,034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318,038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285,801</w:t>
            </w:r>
          </w:p>
        </w:tc>
      </w:tr>
      <w:tr>
        <w:trPr>
          <w:trHeight w:val="243"/>
        </w:trPr>
        <w:tc>
          <w:tcPr>
            <w:tcW w:w="4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Wholesale</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99,028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88,490</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118,451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109,945</w:t>
            </w:r>
          </w:p>
        </w:tc>
        <w:tc>
          <w:tcPr>
            <w:tcW w:w="6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Retail</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57,766</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53,467</w:t>
            </w: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70,857</w:t>
            </w:r>
          </w:p>
        </w:tc>
        <w:tc>
          <w:tcPr>
            <w:tcW w:w="1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67,471</w:t>
            </w:r>
          </w:p>
        </w:tc>
      </w:tr>
      <w:tr>
        <w:trPr>
          <w:trHeight w:val="243"/>
        </w:trPr>
        <w:tc>
          <w:tcPr>
            <w:tcW w:w="4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Data</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47,059</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41,578</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55,622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60" w:type="dxa"/>
            <w:vAlign w:val="bottom"/>
          </w:tcPr>
          <w:p>
            <w:pPr>
              <w:spacing w:after="0"/>
              <w:rPr>
                <w:sz w:val="21"/>
                <w:szCs w:val="21"/>
                <w:color w:val="auto"/>
              </w:rPr>
            </w:pPr>
          </w:p>
        </w:tc>
      </w:tr>
      <w:tr>
        <w:trPr>
          <w:trHeight w:val="256"/>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(29,535)</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(58,520)</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(26,224)</w:t>
            </w:r>
          </w:p>
        </w:tc>
      </w:tr>
      <w:tr>
        <w:trPr>
          <w:trHeight w:val="20"/>
        </w:trPr>
        <w:tc>
          <w:tcPr>
            <w:tcW w:w="47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478,941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390,034</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504,448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60" w:type="dxa"/>
            <w:vAlign w:val="bottom"/>
          </w:tcPr>
          <w:p>
            <w:pPr>
              <w:spacing w:after="0"/>
              <w:rPr>
                <w:sz w:val="19"/>
                <w:szCs w:val="19"/>
                <w:color w:val="auto"/>
              </w:rPr>
            </w:pPr>
          </w:p>
        </w:tc>
      </w:tr>
      <w:tr>
        <w:trPr>
          <w:trHeight w:val="257"/>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338,607</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310,762</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415,356</w:t>
            </w: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399,049</w:t>
            </w:r>
          </w:p>
        </w:tc>
      </w:tr>
      <w:tr>
        <w:trPr>
          <w:trHeight w:val="20"/>
        </w:trPr>
        <w:tc>
          <w:tcPr>
            <w:tcW w:w="47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$ 140,334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93,131</w:t>
            </w:r>
          </w:p>
        </w:tc>
        <w:tc>
          <w:tcPr>
            <w:tcW w:w="60" w:type="dxa"/>
            <w:vAlign w:val="bottom"/>
          </w:tcPr>
          <w:p>
            <w:pPr>
              <w:spacing w:after="0"/>
              <w:rPr>
                <w:sz w:val="20"/>
                <w:szCs w:val="20"/>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-187960</wp:posOffset>
            </wp:positionV>
            <wp:extent cx="14605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-187960</wp:posOffset>
            </wp:positionV>
            <wp:extent cx="419163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-505460</wp:posOffset>
            </wp:positionV>
            <wp:extent cx="14605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-505460</wp:posOffset>
            </wp:positionV>
            <wp:extent cx="419163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263"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7"/>
          <w:szCs w:val="17"/>
          <w:color w:val="auto"/>
        </w:rPr>
        <w:t>The Company operates in the U.S. and internationally, primarily in Europe and Asia. Revenues are attributed to geographic area based on the jurisdiction where the underlying transactions take place. The results by geographic region are not meaningful in understanding the Company’s business. Long-lived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6"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assets are attributed to the geographic area based on the location of the particular subsidiary. Information regarding revenue for the nine months ended September 30, 2018 and 2017 and years ended December 31, 2017 and 2016 and long-lived assets as of September 30, 2018 and 2017 and December 31, 2017 and 2016 follows (in thousands):</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7"/>
              </w:rPr>
              <w:t>For the nine months ended</w:t>
            </w: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For the years ended</w:t>
            </w:r>
          </w:p>
        </w:tc>
      </w:tr>
      <w:tr>
        <w:trPr>
          <w:trHeight w:val="186"/>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6"/>
                <w:szCs w:val="16"/>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r>
      <w:tr>
        <w:trPr>
          <w:trHeight w:val="175"/>
        </w:trPr>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(unaudited)</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60" w:type="dxa"/>
            <w:vAlign w:val="bottom"/>
            <w:tcBorders>
              <w:right w:val="single" w:sz="8" w:color="CCEEFF"/>
            </w:tcBorders>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U.S.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$ 324,304</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$ 287,624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$385,176</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$365,308</w:t>
            </w:r>
          </w:p>
        </w:tc>
        <w:tc>
          <w:tcPr>
            <w:tcW w:w="60" w:type="dxa"/>
            <w:vAlign w:val="bottom"/>
          </w:tcPr>
          <w:p>
            <w:pPr>
              <w:spacing w:after="0"/>
              <w:rPr>
                <w:sz w:val="21"/>
                <w:szCs w:val="21"/>
                <w:color w:val="auto"/>
              </w:rPr>
            </w:pPr>
          </w:p>
        </w:tc>
      </w:tr>
      <w:tr>
        <w:trPr>
          <w:trHeight w:val="25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181,467</w:t>
            </w:r>
          </w:p>
        </w:tc>
        <w:tc>
          <w:tcPr>
            <w:tcW w:w="220" w:type="dxa"/>
            <w:vAlign w:val="bottom"/>
            <w:tcBorders>
              <w:right w:val="single" w:sz="8" w:color="CCEEFF"/>
            </w:tcBorders>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131,945</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177,792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60" w:type="dxa"/>
            <w:vAlign w:val="bottom"/>
          </w:tcPr>
          <w:p>
            <w:pPr>
              <w:spacing w:after="0"/>
              <w:rPr>
                <w:sz w:val="22"/>
                <w:szCs w:val="22"/>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Gross revenue</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505,771</w:t>
            </w: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419,569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562,968</w:t>
            </w:r>
          </w:p>
        </w:tc>
        <w:tc>
          <w:tcPr>
            <w:tcW w:w="700" w:type="dxa"/>
            <w:vAlign w:val="bottom"/>
          </w:tcPr>
          <w:p>
            <w:pPr>
              <w:jc w:val="right"/>
              <w:spacing w:after="0"/>
              <w:rPr>
                <w:sz w:val="20"/>
                <w:szCs w:val="20"/>
                <w:color w:val="auto"/>
              </w:rPr>
            </w:pPr>
            <w:r>
              <w:rPr>
                <w:rFonts w:ascii="Arial" w:cs="Arial" w:eastAsia="Arial" w:hAnsi="Arial"/>
                <w:sz w:val="18"/>
                <w:szCs w:val="18"/>
                <w:color w:val="auto"/>
              </w:rPr>
              <w:t>518,404</w:t>
            </w:r>
          </w:p>
        </w:tc>
        <w:tc>
          <w:tcPr>
            <w:tcW w:w="60" w:type="dxa"/>
            <w:vAlign w:val="bottom"/>
          </w:tcPr>
          <w:p>
            <w:pPr>
              <w:spacing w:after="0"/>
              <w:rPr>
                <w:sz w:val="19"/>
                <w:szCs w:val="19"/>
                <w:color w:val="auto"/>
              </w:rPr>
            </w:pPr>
          </w:p>
        </w:tc>
      </w:tr>
      <w:tr>
        <w:trPr>
          <w:trHeight w:val="25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righ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(26,830)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(29,535)</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60" w:type="dxa"/>
            <w:vAlign w:val="bottom"/>
          </w:tcPr>
          <w:p>
            <w:pPr>
              <w:spacing w:after="0"/>
              <w:rPr>
                <w:sz w:val="22"/>
                <w:szCs w:val="22"/>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79"/>
              </w:rPr>
              <w:t>$ 478,941</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$ 390,034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504,448</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492,180</w:t>
            </w:r>
          </w:p>
        </w:tc>
        <w:tc>
          <w:tcPr>
            <w:tcW w:w="6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As of September 30,</w:t>
            </w:r>
          </w:p>
        </w:tc>
        <w:tc>
          <w:tcPr>
            <w:tcW w:w="220" w:type="dxa"/>
            <w:vAlign w:val="bottom"/>
          </w:tcPr>
          <w:p>
            <w:pPr>
              <w:spacing w:after="0"/>
              <w:rPr>
                <w:sz w:val="24"/>
                <w:szCs w:val="2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60" w:type="dxa"/>
            <w:vAlign w:val="bottom"/>
          </w:tcPr>
          <w:p>
            <w:pPr>
              <w:spacing w:after="0"/>
              <w:rPr>
                <w:sz w:val="24"/>
                <w:szCs w:val="24"/>
                <w:color w:val="auto"/>
              </w:rPr>
            </w:pPr>
          </w:p>
        </w:tc>
      </w:tr>
      <w:tr>
        <w:trPr>
          <w:trHeight w:val="196"/>
        </w:trPr>
        <w:tc>
          <w:tcPr>
            <w:tcW w:w="4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175"/>
        </w:trPr>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60" w:type="dxa"/>
            <w:vAlign w:val="bottom"/>
            <w:tcBorders>
              <w:right w:val="single" w:sz="8" w:color="CCEEFF"/>
            </w:tcBorders>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U.S.</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$822,845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$ 851,024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$845,599</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$876,622</w:t>
            </w:r>
          </w:p>
        </w:tc>
        <w:tc>
          <w:tcPr>
            <w:tcW w:w="60" w:type="dxa"/>
            <w:vAlign w:val="bottom"/>
          </w:tcPr>
          <w:p>
            <w:pPr>
              <w:spacing w:after="0"/>
              <w:rPr>
                <w:sz w:val="21"/>
                <w:szCs w:val="21"/>
                <w:color w:val="auto"/>
              </w:rPr>
            </w:pPr>
          </w:p>
        </w:tc>
      </w:tr>
      <w:tr>
        <w:trPr>
          <w:trHeight w:val="257"/>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60" w:type="dxa"/>
            <w:vAlign w:val="bottom"/>
          </w:tcPr>
          <w:p>
            <w:pPr>
              <w:spacing w:after="0"/>
              <w:rPr>
                <w:sz w:val="22"/>
                <w:szCs w:val="22"/>
                <w:color w:val="auto"/>
              </w:rPr>
            </w:pPr>
          </w:p>
        </w:tc>
      </w:tr>
      <w:tr>
        <w:trPr>
          <w:trHeight w:val="236"/>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830,650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$ 859,210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853,586</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881,170</w:t>
            </w:r>
          </w:p>
        </w:tc>
        <w:tc>
          <w:tcPr>
            <w:tcW w:w="6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21.  Subsequent Events</w:t>
      </w:r>
    </w:p>
    <w:p>
      <w:pPr>
        <w:spacing w:after="0" w:line="10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On October 1, 2018, Blackstone acquired a 55% stake of the Thomson Reuters Financial &amp; Risk Business (“Refinitiv”), which includes the Thomson Reuters majority ownership interest in Tradeweb. There were no other subsequent events requiring adjustment to the financial statements or disclosure through December 17, 2018, the date that the Company’s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511810</wp:posOffset>
            </wp:positionV>
            <wp:extent cx="5212080"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571500</wp:posOffset>
            </wp:positionV>
            <wp:extent cx="52120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00"/>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Tradeweb Markets Inc.</w:t>
      </w:r>
    </w:p>
    <w:p>
      <w:pPr>
        <w:spacing w:after="0" w:line="200" w:lineRule="exact"/>
        <w:rPr>
          <w:sz w:val="20"/>
          <w:szCs w:val="20"/>
          <w:color w:val="auto"/>
        </w:rPr>
      </w:pP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60"/>
        <w:spacing w:after="0"/>
        <w:tabs>
          <w:tab w:leader="none" w:pos="2660" w:val="left"/>
          <w:tab w:leader="none" w:pos="6020" w:val="left"/>
          <w:tab w:leader="none" w:pos="7720" w:val="left"/>
        </w:tabs>
        <w:rPr>
          <w:sz w:val="20"/>
          <w:szCs w:val="20"/>
          <w:color w:val="auto"/>
        </w:rPr>
      </w:pPr>
      <w:r>
        <w:rPr>
          <w:rFonts w:ascii="Arial" w:cs="Arial" w:eastAsia="Arial" w:hAnsi="Arial"/>
          <w:sz w:val="25"/>
          <w:szCs w:val="25"/>
          <w:b w:val="1"/>
          <w:bCs w:val="1"/>
          <w:color w:val="auto"/>
        </w:rPr>
        <w:t>Citigroup</w:t>
        <w:tab/>
        <w:t>Goldman Sachs &amp; Co. LLC</w:t>
        <w:tab/>
        <w:t>J.P. Morgan</w:t>
      </w:r>
      <w:r>
        <w:rPr>
          <w:sz w:val="20"/>
          <w:szCs w:val="20"/>
          <w:color w:val="auto"/>
        </w:rPr>
        <w:tab/>
      </w:r>
      <w:r>
        <w:rPr>
          <w:rFonts w:ascii="Arial" w:cs="Arial" w:eastAsia="Arial" w:hAnsi="Arial"/>
          <w:sz w:val="23"/>
          <w:szCs w:val="23"/>
          <w:b w:val="1"/>
          <w:bCs w:val="1"/>
          <w:color w:val="auto"/>
        </w:rPr>
        <w:t>Morgan Stanley</w:t>
      </w:r>
    </w:p>
    <w:p>
      <w:pPr>
        <w:spacing w:after="0" w:line="200" w:lineRule="exact"/>
        <w:rPr>
          <w:sz w:val="20"/>
          <w:szCs w:val="20"/>
          <w:color w:val="auto"/>
        </w:rPr>
      </w:pPr>
    </w:p>
    <w:p>
      <w:pPr>
        <w:spacing w:after="0" w:line="264" w:lineRule="exact"/>
        <w:rPr>
          <w:sz w:val="20"/>
          <w:szCs w:val="20"/>
          <w:color w:val="auto"/>
        </w:rPr>
      </w:pPr>
    </w:p>
    <w:p>
      <w:pPr>
        <w:ind w:left="1680"/>
        <w:spacing w:after="0"/>
        <w:tabs>
          <w:tab w:leader="none" w:pos="4960" w:val="left"/>
          <w:tab w:leader="none" w:pos="752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19"/>
          <w:szCs w:val="19"/>
          <w:b w:val="1"/>
          <w:bCs w:val="1"/>
          <w:color w:val="auto"/>
        </w:rPr>
        <w:t>Credit Suisse</w:t>
      </w:r>
    </w:p>
    <w:p>
      <w:pPr>
        <w:spacing w:after="0" w:line="27" w:lineRule="exact"/>
        <w:rPr>
          <w:sz w:val="20"/>
          <w:szCs w:val="20"/>
          <w:color w:val="auto"/>
        </w:rPr>
      </w:pPr>
    </w:p>
    <w:p>
      <w:pPr>
        <w:ind w:left="1420"/>
        <w:spacing w:after="0"/>
        <w:tabs>
          <w:tab w:leader="none" w:pos="4320" w:val="left"/>
          <w:tab w:leader="none" w:pos="7100"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pacing w:after="0" w:line="288" w:lineRule="exact"/>
        <w:rPr>
          <w:sz w:val="20"/>
          <w:szCs w:val="20"/>
          <w:color w:val="auto"/>
        </w:rPr>
      </w:pPr>
    </w:p>
    <w:p>
      <w:pPr>
        <w:ind w:left="2940"/>
        <w:spacing w:after="0"/>
        <w:tabs>
          <w:tab w:leader="none" w:pos="622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right="819"/>
        <w:spacing w:after="0" w:line="238" w:lineRule="auto"/>
        <w:rPr>
          <w:sz w:val="20"/>
          <w:szCs w:val="20"/>
          <w:color w:val="auto"/>
        </w:rPr>
      </w:pPr>
      <w:r>
        <w:rPr>
          <w:rFonts w:ascii="Arial" w:cs="Arial" w:eastAsia="Arial" w:hAnsi="Arial"/>
          <w:sz w:val="18"/>
          <w:szCs w:val="18"/>
          <w:color w:val="auto"/>
        </w:rPr>
        <w:t>Through and including , 2019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139065</wp:posOffset>
            </wp:positionV>
            <wp:extent cx="52120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182245</wp:posOffset>
            </wp:positionV>
            <wp:extent cx="5212080" cy="260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760730</wp:posOffset>
            </wp:positionV>
            <wp:extent cx="683196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8" w:name="page229"/>
    <w:bookmarkEnd w:id="228"/>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PART II.</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stock exchange listing fee:</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Amount</w:t>
            </w:r>
          </w:p>
        </w:tc>
      </w:tr>
      <w:tr>
        <w:trPr>
          <w:trHeight w:val="26"/>
        </w:trPr>
        <w:tc>
          <w:tcPr>
            <w:tcW w:w="19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6"/>
        </w:trPr>
        <w:tc>
          <w:tcPr>
            <w:tcW w:w="734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54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58"/>
        </w:trPr>
        <w:tc>
          <w:tcPr>
            <w:tcW w:w="734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7340" w:type="dxa"/>
            <w:vAlign w:val="bottom"/>
            <w:gridSpan w:val="3"/>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-2339975</wp:posOffset>
            </wp:positionV>
            <wp:extent cx="457771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577715" cy="8890"/>
                    </a:xfrm>
                    <a:prstGeom prst="rect">
                      <a:avLst/>
                    </a:prstGeom>
                    <a:noFill/>
                  </pic:spPr>
                </pic:pic>
              </a:graphicData>
            </a:graphic>
          </wp:anchor>
        </w:drawing>
      </w:r>
    </w:p>
    <w:p>
      <w:pPr>
        <w:spacing w:after="0" w:line="60"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will contain a provision which eliminates directors’ personal liability as set forth above.</w:t>
      </w:r>
    </w:p>
    <w:p>
      <w:pPr>
        <w:spacing w:after="0" w:line="57"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4" w:lineRule="exact"/>
        <w:rPr>
          <w:sz w:val="20"/>
          <w:szCs w:val="20"/>
          <w:color w:val="auto"/>
        </w:rPr>
      </w:pPr>
    </w:p>
    <w:p>
      <w:pPr>
        <w:ind w:left="1260" w:right="1019" w:firstLine="360"/>
        <w:spacing w:after="0" w:line="293" w:lineRule="auto"/>
        <w:rPr>
          <w:sz w:val="20"/>
          <w:szCs w:val="20"/>
          <w:color w:val="auto"/>
        </w:rPr>
      </w:pPr>
      <w:r>
        <w:rPr>
          <w:rFonts w:ascii="Arial" w:cs="Arial" w:eastAsia="Arial" w:hAnsi="Arial"/>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96" w:lineRule="auto"/>
        <w:rPr>
          <w:sz w:val="20"/>
          <w:szCs w:val="20"/>
          <w:color w:val="auto"/>
        </w:rPr>
      </w:pPr>
      <w:r>
        <w:rPr>
          <w:rFonts w:ascii="Arial" w:cs="Arial" w:eastAsia="Arial" w:hAnsi="Arial"/>
          <w:sz w:val="16"/>
          <w:szCs w:val="16"/>
          <w:color w:val="auto"/>
        </w:rPr>
        <w:t>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53"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w:t>
      </w:r>
    </w:p>
    <w:p>
      <w:pPr>
        <w:ind w:left="1260" w:right="759"/>
        <w:spacing w:after="0" w:line="281"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5" w:lineRule="exact"/>
        <w:rPr>
          <w:sz w:val="20"/>
          <w:szCs w:val="20"/>
          <w:color w:val="auto"/>
        </w:rPr>
      </w:pPr>
    </w:p>
    <w:p>
      <w:pPr>
        <w:ind w:left="1260" w:right="679" w:firstLine="8"/>
        <w:spacing w:after="0" w:line="271" w:lineRule="auto"/>
        <w:tabs>
          <w:tab w:leader="none" w:pos="151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will provide that the registrant shall indemnify its directors and officers to the extent permitted by the Delaware law. The right to indemnification conferred by the registrant’s amended and restated certificate of incorporation and amended and restated bylaws will also include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4"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registrant intends to enter into indemnification agreements with each of its directors and executive officers, a form of which will be filed as an exhibit to a pre-effective amendment to this Registration Statement.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4"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In addition, the registrant intends to maintain standard policies of insurance that provide coverage (1) to its directors and officers against loss rising from claims made by reason of breach of duty or other wrongful act and</w:t>
      </w:r>
    </w:p>
    <w:p>
      <w:pPr>
        <w:ind w:left="1260" w:right="839" w:firstLine="8"/>
        <w:spacing w:after="0" w:line="260" w:lineRule="auto"/>
        <w:tabs>
          <w:tab w:leader="none" w:pos="15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registrant with respect to indemnification payments that the registrant may make to such directors and officers.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left="1260" w:right="67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1980" w:right="799" w:hanging="352"/>
        <w:spacing w:after="0" w:line="257" w:lineRule="auto"/>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3" w:lineRule="exact"/>
        <w:rPr>
          <w:rFonts w:ascii="Arial" w:cs="Arial" w:eastAsia="Arial" w:hAnsi="Arial"/>
          <w:sz w:val="18"/>
          <w:szCs w:val="18"/>
          <w:color w:val="auto"/>
        </w:rPr>
      </w:pPr>
    </w:p>
    <w:p>
      <w:pPr>
        <w:ind w:left="1980" w:right="739" w:hanging="352"/>
        <w:spacing w:after="0" w:line="259" w:lineRule="auto"/>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
          </w:tcPr>
          <w:p>
            <w:pPr>
              <w:ind w:left="2240"/>
              <w:spacing w:after="0"/>
              <w:rPr>
                <w:sz w:val="20"/>
                <w:szCs w:val="20"/>
                <w:color w:val="auto"/>
              </w:rPr>
            </w:pPr>
            <w:r>
              <w:rPr>
                <w:rFonts w:ascii="Arial" w:cs="Arial" w:eastAsia="Arial" w:hAnsi="Arial"/>
                <w:sz w:val="18"/>
                <w:szCs w:val="18"/>
                <w:b w:val="1"/>
                <w:bCs w:val="1"/>
                <w:color w:val="auto"/>
              </w:rPr>
              <w:t>INDEX TO EXHIBITS</w:t>
            </w:r>
          </w:p>
        </w:tc>
      </w:tr>
      <w:tr>
        <w:trPr>
          <w:trHeight w:val="274"/>
        </w:trPr>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352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186"/>
        </w:trPr>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No.</w:t>
            </w:r>
          </w:p>
        </w:tc>
        <w:tc>
          <w:tcPr>
            <w:tcW w:w="7240" w:type="dxa"/>
            <w:vAlign w:val="bottom"/>
            <w:gridSpan w:val="2"/>
          </w:tcPr>
          <w:p>
            <w:pPr>
              <w:ind w:left="302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50"/>
        </w:trPr>
        <w:tc>
          <w:tcPr>
            <w:tcW w:w="76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3720" w:type="dxa"/>
            <w:vAlign w:val="bottom"/>
          </w:tcPr>
          <w:p>
            <w:pPr>
              <w:spacing w:after="0"/>
              <w:rPr>
                <w:sz w:val="21"/>
                <w:szCs w:val="21"/>
                <w:color w:val="auto"/>
              </w:rPr>
            </w:pPr>
          </w:p>
        </w:tc>
      </w:tr>
      <w:tr>
        <w:trPr>
          <w:trHeight w:val="242"/>
        </w:trPr>
        <w:tc>
          <w:tcPr>
            <w:tcW w:w="76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22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8"/>
              </w:rPr>
              <w:t>Form of Amended and Restated Certificate of Incorporation of Tradeweb Markets Inc., to be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effective prior to or upon the closing of this offering.</w:t>
            </w:r>
          </w:p>
        </w:tc>
      </w:tr>
      <w:tr>
        <w:trPr>
          <w:trHeight w:val="256"/>
        </w:trPr>
        <w:tc>
          <w:tcPr>
            <w:tcW w:w="7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22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Form of Amended and Restated Bylaws of Tradeweb Markets Inc., to be effective prior to or upon</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the closing of this offering.</w:t>
            </w:r>
          </w:p>
        </w:tc>
        <w:tc>
          <w:tcPr>
            <w:tcW w:w="3720" w:type="dxa"/>
            <w:vAlign w:val="bottom"/>
          </w:tcPr>
          <w:p>
            <w:pPr>
              <w:spacing w:after="0"/>
              <w:rPr>
                <w:sz w:val="20"/>
                <w:szCs w:val="20"/>
                <w:color w:val="auto"/>
              </w:rPr>
            </w:pP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Specimen Common Stock Certificate of Tradeweb Markets Inc.</w:t>
            </w:r>
          </w:p>
        </w:tc>
      </w:tr>
      <w:tr>
        <w:trPr>
          <w:trHeight w:val="270"/>
        </w:trPr>
        <w:tc>
          <w:tcPr>
            <w:tcW w:w="7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2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Opinion of Fried, Frank, Harris, Shriver &amp; Jacobson LLP.</w:t>
            </w: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Form of Stockholders Agreement, to be effective upon the closing of the offering.</w:t>
            </w:r>
          </w:p>
        </w:tc>
      </w:tr>
      <w:tr>
        <w:trPr>
          <w:trHeight w:val="284"/>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 to be effective upon the closing of the offering.</w:t>
            </w:r>
          </w:p>
        </w:tc>
      </w:tr>
      <w:tr>
        <w:trPr>
          <w:trHeight w:val="256"/>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2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4"/>
              </w:rPr>
              <w:t>Form of Fifth Amended and Restated LLC Agreement of Tradeweb Markets LLC, to be effective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upon closing of this offering.</w:t>
            </w:r>
          </w:p>
        </w:tc>
        <w:tc>
          <w:tcPr>
            <w:tcW w:w="3720" w:type="dxa"/>
            <w:vAlign w:val="bottom"/>
          </w:tcPr>
          <w:p>
            <w:pPr>
              <w:spacing w:after="0"/>
              <w:rPr>
                <w:sz w:val="20"/>
                <w:szCs w:val="20"/>
                <w:color w:val="auto"/>
              </w:rPr>
            </w:pPr>
          </w:p>
        </w:tc>
      </w:tr>
      <w:tr>
        <w:trPr>
          <w:trHeight w:val="297"/>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Form of Tax Receivable Agreement, to be effective upon the closing of this offering.</w:t>
            </w:r>
          </w:p>
        </w:tc>
      </w:tr>
      <w:tr>
        <w:trPr>
          <w:trHeight w:val="313"/>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10.5*</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Employment Agreement by and between Lee Olesky and Tradeweb Markets LLC.</w:t>
            </w:r>
          </w:p>
        </w:tc>
      </w:tr>
      <w:tr>
        <w:trPr>
          <w:trHeight w:val="297"/>
        </w:trPr>
        <w:tc>
          <w:tcPr>
            <w:tcW w:w="760" w:type="dxa"/>
            <w:vAlign w:val="bottom"/>
          </w:tcPr>
          <w:p>
            <w:pPr>
              <w:jc w:val="center"/>
              <w:spacing w:after="0" w:line="297" w:lineRule="exact"/>
              <w:rPr>
                <w:sz w:val="20"/>
                <w:szCs w:val="20"/>
                <w:color w:val="auto"/>
              </w:rPr>
            </w:pPr>
            <w:r>
              <w:rPr>
                <w:rFonts w:ascii="Arial" w:cs="Arial" w:eastAsia="Arial" w:hAnsi="Arial"/>
                <w:sz w:val="18"/>
                <w:szCs w:val="18"/>
                <w:color w:val="auto"/>
                <w:w w:val="91"/>
              </w:rPr>
              <w:t>10.6*</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Employment Agreement by and between William Hult and Tradeweb Markets LLC.</w:t>
            </w:r>
          </w:p>
        </w:tc>
      </w:tr>
      <w:tr>
        <w:trPr>
          <w:trHeight w:val="284"/>
        </w:trPr>
        <w:tc>
          <w:tcPr>
            <w:tcW w:w="760" w:type="dxa"/>
            <w:vAlign w:val="bottom"/>
          </w:tcPr>
          <w:p>
            <w:pPr>
              <w:jc w:val="center"/>
              <w:spacing w:after="0" w:line="283" w:lineRule="exact"/>
              <w:rPr>
                <w:sz w:val="20"/>
                <w:szCs w:val="20"/>
                <w:color w:val="auto"/>
              </w:rPr>
            </w:pPr>
            <w:r>
              <w:rPr>
                <w:rFonts w:ascii="Arial" w:cs="Arial" w:eastAsia="Arial" w:hAnsi="Arial"/>
                <w:sz w:val="18"/>
                <w:szCs w:val="18"/>
                <w:color w:val="auto"/>
                <w:w w:val="91"/>
              </w:rPr>
              <w:t>10.7*</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Amended and Restated Tradeweb Markets Inc. 2018 Share Option Plan.</w:t>
            </w:r>
          </w:p>
        </w:tc>
      </w:tr>
      <w:tr>
        <w:trPr>
          <w:trHeight w:val="253"/>
        </w:trPr>
        <w:tc>
          <w:tcPr>
            <w:tcW w:w="760" w:type="dxa"/>
            <w:vAlign w:val="bottom"/>
          </w:tcPr>
          <w:p>
            <w:pPr>
              <w:jc w:val="center"/>
              <w:spacing w:after="0" w:line="253" w:lineRule="exact"/>
              <w:rPr>
                <w:sz w:val="20"/>
                <w:szCs w:val="20"/>
                <w:color w:val="auto"/>
              </w:rPr>
            </w:pPr>
            <w:r>
              <w:rPr>
                <w:rFonts w:ascii="Arial" w:cs="Arial" w:eastAsia="Arial" w:hAnsi="Arial"/>
                <w:sz w:val="18"/>
                <w:szCs w:val="18"/>
                <w:color w:val="auto"/>
                <w:w w:val="91"/>
              </w:rPr>
              <w:t>10.8*</w:t>
            </w:r>
            <w:r>
              <w:rPr>
                <w:rFonts w:ascii="Arial" w:cs="Arial" w:eastAsia="Arial" w:hAnsi="Arial"/>
                <w:sz w:val="26"/>
                <w:szCs w:val="26"/>
                <w:color w:val="auto"/>
                <w:w w:val="91"/>
                <w:vertAlign w:val="superscript"/>
              </w:rPr>
              <w:t>+</w:t>
            </w:r>
          </w:p>
        </w:tc>
        <w:tc>
          <w:tcPr>
            <w:tcW w:w="22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Form of Option Agreement under the Amended and Restated Tradeweb Markets Inc. 2018 Share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Option Plan.</w:t>
            </w:r>
          </w:p>
        </w:tc>
        <w:tc>
          <w:tcPr>
            <w:tcW w:w="3720" w:type="dxa"/>
            <w:vAlign w:val="bottom"/>
          </w:tcPr>
          <w:p>
            <w:pPr>
              <w:spacing w:after="0"/>
              <w:rPr>
                <w:sz w:val="20"/>
                <w:szCs w:val="20"/>
                <w:color w:val="auto"/>
              </w:rPr>
            </w:pPr>
          </w:p>
        </w:tc>
      </w:tr>
      <w:tr>
        <w:trPr>
          <w:trHeight w:val="313"/>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10.9*</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Amended &amp; Restated Tradeweb Markets Inc. PRSU Plan.</w:t>
            </w:r>
          </w:p>
        </w:tc>
      </w:tr>
      <w:tr>
        <w:trPr>
          <w:trHeight w:val="310"/>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10.10*</w:t>
            </w:r>
            <w:r>
              <w:rPr>
                <w:rFonts w:ascii="Arial" w:cs="Arial" w:eastAsia="Arial" w:hAnsi="Arial"/>
                <w:sz w:val="26"/>
                <w:szCs w:val="26"/>
                <w:color w:val="auto"/>
                <w:w w:val="93"/>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5"/>
              </w:rPr>
              <w:t>Form of PRSU Agreement under the Amended &amp; Restated Tradeweb Markets Inc. PRSU Plan.</w:t>
            </w:r>
          </w:p>
        </w:tc>
      </w:tr>
      <w:tr>
        <w:trPr>
          <w:trHeight w:val="297"/>
        </w:trPr>
        <w:tc>
          <w:tcPr>
            <w:tcW w:w="760" w:type="dxa"/>
            <w:vAlign w:val="bottom"/>
          </w:tcPr>
          <w:p>
            <w:pPr>
              <w:jc w:val="center"/>
              <w:spacing w:after="0" w:line="297" w:lineRule="exact"/>
              <w:rPr>
                <w:sz w:val="20"/>
                <w:szCs w:val="20"/>
                <w:color w:val="auto"/>
              </w:rPr>
            </w:pPr>
            <w:r>
              <w:rPr>
                <w:rFonts w:ascii="Arial" w:cs="Arial" w:eastAsia="Arial" w:hAnsi="Arial"/>
                <w:sz w:val="18"/>
                <w:szCs w:val="18"/>
                <w:color w:val="auto"/>
                <w:w w:val="90"/>
              </w:rPr>
              <w:t>10.11*</w:t>
            </w:r>
            <w:r>
              <w:rPr>
                <w:rFonts w:ascii="Arial" w:cs="Arial" w:eastAsia="Arial" w:hAnsi="Arial"/>
                <w:sz w:val="26"/>
                <w:szCs w:val="26"/>
                <w:color w:val="auto"/>
                <w:w w:val="90"/>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Tradeweb Markets Inc. 2019 Omnibus Equity Incentive Plan.</w:t>
            </w:r>
          </w:p>
        </w:tc>
      </w:tr>
      <w:tr>
        <w:trPr>
          <w:trHeight w:val="283"/>
        </w:trPr>
        <w:tc>
          <w:tcPr>
            <w:tcW w:w="760" w:type="dxa"/>
            <w:vAlign w:val="bottom"/>
          </w:tcPr>
          <w:p>
            <w:pPr>
              <w:jc w:val="center"/>
              <w:spacing w:after="0" w:line="283" w:lineRule="exact"/>
              <w:rPr>
                <w:sz w:val="20"/>
                <w:szCs w:val="20"/>
                <w:color w:val="auto"/>
              </w:rPr>
            </w:pPr>
            <w:r>
              <w:rPr>
                <w:rFonts w:ascii="Arial" w:cs="Arial" w:eastAsia="Arial" w:hAnsi="Arial"/>
                <w:sz w:val="18"/>
                <w:szCs w:val="18"/>
                <w:color w:val="auto"/>
                <w:w w:val="93"/>
              </w:rPr>
              <w:t>10.12*</w:t>
            </w:r>
            <w:r>
              <w:rPr>
                <w:rFonts w:ascii="Arial" w:cs="Arial" w:eastAsia="Arial" w:hAnsi="Arial"/>
                <w:sz w:val="26"/>
                <w:szCs w:val="26"/>
                <w:color w:val="auto"/>
                <w:w w:val="93"/>
                <w:vertAlign w:val="superscript"/>
              </w:rPr>
              <w:t>+</w:t>
            </w:r>
          </w:p>
        </w:tc>
        <w:tc>
          <w:tcPr>
            <w:tcW w:w="2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3720" w:type="dxa"/>
            <w:vAlign w:val="bottom"/>
          </w:tcPr>
          <w:p>
            <w:pPr>
              <w:spacing w:after="0"/>
              <w:rPr>
                <w:sz w:val="24"/>
                <w:szCs w:val="24"/>
                <w:color w:val="auto"/>
              </w:rPr>
            </w:pPr>
          </w:p>
        </w:tc>
      </w:tr>
      <w:tr>
        <w:trPr>
          <w:trHeight w:val="253"/>
        </w:trPr>
        <w:tc>
          <w:tcPr>
            <w:tcW w:w="980" w:type="dxa"/>
            <w:vAlign w:val="bottom"/>
            <w:gridSpan w:val="2"/>
          </w:tcPr>
          <w:p>
            <w:pPr>
              <w:ind w:left="100"/>
              <w:spacing w:after="0" w:line="253" w:lineRule="exact"/>
              <w:rPr>
                <w:sz w:val="20"/>
                <w:szCs w:val="20"/>
                <w:color w:val="auto"/>
              </w:rPr>
            </w:pPr>
            <w:r>
              <w:rPr>
                <w:rFonts w:ascii="Arial" w:cs="Arial" w:eastAsia="Arial" w:hAnsi="Arial"/>
                <w:sz w:val="18"/>
                <w:szCs w:val="18"/>
                <w:color w:val="auto"/>
              </w:rPr>
              <w:t>10.13</w:t>
            </w:r>
            <w:r>
              <w:rPr>
                <w:rFonts w:ascii="Arial" w:cs="Arial" w:eastAsia="Arial" w:hAnsi="Arial"/>
                <w:sz w:val="26"/>
                <w:szCs w:val="26"/>
                <w:color w:val="auto"/>
                <w:vertAlign w:val="superscript"/>
              </w:rPr>
              <w:t>†</w:t>
            </w:r>
          </w:p>
        </w:tc>
        <w:tc>
          <w:tcPr>
            <w:tcW w:w="7240" w:type="dxa"/>
            <w:vAlign w:val="bottom"/>
            <w:gridSpan w:val="2"/>
          </w:tcPr>
          <w:p>
            <w:pPr>
              <w:spacing w:after="0"/>
              <w:rPr>
                <w:sz w:val="20"/>
                <w:szCs w:val="20"/>
                <w:color w:val="auto"/>
              </w:rPr>
            </w:pPr>
            <w:r>
              <w:rPr>
                <w:rFonts w:ascii="Arial" w:cs="Arial" w:eastAsia="Arial" w:hAnsi="Arial"/>
                <w:sz w:val="18"/>
                <w:szCs w:val="18"/>
                <w:color w:val="auto"/>
                <w:w w:val="92"/>
              </w:rPr>
              <w:t>Second Amended &amp; Restated Market Data Agreement, dated November 1, 2018, by and between</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8"/>
              </w:rPr>
              <w:t>Tradeweb Markets LLC, Thomson Reuters (Markets) LLC and Thomson Reuters (GRC) Inc.</w:t>
            </w:r>
          </w:p>
        </w:tc>
      </w:tr>
      <w:tr>
        <w:trPr>
          <w:trHeight w:val="269"/>
        </w:trPr>
        <w:tc>
          <w:tcPr>
            <w:tcW w:w="760" w:type="dxa"/>
            <w:vAlign w:val="bottom"/>
          </w:tcPr>
          <w:p>
            <w:pPr>
              <w:jc w:val="center"/>
              <w:spacing w:after="0"/>
              <w:rPr>
                <w:sz w:val="20"/>
                <w:szCs w:val="20"/>
                <w:color w:val="auto"/>
              </w:rPr>
            </w:pPr>
            <w:r>
              <w:rPr>
                <w:rFonts w:ascii="Arial" w:cs="Arial" w:eastAsia="Arial" w:hAnsi="Arial"/>
                <w:sz w:val="18"/>
                <w:szCs w:val="18"/>
                <w:color w:val="auto"/>
                <w:w w:val="95"/>
              </w:rPr>
              <w:t>16.1*</w:t>
            </w:r>
          </w:p>
        </w:tc>
        <w:tc>
          <w:tcPr>
            <w:tcW w:w="22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Letter of PricewaterhouseCoopers LLP, dated</w:t>
            </w:r>
          </w:p>
        </w:tc>
        <w:tc>
          <w:tcPr>
            <w:tcW w:w="3720" w:type="dxa"/>
            <w:vAlign w:val="bottom"/>
          </w:tcPr>
          <w:p>
            <w:pPr>
              <w:ind w:left="160"/>
              <w:spacing w:after="0"/>
              <w:rPr>
                <w:sz w:val="20"/>
                <w:szCs w:val="20"/>
                <w:color w:val="auto"/>
              </w:rPr>
            </w:pPr>
            <w:r>
              <w:rPr>
                <w:rFonts w:ascii="Arial" w:cs="Arial" w:eastAsia="Arial" w:hAnsi="Arial"/>
                <w:sz w:val="18"/>
                <w:szCs w:val="18"/>
                <w:color w:val="auto"/>
                <w:w w:val="94"/>
              </w:rPr>
              <w:t>, regarding change in Tradeweb Markets LLC’s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independent registered public accounting firm.</w:t>
            </w:r>
          </w:p>
        </w:tc>
        <w:tc>
          <w:tcPr>
            <w:tcW w:w="3720" w:type="dxa"/>
            <w:vAlign w:val="bottom"/>
          </w:tcPr>
          <w:p>
            <w:pPr>
              <w:spacing w:after="0"/>
              <w:rPr>
                <w:sz w:val="20"/>
                <w:szCs w:val="20"/>
                <w:color w:val="auto"/>
              </w:rPr>
            </w:pPr>
          </w:p>
        </w:tc>
      </w:tr>
      <w:tr>
        <w:trPr>
          <w:trHeight w:val="297"/>
        </w:trPr>
        <w:tc>
          <w:tcPr>
            <w:tcW w:w="760" w:type="dxa"/>
            <w:vAlign w:val="bottom"/>
          </w:tcPr>
          <w:p>
            <w:pPr>
              <w:jc w:val="center"/>
              <w:spacing w:after="0"/>
              <w:rPr>
                <w:sz w:val="20"/>
                <w:szCs w:val="20"/>
                <w:color w:val="auto"/>
              </w:rPr>
            </w:pPr>
            <w:r>
              <w:rPr>
                <w:rFonts w:ascii="Arial" w:cs="Arial" w:eastAsia="Arial" w:hAnsi="Arial"/>
                <w:sz w:val="18"/>
                <w:szCs w:val="18"/>
                <w:color w:val="auto"/>
                <w:w w:val="95"/>
              </w:rPr>
              <w:t>21.1*</w:t>
            </w:r>
          </w:p>
        </w:tc>
        <w:tc>
          <w:tcPr>
            <w:tcW w:w="2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List of Subsidiaries of Tradeweb Markets Inc.</w:t>
            </w:r>
          </w:p>
        </w:tc>
        <w:tc>
          <w:tcPr>
            <w:tcW w:w="3720" w:type="dxa"/>
            <w:vAlign w:val="bottom"/>
          </w:tcPr>
          <w:p>
            <w:pPr>
              <w:spacing w:after="0"/>
              <w:rPr>
                <w:sz w:val="24"/>
                <w:szCs w:val="24"/>
                <w:color w:val="auto"/>
              </w:rPr>
            </w:pP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2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3720" w:type="dxa"/>
            <w:vAlign w:val="bottom"/>
          </w:tcPr>
          <w:p>
            <w:pPr>
              <w:spacing w:after="0"/>
              <w:rPr>
                <w:sz w:val="24"/>
                <w:szCs w:val="24"/>
                <w:color w:val="auto"/>
              </w:rPr>
            </w:pPr>
          </w:p>
        </w:tc>
      </w:tr>
      <w:tr>
        <w:trPr>
          <w:trHeight w:val="284"/>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2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3720" w:type="dxa"/>
            <w:vAlign w:val="bottom"/>
          </w:tcPr>
          <w:p>
            <w:pPr>
              <w:spacing w:after="0"/>
              <w:rPr>
                <w:sz w:val="24"/>
                <w:szCs w:val="24"/>
                <w:color w:val="auto"/>
              </w:rPr>
            </w:pP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23.3*</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Consent of Fried, Frank, Harris, Shriver &amp; Jacobson LLP (included in Exhibit 5.1).</w:t>
            </w: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Power of Attorney (included in signature pages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179705</wp:posOffset>
            </wp:positionV>
            <wp:extent cx="123444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352"/>
        <w:spacing w:after="0"/>
        <w:tabs>
          <w:tab w:leader="none" w:pos="1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98" w:lineRule="exact"/>
        <w:rPr>
          <w:sz w:val="20"/>
          <w:szCs w:val="20"/>
          <w:color w:val="auto"/>
        </w:rPr>
      </w:pPr>
    </w:p>
    <w:p>
      <w:pPr>
        <w:ind w:left="1620" w:hanging="352"/>
        <w:spacing w:after="0"/>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1620" w:right="839" w:hanging="352"/>
        <w:spacing w:after="0" w:line="277" w:lineRule="auto"/>
        <w:tabs>
          <w:tab w:leader="none" w:pos="1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submitted to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19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w:t>
      </w:r>
    </w:p>
    <w:tbl>
      <w:tblPr>
        <w:tblLayout w:type="fixed"/>
        <w:tblInd w:w="12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New York, New York, on this</w:t>
            </w:r>
          </w:p>
        </w:tc>
        <w:tc>
          <w:tcPr>
            <w:tcW w:w="900" w:type="dxa"/>
            <w:vAlign w:val="bottom"/>
          </w:tcPr>
          <w:p>
            <w:pPr>
              <w:ind w:left="220"/>
              <w:spacing w:after="0"/>
              <w:rPr>
                <w:sz w:val="20"/>
                <w:szCs w:val="20"/>
                <w:color w:val="auto"/>
              </w:rPr>
            </w:pPr>
            <w:r>
              <w:rPr>
                <w:rFonts w:ascii="Arial" w:cs="Arial" w:eastAsia="Arial" w:hAnsi="Arial"/>
                <w:sz w:val="18"/>
                <w:szCs w:val="18"/>
                <w:color w:val="auto"/>
              </w:rPr>
              <w:t>day of</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900" w:type="dxa"/>
            <w:vAlign w:val="bottom"/>
          </w:tcPr>
          <w:p>
            <w:pPr>
              <w:spacing w:after="0"/>
              <w:rPr>
                <w:sz w:val="20"/>
                <w:szCs w:val="20"/>
                <w:color w:val="auto"/>
              </w:rPr>
            </w:pPr>
          </w:p>
        </w:tc>
      </w:tr>
      <w:tr>
        <w:trPr>
          <w:trHeight w:val="310"/>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b w:val="1"/>
                <w:bCs w:val="1"/>
                <w:color w:val="auto"/>
              </w:rPr>
              <w:t>Tradeweb Markets Inc.</w:t>
            </w:r>
          </w:p>
        </w:tc>
      </w:tr>
      <w:tr>
        <w:trPr>
          <w:trHeight w:val="378"/>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54"/>
        </w:trPr>
        <w:tc>
          <w:tcPr>
            <w:tcW w:w="2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r>
      <w:tr>
        <w:trPr>
          <w:trHeight w:val="236"/>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Lee Olesky</w:t>
            </w:r>
          </w:p>
        </w:tc>
      </w:tr>
      <w:tr>
        <w:trPr>
          <w:trHeight w:val="230"/>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9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KNOW ALL MEN BY THESE PRESENTS, that each of the undersigned directors and officers of Tradeweb Markets Inc.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and about the premises, as fully to all intents and purposes as he might or could do in person, and hereby ratifying and confirming all that either of the said attorneys-in-fact and agents, or his or her substitute or substitutes, may lawfully do or cause to be done by virtue hereof.</w:t>
      </w:r>
    </w:p>
    <w:p>
      <w:pPr>
        <w:spacing w:after="0" w:line="71"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7" w:lineRule="exact"/>
        <w:rPr>
          <w:sz w:val="20"/>
          <w:szCs w:val="20"/>
          <w:color w:val="auto"/>
        </w:rPr>
      </w:pPr>
    </w:p>
    <w:p>
      <w:pPr>
        <w:ind w:left="2220"/>
        <w:spacing w:after="0"/>
        <w:tabs>
          <w:tab w:leader="none" w:pos="5640" w:val="left"/>
          <w:tab w:leader="none" w:pos="85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w w:val="93"/>
              </w:rPr>
              <w:t>Chief Executive Officer (Principal Executive</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tcPr>
          <w:p>
            <w:pPr>
              <w:spacing w:after="0"/>
              <w:rPr>
                <w:sz w:val="20"/>
                <w:szCs w:val="20"/>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50"/>
        </w:trPr>
        <w:tc>
          <w:tcPr>
            <w:tcW w:w="2480" w:type="dxa"/>
            <w:vAlign w:val="bottom"/>
          </w:tcPr>
          <w:p>
            <w:pPr>
              <w:jc w:val="center"/>
              <w:spacing w:after="0"/>
              <w:rPr>
                <w:sz w:val="20"/>
                <w:szCs w:val="20"/>
                <w:color w:val="auto"/>
              </w:rPr>
            </w:pPr>
            <w:r>
              <w:rPr>
                <w:rFonts w:ascii="Arial" w:cs="Arial" w:eastAsia="Arial" w:hAnsi="Arial"/>
                <w:sz w:val="18"/>
                <w:szCs w:val="18"/>
                <w:color w:val="auto"/>
                <w:w w:val="91"/>
              </w:rPr>
              <w:t>Lee Olesky</w:t>
            </w: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80" w:type="dxa"/>
            <w:vAlign w:val="bottom"/>
            <w:tcBorders>
              <w:bottom w:val="single" w:sz="8" w:color="auto"/>
            </w:tcBorders>
          </w:tcPr>
          <w:p>
            <w:pPr>
              <w:spacing w:after="0"/>
              <w:rPr>
                <w:sz w:val="23"/>
                <w:szCs w:val="23"/>
                <w:color w:val="auto"/>
              </w:rPr>
            </w:pPr>
          </w:p>
        </w:tc>
        <w:tc>
          <w:tcPr>
            <w:tcW w:w="3480" w:type="dxa"/>
            <w:vAlign w:val="bottom"/>
            <w:vMerge w:val="restart"/>
          </w:tcPr>
          <w:p>
            <w:pPr>
              <w:ind w:left="220"/>
              <w:spacing w:after="0"/>
              <w:rPr>
                <w:sz w:val="20"/>
                <w:szCs w:val="20"/>
                <w:color w:val="auto"/>
              </w:rPr>
            </w:pPr>
            <w:r>
              <w:rPr>
                <w:rFonts w:ascii="Arial" w:cs="Arial" w:eastAsia="Arial" w:hAnsi="Arial"/>
                <w:sz w:val="18"/>
                <w:szCs w:val="18"/>
                <w:color w:val="auto"/>
                <w:w w:val="96"/>
              </w:rPr>
              <w:t>Chief Financial Officer (Principal Financial</w:t>
            </w:r>
          </w:p>
        </w:tc>
        <w:tc>
          <w:tcPr>
            <w:tcW w:w="0" w:type="dxa"/>
            <w:vAlign w:val="bottom"/>
          </w:tcPr>
          <w:p>
            <w:pPr>
              <w:spacing w:after="0"/>
              <w:rPr>
                <w:sz w:val="1"/>
                <w:szCs w:val="1"/>
                <w:color w:val="auto"/>
              </w:rPr>
            </w:pPr>
          </w:p>
        </w:tc>
      </w:tr>
      <w:tr>
        <w:trPr>
          <w:trHeight w:val="74"/>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8"/>
              </w:rPr>
              <w:t>Robert Warshaw</w:t>
            </w: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3" w:name="page234"/>
    <w:bookmarkEnd w:id="233"/>
    <w:p>
      <w:pPr>
        <w:ind w:left="10220"/>
        <w:spacing w:after="0"/>
        <w:rPr>
          <w:sz w:val="20"/>
          <w:szCs w:val="20"/>
          <w:color w:val="auto"/>
        </w:rPr>
      </w:pPr>
      <w:r>
        <w:rPr>
          <w:rFonts w:ascii="Arial" w:cs="Arial" w:eastAsia="Arial" w:hAnsi="Arial"/>
          <w:sz w:val="16"/>
          <w:szCs w:val="16"/>
          <w:b w:val="1"/>
          <w:bCs w:val="1"/>
          <w:color w:val="auto"/>
        </w:rPr>
        <w:t>Exhibit 10.13</w:t>
      </w:r>
    </w:p>
    <w:p>
      <w:pPr>
        <w:spacing w:after="0" w:line="248" w:lineRule="exact"/>
        <w:rPr>
          <w:sz w:val="20"/>
          <w:szCs w:val="20"/>
          <w:color w:val="auto"/>
        </w:rPr>
      </w:pPr>
    </w:p>
    <w:p>
      <w:pPr>
        <w:jc w:val="center"/>
        <w:ind w:left="340" w:right="20"/>
        <w:spacing w:after="0" w:line="282" w:lineRule="auto"/>
        <w:rPr>
          <w:sz w:val="20"/>
          <w:szCs w:val="20"/>
          <w:color w:val="auto"/>
        </w:rPr>
      </w:pPr>
      <w:r>
        <w:rPr>
          <w:rFonts w:ascii="Arial" w:cs="Arial" w:eastAsia="Arial" w:hAnsi="Arial"/>
          <w:sz w:val="18"/>
          <w:szCs w:val="18"/>
          <w:b w:val="1"/>
          <w:bCs w:val="1"/>
          <w:color w:val="auto"/>
        </w:rPr>
        <w:t>In this document, “[***]” indicates that confidential materials have been redacted from this document and filed separately with the Securities and Exchange Commission.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&amp; RESTATED MARKET DATA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SECOND AMENDED &amp; RESTATED MARKET DATA AGREEMENT (this “</w:t>
      </w:r>
      <w:r>
        <w:rPr>
          <w:rFonts w:ascii="Arial" w:cs="Arial" w:eastAsia="Arial" w:hAnsi="Arial"/>
          <w:sz w:val="18"/>
          <w:szCs w:val="18"/>
          <w:u w:val="single" w:color="auto"/>
          <w:color w:val="auto"/>
        </w:rPr>
        <w:t>Second A&amp;R Agreement</w:t>
      </w:r>
      <w:r>
        <w:rPr>
          <w:rFonts w:ascii="Arial" w:cs="Arial" w:eastAsia="Arial" w:hAnsi="Arial"/>
          <w:sz w:val="18"/>
          <w:szCs w:val="18"/>
          <w:color w:val="auto"/>
        </w:rPr>
        <w:t>”), dated November 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Tradeweb Markets LLC, a Delaware limited liability company, (“</w:t>
      </w:r>
      <w:r>
        <w:rPr>
          <w:rFonts w:ascii="Arial" w:cs="Arial" w:eastAsia="Arial" w:hAnsi="Arial"/>
          <w:sz w:val="18"/>
          <w:szCs w:val="18"/>
          <w:u w:val="single" w:color="auto"/>
          <w:color w:val="auto"/>
        </w:rPr>
        <w:t>Tradeweb</w:t>
      </w:r>
      <w:r>
        <w:rPr>
          <w:rFonts w:ascii="Arial" w:cs="Arial" w:eastAsia="Arial" w:hAnsi="Arial"/>
          <w:sz w:val="18"/>
          <w:szCs w:val="18"/>
          <w:color w:val="auto"/>
        </w:rPr>
        <w:t>”), Thomson Reuters (Markets) LLC, a Delaware limited liability company, (“</w:t>
      </w:r>
      <w:r>
        <w:rPr>
          <w:rFonts w:ascii="Arial" w:cs="Arial" w:eastAsia="Arial" w:hAnsi="Arial"/>
          <w:sz w:val="18"/>
          <w:szCs w:val="18"/>
          <w:u w:val="single" w:color="auto"/>
          <w:color w:val="auto"/>
        </w:rPr>
        <w:t>TRM</w:t>
      </w:r>
      <w:r>
        <w:rPr>
          <w:rFonts w:ascii="Arial" w:cs="Arial" w:eastAsia="Arial" w:hAnsi="Arial"/>
          <w:sz w:val="18"/>
          <w:szCs w:val="18"/>
          <w:color w:val="auto"/>
        </w:rPr>
        <w:t>”), and Thomson Reuters (GRC) Inc., a Delaware 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 “</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 Tradeweb,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Tradeweb, TRM and Thomson Reuters Global Resources Unlimited Company (“</w:t>
      </w:r>
      <w:r>
        <w:rPr>
          <w:rFonts w:ascii="Arial" w:cs="Arial" w:eastAsia="Arial" w:hAnsi="Arial"/>
          <w:sz w:val="18"/>
          <w:szCs w:val="18"/>
          <w:u w:val="single" w:color="auto"/>
          <w:color w:val="auto"/>
        </w:rPr>
        <w:t>Global Resources</w:t>
      </w:r>
      <w:r>
        <w:rPr>
          <w:rFonts w:ascii="Arial" w:cs="Arial" w:eastAsia="Arial" w:hAnsi="Arial"/>
          <w:sz w:val="18"/>
          <w:szCs w:val="18"/>
          <w:color w:val="auto"/>
        </w:rPr>
        <w:t>”) previously executed that certain Market Data Agreement dated as of November 1, 2010, as amended by the Amendment dated as of December 12, 2011 (together,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Tradeweb, TRM and Global Resources subsequently executed the Amended &amp; Restated Market Data Agreement dated as of June 17, 2016 and effective as of November 1, 2015, as amended by the U.S. Treasuries Actives Data Addendum to the Amended &amp; Restated Market Data Agreement dated as of July 29, 2018 (the “</w:t>
      </w:r>
      <w:r>
        <w:rPr>
          <w:rFonts w:ascii="Arial" w:cs="Arial" w:eastAsia="Arial" w:hAnsi="Arial"/>
          <w:sz w:val="18"/>
          <w:szCs w:val="18"/>
          <w:u w:val="single" w:color="auto"/>
          <w:color w:val="auto"/>
        </w:rPr>
        <w:t>Addendum</w:t>
      </w:r>
      <w:r>
        <w:rPr>
          <w:rFonts w:ascii="Arial" w:cs="Arial" w:eastAsia="Arial" w:hAnsi="Arial"/>
          <w:sz w:val="18"/>
          <w:szCs w:val="18"/>
          <w:color w:val="auto"/>
        </w:rPr>
        <w:t>”) (collectively, the “</w:t>
      </w:r>
      <w:r>
        <w:rPr>
          <w:rFonts w:ascii="Arial" w:cs="Arial" w:eastAsia="Arial" w:hAnsi="Arial"/>
          <w:sz w:val="18"/>
          <w:szCs w:val="18"/>
          <w:u w:val="single" w:color="auto"/>
          <w:color w:val="auto"/>
        </w:rPr>
        <w:t>Amended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Amended Agreement terminated the Original Agreement (except for those terms that were expressed to survive such termination as set forth therein and Section 5.1(c) of the Original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 of October 1, 2018, Global Resources assigned all of its rights and obligations contained in the Original Agreement and Amended Agreement to GRC;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in consideration of certain mutually agreed updates and modifications, Tradeweb, TRM and GRC wish to amend and restate the Amended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it is mutually agreed that, as of the Effective Date, the Amended Agreement is deemed to be terminated (except for those terms that are expressed to survive such termination as set forth therein), and the terms thereof are replaced and superseded by the terms of this Second A&amp;R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DEFINITIONS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have the meaning set forth below:</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UST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4" w:name="page235"/>
    <w:bookmarkEnd w:id="234"/>
    <w:p>
      <w:pPr>
        <w:jc w:val="both"/>
        <w:ind w:firstLine="56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shall mean, in respect of any specified Person, a Person that directly or indirectly, through one or more intermediaries, Controls, is Controlled by, or is under common Control with, the Person specified;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Second A&amp;R Agreement, (i) The Blackstone Group L.P. and its Affiliates (other than King (Cayman) Holdings Ltd. and its Subsidiaries), shall not be deemed to be Affiliates of any of the Parties, (ii) Tradeweb and its Subsidiaries shall not be deemed to be Affiliates of either Refinitiv Party, and (iii) the Refinitiv Parties and their respective Affiliates (other than Tradeweb and its Subsidiaries) shall not be deemed to be Affiliates of Tradeweb.</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License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other than a Saturday, Sunday, or any other day on which commercial banks in the State of New York are authorized or obligated to be closed.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Subscription Fee</w:t>
      </w:r>
      <w:r>
        <w:rPr>
          <w:rFonts w:ascii="Arial" w:cs="Arial" w:eastAsia="Arial" w:hAnsi="Arial"/>
          <w:sz w:val="18"/>
          <w:szCs w:val="18"/>
          <w:color w:val="auto"/>
        </w:rPr>
        <w:t>” shall have the meaning set forth in the Original Agreement or the Amended Agreement, as applicable.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mean, with respect to a particular Person, the possession, directly or indirectly, of the power to direct or cause the direction of management or policies (whether through ownership of securities or partnership or other ownership interests, by contract or otherwise) of such Person.</w:t>
      </w:r>
    </w:p>
    <w:p>
      <w:pPr>
        <w:spacing w:after="0" w:line="124" w:lineRule="exact"/>
        <w:rPr>
          <w:sz w:val="20"/>
          <w:szCs w:val="20"/>
          <w:color w:val="auto"/>
        </w:rPr>
      </w:pPr>
    </w:p>
    <w:p>
      <w:pPr>
        <w:jc w:val="both"/>
        <w:ind w:firstLine="56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Set</w:t>
      </w:r>
      <w:r>
        <w:rPr>
          <w:rFonts w:ascii="Arial" w:cs="Arial" w:eastAsia="Arial" w:hAnsi="Arial"/>
          <w:sz w:val="18"/>
          <w:szCs w:val="18"/>
          <w:color w:val="auto"/>
        </w:rPr>
        <w:t>” shall mean each individual set of data licensed pursuant to this Second A&amp;R Agreement that (i) for the Exclusive Licensed Market Data, is grouped at the second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grouping level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(ii) for the Non-Exclusive Licensed Market Data, is numbered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 each Non-Exclusive Licensed NMDS added to the Licensed Data will be a new Data Set, and (b) each Exclusive Licensed NMDS added to the Licensed Data will either (1) if it fits within the scope of an existing Data Set, become a part of such Data Set or (2) otherwise, become a new Data Set.</w:t>
      </w:r>
    </w:p>
    <w:p>
      <w:pPr>
        <w:spacing w:after="0" w:line="20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Subscribers</w:t>
      </w:r>
      <w:r>
        <w:rPr>
          <w:rFonts w:ascii="Arial" w:cs="Arial" w:eastAsia="Arial" w:hAnsi="Arial"/>
          <w:sz w:val="18"/>
          <w:szCs w:val="18"/>
          <w:color w:val="auto"/>
        </w:rPr>
        <w:t>” shall mean each dealer that has entered into any electronic trading participation and subscription agreement with Tradeweb or any of its Subsidiaries, and all of the Affiliates of such dealer that participate on a Tradeweb Platform.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User</w:t>
      </w:r>
      <w:r>
        <w:rPr>
          <w:rFonts w:ascii="Arial" w:cs="Arial" w:eastAsia="Arial" w:hAnsi="Arial"/>
          <w:sz w:val="18"/>
          <w:szCs w:val="18"/>
          <w:color w:val="auto"/>
        </w:rPr>
        <w:t>” shall mean a User at a Dealer Subscriber.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Dealerweb</w:t>
      </w:r>
      <w:r>
        <w:rPr>
          <w:rFonts w:ascii="Arial" w:cs="Arial" w:eastAsia="Arial" w:hAnsi="Arial"/>
          <w:sz w:val="18"/>
          <w:szCs w:val="18"/>
          <w:color w:val="auto"/>
        </w:rPr>
        <w:t>” shall mean Dealerweb Inc., a New York corporation and Subsidiary of Tradeweb.</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Work</w:t>
      </w:r>
      <w:r>
        <w:rPr>
          <w:rFonts w:ascii="Arial" w:cs="Arial" w:eastAsia="Arial" w:hAnsi="Arial"/>
          <w:sz w:val="18"/>
          <w:szCs w:val="18"/>
          <w:color w:val="auto"/>
        </w:rPr>
        <w:t xml:space="preserve">” shall mean a “derivative work” within the meaning of the United States Copyright Act, 17 U.S.C. Section 101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2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Desktop Product</w:t>
      </w:r>
      <w:r>
        <w:rPr>
          <w:rFonts w:ascii="Arial" w:cs="Arial" w:eastAsia="Arial" w:hAnsi="Arial"/>
          <w:sz w:val="18"/>
          <w:szCs w:val="18"/>
          <w:color w:val="auto"/>
        </w:rPr>
        <w:t>” shall mean any existing or future desktop offering by the Refinitiv Parties or any of their Affiliates, including Eikon and Thomson ONE.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Resolution Matter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Resolution Process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Eikon</w:t>
      </w:r>
      <w:r>
        <w:rPr>
          <w:rFonts w:ascii="Arial" w:cs="Arial" w:eastAsia="Arial" w:hAnsi="Arial"/>
          <w:sz w:val="18"/>
          <w:szCs w:val="18"/>
          <w:color w:val="auto"/>
        </w:rPr>
        <w:t>” shall mean the Desktop Product currently marketed by either Refinitiv Party or their Affiliates under the trademark EIKON.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Eikon Upgrade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Entitlement System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Licensed Data</w:t>
      </w:r>
      <w:r>
        <w:rPr>
          <w:rFonts w:ascii="Arial" w:cs="Arial" w:eastAsia="Arial" w:hAnsi="Arial"/>
          <w:sz w:val="18"/>
          <w:szCs w:val="18"/>
          <w:color w:val="auto"/>
        </w:rPr>
        <w:t>” shall mean Exclusive Licensed Market Data and Licensed Trading Data.</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Licensed Market Data</w:t>
      </w:r>
      <w:r>
        <w:rPr>
          <w:rFonts w:ascii="Arial" w:cs="Arial" w:eastAsia="Arial" w:hAnsi="Arial"/>
          <w:sz w:val="18"/>
          <w:szCs w:val="18"/>
          <w:color w:val="auto"/>
        </w:rPr>
        <w:t xml:space="preserve">” shall mean the market data sets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(as such Schedule may be updated from time to time to include Exclusive Licensed NMDSs in accordance with this Second A&amp;R Agreement).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Licensed NMDS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NMDS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4.3(a)(ii)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Target Customers</w:t>
      </w:r>
      <w:r>
        <w:rPr>
          <w:rFonts w:ascii="Arial" w:cs="Arial" w:eastAsia="Arial" w:hAnsi="Arial"/>
          <w:sz w:val="18"/>
          <w:szCs w:val="18"/>
          <w:color w:val="auto"/>
        </w:rPr>
        <w:t>” shall mean those Multi-Dealer to Customer Platform customers of Tradeweb or any of its Subsidiaries assigned to TRM, or its designated Affiliates, under the terms of the Original Agreement.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Target User</w:t>
      </w:r>
      <w:r>
        <w:rPr>
          <w:rFonts w:ascii="Arial" w:cs="Arial" w:eastAsia="Arial" w:hAnsi="Arial"/>
          <w:sz w:val="18"/>
          <w:szCs w:val="18"/>
          <w:color w:val="auto"/>
        </w:rPr>
        <w:t>” shall mean a User at an Existing Target Customer.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Calculation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shall mean collectively, all fees payable by the Refinitiv Parties to Tradeweb under this Second A&amp;R Agreement, including the Annual License Fee, and, where applicable, the Exclusive NMDS Fee Share, Non-Exclusive NMDS Fee Share, Non-Exclusive Licensed Market Data Fee Share, MiFID II Pre-Trade APA Fee Share, Eikon Upgrade Fees, and UST Subscription Fee Share.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Per Data 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E</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Distribution Year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4.3(a)(ii)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Market Data</w:t>
      </w:r>
      <w:r>
        <w:rPr>
          <w:rFonts w:ascii="Arial" w:cs="Arial" w:eastAsia="Arial" w:hAnsi="Arial"/>
          <w:sz w:val="18"/>
          <w:szCs w:val="18"/>
          <w:color w:val="auto"/>
        </w:rPr>
        <w:t xml:space="preserve">” shall mean a “gold copy” of the data listed on </w:t>
      </w:r>
      <w:r>
        <w:rPr>
          <w:rFonts w:ascii="Arial" w:cs="Arial" w:eastAsia="Arial" w:hAnsi="Arial"/>
          <w:sz w:val="18"/>
          <w:szCs w:val="18"/>
          <w:u w:val="single" w:color="auto"/>
          <w:color w:val="auto"/>
        </w:rPr>
        <w:t>Schedule L</w:t>
      </w:r>
      <w:r>
        <w:rPr>
          <w:rFonts w:ascii="Arial" w:cs="Arial" w:eastAsia="Arial" w:hAnsi="Arial"/>
          <w:sz w:val="18"/>
          <w:szCs w:val="18"/>
          <w:color w:val="auto"/>
        </w:rPr>
        <w:t xml:space="preserve">, including historical data for the applicable “Historical Lookback Period” (as set forth in </w:t>
      </w:r>
      <w:r>
        <w:rPr>
          <w:rFonts w:ascii="Arial" w:cs="Arial" w:eastAsia="Arial" w:hAnsi="Arial"/>
          <w:sz w:val="18"/>
          <w:szCs w:val="18"/>
          <w:u w:val="single" w:color="auto"/>
          <w:color w:val="auto"/>
        </w:rPr>
        <w:t>Schedule L</w:t>
      </w:r>
      <w:r>
        <w:rPr>
          <w:rFonts w:ascii="Arial" w:cs="Arial" w:eastAsia="Arial" w:hAnsi="Arial"/>
          <w:sz w:val="18"/>
          <w:szCs w:val="18"/>
          <w:color w:val="auto"/>
        </w:rPr>
        <w:t xml:space="preserve">) preceding each delivery to GRC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Market Data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IDB Platform</w:t>
      </w:r>
      <w:r>
        <w:rPr>
          <w:rFonts w:ascii="Arial" w:cs="Arial" w:eastAsia="Arial" w:hAnsi="Arial"/>
          <w:sz w:val="17"/>
          <w:szCs w:val="17"/>
          <w:color w:val="auto"/>
        </w:rPr>
        <w:t>” shall mean any inter-dealer broker electronic trading platform made available by Tradeweb or any of its Subsidiaries to Users.</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Implementation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Innovative Solution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mean (i) all patents and patent applications, together with all reissues, continuations, continuations-in-part, divisions, revisions, extensions, and reexaminations thereof; (ii) all trademarks, service marks, trade dress, trade names, corporate names, and domain names, together with all translations, adaptations, derivations, and combinations thereof and including all goodwill associated therewith, and all applications, registrations, and renewals in connection therewith; (iii) all copyrights, and all applications, registrations, and renewals in connection therewith; (iv) all trade secrets and confidential business information (including ideas, research and development, know-how, processes and techniques, technical data, designs, drawings, specifications, customer and supplier lists, pricing and cost information, and business and marketing plans and proposals); (v) all computer software (including data and related documentation), rights in database information, and internet websites; (vi) all moral rights and rights of privacy and publicity; and (vii) all other intellectual property rights recognized by the Law of any jurisdiction.</w:t>
      </w:r>
    </w:p>
    <w:p>
      <w:pPr>
        <w:spacing w:after="0" w:line="178"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with respect to any specified Person, all foreign, federal, state, local and Self-Regulatory Organization statutes, laws, ordinances, regulations, rules, writs, injunctions, judgments, decrees and orders applicable to the specified Person or to the businesses and assets thereof, including laws relating to privacy, data protection, and the collection and use of data.</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Data</w:t>
      </w:r>
      <w:r>
        <w:rPr>
          <w:rFonts w:ascii="Arial" w:cs="Arial" w:eastAsia="Arial" w:hAnsi="Arial"/>
          <w:sz w:val="18"/>
          <w:szCs w:val="18"/>
          <w:color w:val="auto"/>
        </w:rPr>
        <w:t>” shall mean Licensed Market Data and Licensed Trading Data and any alterations thereto that are not Resultant Data.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IDB Trading Data</w:t>
      </w:r>
      <w:r>
        <w:rPr>
          <w:rFonts w:ascii="Arial" w:cs="Arial" w:eastAsia="Arial" w:hAnsi="Arial"/>
          <w:sz w:val="18"/>
          <w:szCs w:val="18"/>
          <w:color w:val="auto"/>
        </w:rPr>
        <w:t>” shall mean Licensed Trading Data: (i) generated on an IDB Platform; or (ii) displayed or otherwise disseminated by a voice or hybrid inter-dealer broker to Users.</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Market Data</w:t>
      </w:r>
      <w:r>
        <w:rPr>
          <w:rFonts w:ascii="Arial" w:cs="Arial" w:eastAsia="Arial" w:hAnsi="Arial"/>
          <w:sz w:val="18"/>
          <w:szCs w:val="18"/>
          <w:color w:val="auto"/>
        </w:rPr>
        <w:t>” shall mean: (i) Exclusive Licensed Market Data, (ii) Non-Exclusive Licensed Market Data, (iii) Historical Market Data, and (iv) New Market Data Sets.</w:t>
      </w:r>
    </w:p>
    <w:p>
      <w:pPr>
        <w:spacing w:after="0" w:line="170"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Trading Data</w:t>
      </w:r>
      <w:r>
        <w:rPr>
          <w:rFonts w:ascii="Arial" w:cs="Arial" w:eastAsia="Arial" w:hAnsi="Arial"/>
          <w:sz w:val="16"/>
          <w:szCs w:val="16"/>
          <w:color w:val="auto"/>
        </w:rPr>
        <w:t xml:space="preserve">” shall mean all data or other information (including algorithms and calculations) other than Licensed Market Data that is necessary, as determined by GRC in its reasonable discretion in consultation with Tradeweb, to enable GRC and its Affiliates to distribute and display via Desktop Products all of the pre-trade data and information that Tradeweb provides directly to Users and to provide the same user experience to Refinitiv Subscribers as that provided to Users;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establishing the feed for any new Licensed Trading Data, Tradeweb in its reasonable discretion in consultation with GRC shall determine the form in which it provides such new Licensed Trading Data (e.g., whether to transmit a calculated value to GRC or to transmit the values required for determining such calculated value and separately provide to GRC the algorithm for determining such calculated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changes to such form once established shall be made in accordance with the change control procedures set forth in the SLA.</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TWD Trading Data</w:t>
      </w:r>
      <w:r>
        <w:rPr>
          <w:rFonts w:ascii="Arial" w:cs="Arial" w:eastAsia="Arial" w:hAnsi="Arial"/>
          <w:sz w:val="18"/>
          <w:szCs w:val="18"/>
          <w:color w:val="auto"/>
        </w:rPr>
        <w:t>” shall mean Licensed Trading Data generated on a TWD Platform.</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shall collectively mean the Market Data License, Limited Trading Data License, Additional UST License and Historical Market Data License.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Trading Data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Leader</w:t>
      </w:r>
      <w:r>
        <w:rPr>
          <w:rFonts w:ascii="Arial" w:cs="Arial" w:eastAsia="Arial" w:hAnsi="Arial"/>
          <w:sz w:val="18"/>
          <w:szCs w:val="18"/>
          <w:color w:val="auto"/>
        </w:rPr>
        <w:t>” shall mean to offer for sale, license or distribution at a disproportionate discount level compared to other services (either Refinitiv Services or Tradeweb services, as applicable) for the specific purpose of selling these other services to the same client or client Affiliate, or maintaining client’s or client Affiliates’ subscription to such other services. This does not cover the offer of discounts for the relevant service required in order to become or remain reasonably competitive as a provider of such service.</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Data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 Fees</w:t>
      </w:r>
      <w:r>
        <w:rPr>
          <w:rFonts w:ascii="Arial" w:cs="Arial" w:eastAsia="Arial" w:hAnsi="Arial"/>
          <w:sz w:val="18"/>
          <w:szCs w:val="18"/>
          <w:color w:val="auto"/>
        </w:rPr>
        <w:t xml:space="preserve">” shall have the meaning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Materials</w:t>
      </w:r>
      <w:r>
        <w:rPr>
          <w:rFonts w:ascii="Arial" w:cs="Arial" w:eastAsia="Arial" w:hAnsi="Arial"/>
          <w:sz w:val="16"/>
          <w:szCs w:val="16"/>
          <w:color w:val="auto"/>
        </w:rPr>
        <w:t>” shall mean and include, without limitation, all data, information, analytics, software, designs, materials, products, services, content, concepts, ideas, inventions, methods, processes, techniques, know-how, code, development tools, APIs, systems, documentation and other Intellectual Property of any kind (and any modifications or improvements thereto), and any and all costs (internal and external) associated with an Innovative Solution, including, without limitation, with respect to development, testing, deployment, support and maintenance of such Innovative Solution.</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MBIS</w:t>
      </w:r>
      <w:r>
        <w:rPr>
          <w:rFonts w:ascii="Arial" w:cs="Arial" w:eastAsia="Arial" w:hAnsi="Arial"/>
          <w:sz w:val="18"/>
          <w:szCs w:val="18"/>
          <w:color w:val="auto"/>
        </w:rPr>
        <w:t>” shall mean Municipal Bond Information Services LLC, a Delaware limited liability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MD Server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MD Server Fees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MiFID II Pre-Trade APA Market Data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MiFID II Pre-Trade APA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Multi-Dealer to Customer Platform</w:t>
      </w:r>
      <w:r>
        <w:rPr>
          <w:rFonts w:ascii="Arial" w:cs="Arial" w:eastAsia="Arial" w:hAnsi="Arial"/>
          <w:sz w:val="18"/>
          <w:szCs w:val="18"/>
          <w:color w:val="auto"/>
        </w:rPr>
        <w:t>” shall mean any multi-dealer to customer electronic trading platform made available by Tradeweb or any of its Subsidiaries to Users.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Analytics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Market Data 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Market Data</w:t>
      </w:r>
      <w:r>
        <w:rPr>
          <w:rFonts w:ascii="Arial" w:cs="Arial" w:eastAsia="Arial" w:hAnsi="Arial"/>
          <w:sz w:val="18"/>
          <w:szCs w:val="18"/>
          <w:color w:val="auto"/>
        </w:rPr>
        <w:t xml:space="preserve">” shall mean the market data sets identified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(as such Schedule may be updated from time to time to include Non-Exclusive Licensed NMDSs in accordance with this Second A&amp;R Agreement).</w:t>
      </w:r>
    </w:p>
    <w:p>
      <w:pPr>
        <w:spacing w:after="0" w:line="170"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Market Data Distributor Fee</w:t>
      </w:r>
      <w:r>
        <w:rPr>
          <w:rFonts w:ascii="Arial" w:cs="Arial" w:eastAsia="Arial" w:hAnsi="Arial"/>
          <w:sz w:val="18"/>
          <w:szCs w:val="18"/>
          <w:color w:val="auto"/>
        </w:rPr>
        <w:t>” shall mean the standard “distributor fee” that would be charged to a third Person distributor of a Non-Exclusive Licensed Market Data set.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Market Data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NMDS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NMDS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4.3(b)(ii)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Non-Trading User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Non-Trading User List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5.2(a)(vii)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Non-Renewal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NTU Fee Calculation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NTU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of Revenue Payable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4.3(a)(ii)</w:t>
      </w:r>
      <w:r>
        <w:rPr>
          <w:rFonts w:ascii="Arial" w:cs="Arial" w:eastAsia="Arial" w:hAnsi="Arial"/>
          <w:sz w:val="18"/>
          <w:szCs w:val="18"/>
          <w:color w:val="auto"/>
        </w:rPr>
        <w:t>.</w:t>
      </w:r>
    </w:p>
    <w:p>
      <w:pPr>
        <w:spacing w:after="0" w:line="225"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entity, firm, corporation, partnership, association, limited liability company, joint-stock company, trust, or unincorporated organization.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jc w:val="both"/>
        <w:ind w:firstLine="56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Revenue</w:t>
      </w:r>
      <w:r>
        <w:rPr>
          <w:rFonts w:ascii="Arial" w:cs="Arial" w:eastAsia="Arial" w:hAnsi="Arial"/>
          <w:sz w:val="18"/>
          <w:szCs w:val="18"/>
          <w:color w:val="auto"/>
        </w:rPr>
        <w:t xml:space="preserve">” shall mean, with respect to any relevant period of time, the aggregate value of all RCM 19901 Subscription Fees for such period of time, excluding any value added, sales and/or other taxes and/or tariff duties directly levied on TP ICAP Customers in respect of the supply of RCM 19901 to them and any withholding or equivalent taxes that the TP ICAP Group is required to deduct under applicable tax laws;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the TP ICAP Group ceases to provide RCM 19901 to TP ICAP Customers, “Qualifying Revenue” shall mean the revenues directly generated by GRC and its Affiliates from the distribution by them or a third party of RCM 19901.</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RCM 19901</w:t>
      </w:r>
      <w:r>
        <w:rPr>
          <w:rFonts w:ascii="Arial" w:cs="Arial" w:eastAsia="Arial" w:hAnsi="Arial"/>
          <w:sz w:val="17"/>
          <w:szCs w:val="17"/>
          <w:color w:val="auto"/>
        </w:rPr>
        <w:t>” shall mean that certain Reuters Capital Markets 19901 service (including any replacement or successor services thereto).</w:t>
      </w:r>
    </w:p>
    <w:p>
      <w:pPr>
        <w:spacing w:after="0" w:line="23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RCM 19901 Subscription Fees</w:t>
      </w:r>
      <w:r>
        <w:rPr>
          <w:rFonts w:ascii="Arial" w:cs="Arial" w:eastAsia="Arial" w:hAnsi="Arial"/>
          <w:sz w:val="18"/>
          <w:szCs w:val="18"/>
          <w:color w:val="auto"/>
        </w:rPr>
        <w:t>” shall mean, with respect to any relevant period of time, all fees charged by the TP ICAP Group to a TP ICAP Customer during such period of time for receipt and use of RCM 19901.</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Authorized Personnel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Competitor List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Delivery Mechanism</w:t>
      </w:r>
      <w:r>
        <w:rPr>
          <w:rFonts w:ascii="Arial" w:cs="Arial" w:eastAsia="Arial" w:hAnsi="Arial"/>
          <w:sz w:val="18"/>
          <w:szCs w:val="18"/>
          <w:color w:val="auto"/>
        </w:rPr>
        <w:t>” shall mean the services and facilities provided from time to time by TRM or any of its Affiliates in order to make available RCM 19901 to Subscribers.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Services</w:t>
      </w:r>
      <w:r>
        <w:rPr>
          <w:rFonts w:ascii="Arial" w:cs="Arial" w:eastAsia="Arial" w:hAnsi="Arial"/>
          <w:sz w:val="18"/>
          <w:szCs w:val="18"/>
          <w:color w:val="auto"/>
        </w:rPr>
        <w:t>” shall mean services and facilities provided from time to time by TRM or any of its Affiliates to any third Person.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Subscriber</w:t>
      </w:r>
      <w:r>
        <w:rPr>
          <w:rFonts w:ascii="Arial" w:cs="Arial" w:eastAsia="Arial" w:hAnsi="Arial"/>
          <w:sz w:val="18"/>
          <w:szCs w:val="18"/>
          <w:color w:val="auto"/>
        </w:rPr>
        <w:t>” shall mean any third Person that is an authorized recipient of any Refinitiv Services.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Limited Group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Renewal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List</w:t>
      </w:r>
      <w:r>
        <w:rPr>
          <w:rFonts w:ascii="Arial" w:cs="Arial" w:eastAsia="Arial" w:hAnsi="Arial"/>
          <w:sz w:val="18"/>
          <w:szCs w:val="18"/>
          <w:color w:val="auto"/>
        </w:rPr>
        <w:t xml:space="preserve">” shall mean those Persons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Resultant Data</w:t>
      </w:r>
      <w:r>
        <w:rPr>
          <w:rFonts w:ascii="Arial" w:cs="Arial" w:eastAsia="Arial" w:hAnsi="Arial"/>
          <w:sz w:val="18"/>
          <w:szCs w:val="18"/>
          <w:color w:val="auto"/>
        </w:rPr>
        <w:t>” shall mean any data that is produced by Refinitiv Parties or their Affiliates by processing Licensed Data to produce data that is substantially different from the original Licensed Data and that would not allow a third party to identify (through reverse engineering or otherwise) the Licensed Data from which such Resultant Data was derived.</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A&amp;R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means the Financial Industry Regulatory Authority, Inc., the National Futures Association, the Chicago Board of Trade, the New York Stock Exchange, any national securities exchange (as defined in the Securities Exchange Act of 1934, as amended, and the rules and regulations thereunder), any other securities exchange, futures exchange, contract market, commodities market, any other such exchange, clearinghouse or corporation or other similar federal, state or foreign self-regulatory body or organization.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left="580"/>
        <w:spacing w:after="0"/>
        <w:rPr>
          <w:sz w:val="20"/>
          <w:szCs w:val="20"/>
          <w:color w:val="auto"/>
        </w:rPr>
      </w:pPr>
      <w:r>
        <w:rPr>
          <w:rFonts w:ascii="Arial" w:cs="Arial" w:eastAsia="Arial" w:hAnsi="Arial"/>
          <w:sz w:val="18"/>
          <w:szCs w:val="18"/>
          <w:color w:val="FF0000"/>
        </w:rPr>
        <w:t>“</w:t>
      </w:r>
      <w:r>
        <w:rPr>
          <w:rFonts w:ascii="Arial" w:cs="Arial" w:eastAsia="Arial" w:hAnsi="Arial"/>
          <w:sz w:val="18"/>
          <w:szCs w:val="18"/>
          <w:u w:val="single" w:color="auto"/>
          <w:color w:val="000000"/>
        </w:rPr>
        <w:t>SLA</w:t>
      </w:r>
      <w:r>
        <w:rPr>
          <w:rFonts w:ascii="Arial" w:cs="Arial" w:eastAsia="Arial" w:hAnsi="Arial"/>
          <w:sz w:val="18"/>
          <w:szCs w:val="18"/>
          <w:color w:val="000000"/>
        </w:rPr>
        <w:t>” shall have the meaning set forth in</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3.3</w:t>
      </w:r>
      <w:r>
        <w:rPr>
          <w:rFonts w:ascii="Arial" w:cs="Arial" w:eastAsia="Arial" w:hAnsi="Arial"/>
          <w:sz w:val="18"/>
          <w:szCs w:val="18"/>
          <w:color w:val="000000"/>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Steering Committee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w:t>
      </w:r>
      <w:r>
        <w:rPr>
          <w:rFonts w:ascii="Arial" w:cs="Arial" w:eastAsia="Arial" w:hAnsi="Arial"/>
          <w:sz w:val="18"/>
          <w:szCs w:val="18"/>
          <w:color w:val="auto"/>
        </w:rPr>
        <w:t>” means any third Person that subscribes from time to time to a Refinitiv Delivery Mechanism.</w:t>
      </w:r>
    </w:p>
    <w:p>
      <w:pPr>
        <w:spacing w:after="0" w:line="225"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shall mean: (i) a corporation more than fifty percent (50%) of the outstanding voting stock of which is owned, directly or indirectly, by such Person or by one or more other Subsidiaries of such Person, or by such Person and one or more other Subsidiaries thereof; or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 Solely with respect to Tradeweb for purposes of this Second A&amp;R Agreement, “Subsidiary” shall include any company formed after the Effective Date that (i) directly or indirectly holds one hundred percent (100%) of the ownership equity of Tradeweb, (ii) is part of the same ownership group as, and operates the same business as, Tradeweb and its current Subsidiaries, and (iii) is not any Person (or any such Person’s Affiliates, successors or assigns) set forth on the Refinitiv Competitor List or any Persons reasonably known to be Affiliates of such Person.</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Agreement</w:t>
      </w:r>
      <w:r>
        <w:rPr>
          <w:rFonts w:ascii="Arial" w:cs="Arial" w:eastAsia="Arial" w:hAnsi="Arial"/>
          <w:sz w:val="18"/>
          <w:szCs w:val="18"/>
          <w:color w:val="auto"/>
        </w:rPr>
        <w:t>” shall mean an agreement with a third Person to which a Party is bound.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Thomson One</w:t>
      </w:r>
      <w:r>
        <w:rPr>
          <w:rFonts w:ascii="Arial" w:cs="Arial" w:eastAsia="Arial" w:hAnsi="Arial"/>
          <w:sz w:val="17"/>
          <w:szCs w:val="17"/>
          <w:color w:val="auto"/>
        </w:rPr>
        <w:t>” shall mean the Desktop Product currently marketed by TRM or any of its Affiliates under the trademark THOMSON ONE.</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 ICAP</w:t>
      </w:r>
      <w:r>
        <w:rPr>
          <w:rFonts w:ascii="Arial" w:cs="Arial" w:eastAsia="Arial" w:hAnsi="Arial"/>
          <w:sz w:val="18"/>
          <w:szCs w:val="18"/>
          <w:color w:val="auto"/>
        </w:rPr>
        <w:t>” shall mean Tullet Prebon Information Limited.</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 ICAP Customer</w:t>
      </w:r>
      <w:r>
        <w:rPr>
          <w:rFonts w:ascii="Arial" w:cs="Arial" w:eastAsia="Arial" w:hAnsi="Arial"/>
          <w:sz w:val="18"/>
          <w:szCs w:val="18"/>
          <w:color w:val="auto"/>
        </w:rPr>
        <w:t xml:space="preserve">” shall mean any Subscriber that has executed a TP ICAP Customer Agreement with the TP ICAP Group. For the avoidance of doubt, TP ICAP Customers shall not be considered Refinitiv Subscribers by virtue of their subscription to RCM 19901,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Person may separately qualify as a Refinitiv Subscriber with respect to other Refinitiv Services.</w:t>
      </w:r>
    </w:p>
    <w:p>
      <w:pPr>
        <w:spacing w:after="0" w:line="184"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TP ICAP Customer Agreement</w:t>
      </w:r>
      <w:r>
        <w:rPr>
          <w:rFonts w:ascii="Arial" w:cs="Arial" w:eastAsia="Arial" w:hAnsi="Arial"/>
          <w:sz w:val="16"/>
          <w:szCs w:val="16"/>
          <w:color w:val="auto"/>
        </w:rPr>
        <w:t>” shall mean the TP ICAP Group’s agreement with a TP ICAP Customer from time to time setting out the terms and conditions for a TP ICAP Customer’s access to and use of RCM 19901, including the US Treasuries Actives Data via a Refinitiv Delivery Mechanism.</w:t>
      </w:r>
    </w:p>
    <w:p>
      <w:pPr>
        <w:spacing w:after="0" w:line="124"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TP ICAP Group</w:t>
      </w:r>
      <w:r>
        <w:rPr>
          <w:rFonts w:ascii="Arial" w:cs="Arial" w:eastAsia="Arial" w:hAnsi="Arial"/>
          <w:sz w:val="16"/>
          <w:szCs w:val="16"/>
          <w:color w:val="auto"/>
        </w:rPr>
        <w:t>” shall mean Tullet Prebon Information Limited plc, its Affiliates and any entity that is a successor (including without limitation, by change of name, dissolution, merger, consolidation, reorganization, sale or other disposition) to any such business entity or its business and assets.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both"/>
        <w:ind w:firstLine="56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 ICAP Loss Leader</w:t>
      </w:r>
      <w:r>
        <w:rPr>
          <w:rFonts w:ascii="Arial" w:cs="Arial" w:eastAsia="Arial" w:hAnsi="Arial"/>
          <w:sz w:val="18"/>
          <w:szCs w:val="18"/>
          <w:color w:val="auto"/>
        </w:rPr>
        <w:t>” shall mean to offer for sale at a disproportionate discount level compared to other services (either Refinitiv Services or TP ICAP Group services, as applicable) for the specific purpose of selling these other services to the same client or client Affiliate, or maintaining client’s or client Affiliates’ subscription to such other services. This does not cover the offer of discounts for RCM 19901 required in order to meet competition with respect to RCM 19901.</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Tradeweb-Entitled Trading Customer</w:t>
      </w:r>
      <w:r>
        <w:rPr>
          <w:rFonts w:ascii="Arial" w:cs="Arial" w:eastAsia="Arial" w:hAnsi="Arial"/>
          <w:sz w:val="18"/>
          <w:szCs w:val="18"/>
          <w:color w:val="auto"/>
        </w:rPr>
        <w:t>” shall mean, with respect to any set of Licensed Trading Data, the Trading Customers and Dealer Subscribers permissioned by Tradeweb or any of its Subsidiaries to have access to such Licensed Trading Data.</w:t>
      </w:r>
    </w:p>
    <w:p>
      <w:pPr>
        <w:spacing w:after="0" w:line="17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Front-End Application</w:t>
      </w:r>
      <w:r>
        <w:rPr>
          <w:rFonts w:ascii="Arial" w:cs="Arial" w:eastAsia="Arial" w:hAnsi="Arial"/>
          <w:sz w:val="18"/>
          <w:szCs w:val="18"/>
          <w:color w:val="auto"/>
        </w:rPr>
        <w:t>” shall mean any electronic front-end application provided by Tradeweb or any of its Subsidiaries to Users (including any electronic front-end applications developed for the TWD Platform by Tradeweb or any of its Subsidiaries and white-labeled for or otherwise licensed to customers for their provision to Users), whether for view and trading access or for view only access.</w:t>
      </w:r>
    </w:p>
    <w:p>
      <w:pPr>
        <w:spacing w:after="0" w:line="18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Operating Agreement</w:t>
      </w:r>
      <w:r>
        <w:rPr>
          <w:rFonts w:ascii="Arial" w:cs="Arial" w:eastAsia="Arial" w:hAnsi="Arial"/>
          <w:sz w:val="18"/>
          <w:szCs w:val="18"/>
          <w:color w:val="auto"/>
        </w:rPr>
        <w:t>” shall mean the Fourth Amended and Restated Limited Liability Company Agreement of Tradeweb Markets LLC, dated as of June 26, 2014, as may be amended or restated from time to time.</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Platform</w:t>
      </w:r>
      <w:r>
        <w:rPr>
          <w:rFonts w:ascii="Arial" w:cs="Arial" w:eastAsia="Arial" w:hAnsi="Arial"/>
          <w:sz w:val="18"/>
          <w:szCs w:val="18"/>
          <w:color w:val="auto"/>
        </w:rPr>
        <w:t>” shall mean any electronic trading platform made available by Tradeweb or any of its Subsidiaries to Users, including: (i) any Multi-Dealer to Customer Platform; (ii) any IDB Platform; and (iii) any TWD Platform.</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Viewer</w:t>
      </w:r>
      <w:r>
        <w:rPr>
          <w:rFonts w:ascii="Arial" w:cs="Arial" w:eastAsia="Arial" w:hAnsi="Arial"/>
          <w:sz w:val="18"/>
          <w:szCs w:val="18"/>
          <w:color w:val="auto"/>
        </w:rPr>
        <w:t>” shall mean a Tradeweb Front-End Application provided by Tradeweb or any of its Subsidiaries to Users for accessing a Multi-Dealer to Customer Platform, whether for view and trading access or for view only access.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Viewer + Eikon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5.2(c)(i)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Viewer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5.2(b)(ii)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Activity</w:t>
      </w:r>
      <w:r>
        <w:rPr>
          <w:rFonts w:ascii="Arial" w:cs="Arial" w:eastAsia="Arial" w:hAnsi="Arial"/>
          <w:sz w:val="18"/>
          <w:szCs w:val="18"/>
          <w:color w:val="auto"/>
        </w:rPr>
        <w:t>” shall mean that portion of a User’s interaction with a Tradeweb Platform between entry of an indication of interest (via RFQ, order entry, click-to-trade or otherwise, as applicable to the relevant Tradeweb Platform) and trade execution.</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Customer</w:t>
      </w:r>
      <w:r>
        <w:rPr>
          <w:rFonts w:ascii="Arial" w:cs="Arial" w:eastAsia="Arial" w:hAnsi="Arial"/>
          <w:sz w:val="18"/>
          <w:szCs w:val="18"/>
          <w:color w:val="auto"/>
        </w:rPr>
        <w:t>” shall mean a customer of Tradeweb or any of its Subsidiaries (other than a Dealer Subscriber) that is authorized by Tradeweb or any of its Subsidiaries to trade on a Tradeweb Platform.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Customer User</w:t>
      </w:r>
      <w:r>
        <w:rPr>
          <w:rFonts w:ascii="Arial" w:cs="Arial" w:eastAsia="Arial" w:hAnsi="Arial"/>
          <w:sz w:val="18"/>
          <w:szCs w:val="18"/>
          <w:color w:val="auto"/>
        </w:rPr>
        <w:t>” shall mean a User at a Trading Customer.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Data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TRM</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Competitor</w:t>
      </w:r>
      <w:r>
        <w:rPr>
          <w:rFonts w:ascii="Arial" w:cs="Arial" w:eastAsia="Arial" w:hAnsi="Arial"/>
          <w:sz w:val="18"/>
          <w:szCs w:val="18"/>
          <w:color w:val="auto"/>
        </w:rPr>
        <w:t>” shall mean any trading venue (including voice brokerage) that: (i) competes with any trading venue (including voice brokerage) operated by Tradeweb or any of its Subsidiaries; and (ii) is owned or operated by any Person on the Restricted List or any Persons reasonably known to be Affiliates of such Person.</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Per-User Product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Revenue Threshold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TWD Platform</w:t>
      </w:r>
      <w:r>
        <w:rPr>
          <w:rFonts w:ascii="Arial" w:cs="Arial" w:eastAsia="Arial" w:hAnsi="Arial"/>
          <w:sz w:val="18"/>
          <w:szCs w:val="18"/>
          <w:color w:val="auto"/>
        </w:rPr>
        <w:t>” shall mean any electronic trading platform made available by Tradeweb or any of its Subsidiaries to Users primarily for use in connecting liquidity providers with financial advisors, RIAs, traders and buy-side investors.</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CPI</w:t>
      </w:r>
      <w:r>
        <w:rPr>
          <w:rFonts w:ascii="Arial" w:cs="Arial" w:eastAsia="Arial" w:hAnsi="Arial"/>
          <w:sz w:val="18"/>
          <w:szCs w:val="18"/>
          <w:color w:val="auto"/>
        </w:rPr>
        <w:t>” shall mean the Consumer Price Index as published by the Bureau of Labor Statistics of the United States Department of Labor, U.S. City Average, All Items for Urban Wage Earners and Clerical Workers (1982-1984=100). If the US CPI is hereafter converted to a different standard reference base or otherwise revised, the determination of the US CPI adjustment shall be made with the use of such conversion factor, formula or table for converting the US CPI, as may be published by the United States Bureau of Labor Statistics, or, if such bureau shall no longer publish the same, then with the use of such conversion factor, formula or table as may be published by the applicable agency of the United States, or failing such publication, by a nationally recognized publisher of similar statistical information.</w:t>
      </w:r>
    </w:p>
    <w:p>
      <w:pPr>
        <w:spacing w:after="0" w:line="192"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User</w:t>
      </w:r>
      <w:r>
        <w:rPr>
          <w:rFonts w:ascii="Arial" w:cs="Arial" w:eastAsia="Arial" w:hAnsi="Arial"/>
          <w:sz w:val="18"/>
          <w:szCs w:val="18"/>
          <w:color w:val="auto"/>
        </w:rPr>
        <w:t>” shall mean a Person authorized to trade on a Tradeweb Platform or a customer of a Tradeweb or Tradeweb Subsidiary voice or hybrid inter-dealer broker.</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Competitor</w:t>
      </w:r>
      <w:r>
        <w:rPr>
          <w:rFonts w:ascii="Arial" w:cs="Arial" w:eastAsia="Arial" w:hAnsi="Arial"/>
          <w:sz w:val="18"/>
          <w:szCs w:val="18"/>
          <w:color w:val="auto"/>
        </w:rPr>
        <w:t>” shall mean any trading venue that: (i) competes with Dealerweb’s lit order book; and (ii) is owned or operated by any Person listed on the UST Restricted List or any Persons reasonably known to be Affiliates of such Person.</w:t>
      </w:r>
    </w:p>
    <w:p>
      <w:pPr>
        <w:spacing w:after="0" w:line="170"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UST Distribution Agreement</w:t>
      </w:r>
      <w:r>
        <w:rPr>
          <w:rFonts w:ascii="Arial" w:cs="Arial" w:eastAsia="Arial" w:hAnsi="Arial"/>
          <w:sz w:val="17"/>
          <w:szCs w:val="17"/>
          <w:color w:val="auto"/>
        </w:rPr>
        <w:t>” shall mean that certain agreement by and between GRC or its Affiliates and a member of the TP ICAP Group with respect to the provision of US Treasuries Actives Data to the TP ICAP Group by GRC or its Affiliates in relation to the provision of RCM 19901.</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Restricted List</w:t>
      </w:r>
      <w:r>
        <w:rPr>
          <w:rFonts w:ascii="Arial" w:cs="Arial" w:eastAsia="Arial" w:hAnsi="Arial"/>
          <w:sz w:val="18"/>
          <w:szCs w:val="18"/>
          <w:color w:val="auto"/>
        </w:rPr>
        <w:t xml:space="preserve">” shall mean those Persons set forth on </w:t>
      </w:r>
      <w:r>
        <w:rPr>
          <w:rFonts w:ascii="Arial" w:cs="Arial" w:eastAsia="Arial" w:hAnsi="Arial"/>
          <w:sz w:val="18"/>
          <w:szCs w:val="18"/>
          <w:u w:val="single" w:color="auto"/>
          <w:color w:val="auto"/>
        </w:rPr>
        <w:t>Schedule K</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Subscription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Treasuries Actives Data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B-1</w:t>
      </w:r>
      <w:r>
        <w:rPr>
          <w:rFonts w:ascii="Arial" w:cs="Arial" w:eastAsia="Arial" w:hAnsi="Arial"/>
          <w:sz w:val="18"/>
          <w:szCs w:val="18"/>
          <w:color w:val="auto"/>
        </w:rPr>
        <w:t>.</w:t>
      </w:r>
    </w:p>
    <w:p>
      <w:pPr>
        <w:spacing w:after="0" w:line="22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w:t>
      </w:r>
      <w:r>
        <w:rPr>
          <w:rFonts w:ascii="Arial" w:cs="Arial" w:eastAsia="Arial" w:hAnsi="Arial"/>
          <w:sz w:val="18"/>
          <w:szCs w:val="18"/>
          <w:color w:val="auto"/>
        </w:rPr>
        <w:t>” shall mean the first consecutive twelve (12) calendar month period from the Effective Date and each subsequent consecutive twelve (12) calendar month period.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both"/>
        <w:ind w:firstLine="648"/>
        <w:spacing w:after="0" w:line="27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Construction of Certain References</w:t>
      </w:r>
      <w:r>
        <w:rPr>
          <w:rFonts w:ascii="Arial" w:cs="Arial" w:eastAsia="Arial" w:hAnsi="Arial"/>
          <w:sz w:val="17"/>
          <w:szCs w:val="17"/>
          <w:color w:val="auto"/>
        </w:rPr>
        <w:t>. References in this Second A&amp;R Agreement to any gender include references to all genders, and references to the singular include references to the plural and vice versa. The words “include,” “includes” and “including” when used in this Second A&amp;R Agreement shall be deemed to be followed by the phrase “without limitation.” Unless the context otherwise requires, references in this Second A&amp;R Agreement to Articles, Sections and Schedules shall be deemed references to Articles and Sections of, and Schedules to, this Second A&amp;R Agreement. Unless the context otherwise requires, the words “hereof,” “hereby” and “herein” and words of similar meaning when used in this Second A&amp;R Agreement refer to this Second A&amp;R Agreement in its entirety and not to any particular Article, Section or provision of this Second A&amp;R Agreement. Unless otherwise indicated, references in this Second A&amp;R Agreement to dollars are to U.S. dollars. The use of “revenue” herein shall refer to actual revenues determined in accordance with generally accepted accounting principles.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GRANT OF LICENSES; RESTRICTIONS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License for Market Data</w:t>
      </w:r>
      <w:r>
        <w:rPr>
          <w:rFonts w:ascii="Arial" w:cs="Arial" w:eastAsia="Arial" w:hAnsi="Arial"/>
          <w:sz w:val="16"/>
          <w:szCs w:val="16"/>
          <w:color w:val="auto"/>
        </w:rPr>
        <w:t xml:space="preserve">. Subject to all of the terms and conditions of this Second A&amp;R Agreement, Tradeweb hereby grants to GRC an exclusive (except as to Non-Exclusive Licensed Market Data), perpetual and irrevocable (as to Licensed Market Data delivered pursuant to this Second A&amp;R Agreement), terminable on the terms and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Second A&amp;R Agreement, sub-licensable (subject to the same terms and conditions as set forth in this Second A&amp;R Agreement), worldwide license to use and redistribute the Exclusive Licensed Market Data for any and all purposes, including distribution to Affiliates for redistribution to end users, and further including desktop display, feeds, input for algorithmic machine trading (fuel), valuation services, archiving, and redistribution to end users, and the right to take any action reasonably associated with such uses or redistribution, including the right to sell, offer for sale, distribute, reproduce, display, format, export, import, modify, collect, store, create representations, page displays, and yield calculations, create yields spreads and price spreads between portions of such data or between such data and the data of third Persons, make improvements to, prepare Derivative Works of and Resultant Data from, and exercise all other rights in and to the Exclusive Licensed Market Data (the “</w:t>
      </w:r>
      <w:r>
        <w:rPr>
          <w:rFonts w:ascii="Arial" w:cs="Arial" w:eastAsia="Arial" w:hAnsi="Arial"/>
          <w:sz w:val="16"/>
          <w:szCs w:val="16"/>
          <w:u w:val="single" w:color="auto"/>
          <w:color w:val="auto"/>
        </w:rPr>
        <w:t>Market Data License</w:t>
      </w:r>
      <w:r>
        <w:rPr>
          <w:rFonts w:ascii="Arial" w:cs="Arial" w:eastAsia="Arial" w:hAnsi="Arial"/>
          <w:sz w:val="16"/>
          <w:szCs w:val="16"/>
          <w:color w:val="auto"/>
        </w:rPr>
        <w:t xml:space="preserve">”). The Market Data License includes Non-Exclusive Licensed Market Data;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Market Data License with respect to such data sets shall be non-exclusive. Upon termination or expiration of this Second A&amp;R Agreement, the Market Data License shall automatically become a non-exclusive license as to Licensed Data delivered pursuant to this Second A&amp;R Agreement.</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Limited License for Trading Data</w:t>
      </w:r>
      <w:r>
        <w:rPr>
          <w:rFonts w:ascii="Arial" w:cs="Arial" w:eastAsia="Arial" w:hAnsi="Arial"/>
          <w:sz w:val="16"/>
          <w:szCs w:val="16"/>
          <w:color w:val="auto"/>
        </w:rPr>
        <w:t xml:space="preserve">. Subject to all of the terms and conditions of this Second A&amp;R Agreement, Tradeweb hereby grants to GRC an exclusive, perpetual and irrevocable (as to Licensed Trading Data delivered pursuant to this Second A&amp;R Agreement), terminable on the terms and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Second A&amp;R Agreement, sub-licensable (subject to the same terms and conditions as set forth in this Second A&amp;R Agreement), worldwide license to redistribute the Licensed Trading Data to Tradeweb-Entitled Trading Customers on a Desktop Product or through a Refinitiv Service (the “</w:t>
      </w:r>
      <w:r>
        <w:rPr>
          <w:rFonts w:ascii="Arial" w:cs="Arial" w:eastAsia="Arial" w:hAnsi="Arial"/>
          <w:sz w:val="16"/>
          <w:szCs w:val="16"/>
          <w:u w:val="single" w:color="auto"/>
          <w:color w:val="auto"/>
        </w:rPr>
        <w:t>Limited Trading Data License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GRC shall only redistribute Licensed IDB Trading Data and Licensed TWD Trading Data to Tradeweb-Entitled Trading Customers that request delivery of such data from GRC or any of its Affiliates. GRC acknowledges that Tradeweb has provided to it or its Affiliates one or more authentication APIs and may in the future provide one or more alternative or additional APIs or systems, in each case, to limit access of Licensed Trading Data to Tradeweb-Entitled Trading Customers (the “</w:t>
      </w:r>
      <w:r>
        <w:rPr>
          <w:rFonts w:ascii="Arial" w:cs="Arial" w:eastAsia="Arial" w:hAnsi="Arial"/>
          <w:sz w:val="16"/>
          <w:szCs w:val="16"/>
          <w:u w:val="single" w:color="auto"/>
          <w:color w:val="auto"/>
        </w:rPr>
        <w:t>Entitlement System</w:t>
      </w:r>
      <w:r>
        <w:rPr>
          <w:rFonts w:ascii="Arial" w:cs="Arial" w:eastAsia="Arial" w:hAnsi="Arial"/>
          <w:sz w:val="16"/>
          <w:szCs w:val="16"/>
          <w:color w:val="auto"/>
        </w:rPr>
        <w:t>”). GRC shall not, and shall cause its Affiliates not to, distribute Licensed Trading Data if the Entitlement System is not implemented, and neither it nor its Affiliates will make any changes to such Entitlement System that would impact GRC’s or its Affiliates’ compliance with such Entitlement System without the written consent of Tradeweb, not to be unreasonably withheld. Tradeweb shall provide GRC with reasonable advance notice in accordance with the SLA regarding any changes that it intends to implement with respect to the Entitlement System, including with respect to any alternative or additional APIs or systems, and in any case shall provide GRC with at least as much advance notice as it provides to other third party systems impacted by such change (e.g., ISVs, OMSs, EMSs). Upon termination or expiration of this Second A&amp;R Agreement, the Limited Trading Data License shall become a non-exclusive license as to Licensed Data delivered pursuant to this Second A&amp;R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firstLine="648"/>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Additional UST License</w:t>
      </w:r>
      <w:r>
        <w:rPr>
          <w:rFonts w:ascii="Arial" w:cs="Arial" w:eastAsia="Arial" w:hAnsi="Arial"/>
          <w:sz w:val="18"/>
          <w:szCs w:val="18"/>
          <w:color w:val="auto"/>
        </w:rPr>
        <w:t xml:space="preserve">. Without limiting the Market Data License in respect of the US Treasuries Actives Data granted to GRC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UST License</w:t>
      </w:r>
      <w:r>
        <w:rPr>
          <w:rFonts w:ascii="Arial" w:cs="Arial" w:eastAsia="Arial" w:hAnsi="Arial"/>
          <w:sz w:val="18"/>
          <w:szCs w:val="18"/>
          <w:color w:val="auto"/>
        </w:rPr>
        <w:t>”), Tradeweb grants to GRC a limited license to sublicense, or to permit its Affiliates to sublicense, GRC’s rights under the UST License to the TP ICAP Group solely: (1) to the extent necessary for the TP ICAP Group to provide RCM 19901 to TP ICAP Customers pursuant to a TP ICAP Customer Agreement (including, without limitation, for purposes of branding, marketing, promotion and demonstration of RCM 19901), and/or (2) for internal use by the TP ICAP Group (clauses (1) and (2), collectively, the “</w:t>
      </w:r>
      <w:r>
        <w:rPr>
          <w:rFonts w:ascii="Arial" w:cs="Arial" w:eastAsia="Arial" w:hAnsi="Arial"/>
          <w:sz w:val="18"/>
          <w:szCs w:val="18"/>
          <w:u w:val="single" w:color="auto"/>
          <w:color w:val="auto"/>
        </w:rPr>
        <w:t>Additional UST License</w:t>
      </w:r>
      <w:r>
        <w:rPr>
          <w:rFonts w:ascii="Arial" w:cs="Arial" w:eastAsia="Arial" w:hAnsi="Arial"/>
          <w:sz w:val="18"/>
          <w:szCs w:val="18"/>
          <w:color w:val="auto"/>
        </w:rPr>
        <w:t>”). Following January 26, 2019 (180 days after July 30, 2018), except to the extent otherwise agreed in writing by the Parties, any redistribution of the US Treasuries Actives Data by GRC or its Affiliates to the TP ICAP Group for use other than in accordance with clause (1) shall be subject to the applicable terms and conditions of this Second A&amp;R Agreement.</w:t>
      </w:r>
    </w:p>
    <w:p>
      <w:pPr>
        <w:spacing w:after="0" w:line="192" w:lineRule="exact"/>
        <w:rPr>
          <w:sz w:val="20"/>
          <w:szCs w:val="20"/>
          <w:color w:val="auto"/>
        </w:rPr>
      </w:pPr>
    </w:p>
    <w:p>
      <w:pPr>
        <w:jc w:val="both"/>
        <w:ind w:left="660" w:firstLine="644"/>
        <w:spacing w:after="0" w:line="286" w:lineRule="auto"/>
        <w:tabs>
          <w:tab w:leader="none" w:pos="156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connection with clause (1) of the Additional UST License, GRC or its Affiliates shall be permitted to provide the US Treasuries Actives Data to the TP ICAP Group to the extent necessary for the TP ICAP Group to perform calculations on the US Treasuries Actives Data and return the results thereof to GRC or its Affiliates for delivery to TP ICAP Customers via a Refinitiv Delivery Mechanism.</w:t>
      </w:r>
    </w:p>
    <w:p>
      <w:pPr>
        <w:spacing w:after="0" w:line="165" w:lineRule="exact"/>
        <w:rPr>
          <w:rFonts w:ascii="Arial" w:cs="Arial" w:eastAsia="Arial" w:hAnsi="Arial"/>
          <w:sz w:val="17"/>
          <w:szCs w:val="17"/>
          <w:color w:val="auto"/>
        </w:rPr>
      </w:pPr>
    </w:p>
    <w:p>
      <w:pPr>
        <w:jc w:val="both"/>
        <w:ind w:left="660" w:firstLine="644"/>
        <w:spacing w:after="0" w:line="268" w:lineRule="auto"/>
        <w:tabs>
          <w:tab w:leader="none" w:pos="157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In relation to the Additional UST License, GRC warrants that either it or its Affiliates shall contractually require during the term of the UST Distribution Agreement, in each case, (i) that the TP ICAP Group comply with all restrictions on the use and distribution of the US Treasuries Actives Data contained in this Second A&amp;R Agreement, (ii) promptly notify Tradeweb if it, or its Affiliates, become aware of any material breach or threatened material breach of such restrictions, and (iii) procure for the benefit of Tradeweb the rights under the Contracts (Rights of Third Parties) Act of 1999 to enforce the rights and restrictions set forth in the UST Distribution Agreement (excluding any relevant audit clause set forth in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GRC represents that, as of the Effective Date, the UST Distribution Agreement does not include any provision that would prohibit GRC or its Affiliates notifying Tradeweb to the extent it or such Affiliate becomes aware of any material breach or threatened material breach related to the TP ICAP Group’s use and distribution of the US Treasuries Actives Data as a result of any audit). To the extent Tradeweb exercises such rights under the Contracts (Rights of Third Parties) Act of 1999, GRC or its Affiliates shall, at Tradeweb’s expense, provide such assistance to Tradeweb as it reasonably requires to enforce such rights and restrictions against TP ICAP. Neither GRC nor its Affiliates shall be responsible for any breach by the TP ICAP Group of the UST License (as sub-licensee of GRC or its Affiliates), including, without limitation, any failure to comply with the restrictions on use and distribution of the US Treasuries Actives Data contained in this Second A&amp;R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648"/>
        <w:spacing w:after="0" w:line="283"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Restriction on Distribution by Tradeweb</w:t>
      </w:r>
      <w:r>
        <w:rPr>
          <w:rFonts w:ascii="Arial" w:cs="Arial" w:eastAsia="Arial" w:hAnsi="Arial"/>
          <w:sz w:val="16"/>
          <w:szCs w:val="16"/>
          <w:color w:val="auto"/>
        </w:rPr>
        <w:t xml:space="preserve">. Tradeweb shall not distribute or permit any of its Subsidiaries or any third Persons to distribute any Exclusive Licensed Data electronically,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Tradeweb and its Subsidiaries shall retain the right to distribute Exclusive Licensed Data (and any Derivative Works thereof) electronically or otherwise: (a) via a Tradeweb Front-End Application or Microsoft Excel (or any other spreadsheet program) interface integrated with a Tradeweb Front-End Application; (b) via data feeds and other data distribution means to the extent necessary for Tradeweb or any of its Subsidiaries’ transactional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Tradeweb shall only market and offer Tradeweb Front-End Applications and data feeds intended primarily for trade execution (and not primarily for market data distribution or redistribution); (c) solely with respect to Licensed Trading Data, to independent software vendors (ISVs), Order Management System (OMS) providers and Execution Management System (EMS) providers solely for purposes of enabling such vendors to provide such Licensed Trading Data to Tradeweb-Entitled Trading Customers; (d) for the purpose of supporting Trading Customers and Dealer Subscribers in connection with such customers’ and dealers’ regulatory inquiries and obligations, litigation, contractual obligations with their customers relating to execution of transactions on a Tradeweb Platform, and required clearing obligations; and</w:t>
      </w:r>
    </w:p>
    <w:p>
      <w:pPr>
        <w:spacing w:after="0" w:line="5" w:lineRule="exact"/>
        <w:rPr>
          <w:sz w:val="20"/>
          <w:szCs w:val="20"/>
          <w:color w:val="auto"/>
        </w:rPr>
      </w:pPr>
    </w:p>
    <w:p>
      <w:pPr>
        <w:jc w:val="both"/>
        <w:ind w:firstLine="8"/>
        <w:spacing w:after="0" w:line="283" w:lineRule="auto"/>
        <w:tabs>
          <w:tab w:leader="none" w:pos="25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to Trading Customers or Dealer Subscribers as an input to the following existing pre- and post-trade research products and successors thereof that do not materially alter the substance of such products by expanding the functionality of such products as a whole or the scope of the data provided therein: Transaction Cost Analysis, Best Execution, Best Execution Plus, and Liquidity Index;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Exclusive Licensed Data is used as an input to such research products, Tradeweb will not distribute such Exclusive Licensed Data independent with or from such research products. Notwithstanding the above, Tradeweb shall, and shall cause its Subsidiaries to not, under any circumstance, license or otherwise provide any Exclusive Licensed Data to any Person (or any such Person’s Affiliates, successors or assigns) set forth on </w:t>
      </w:r>
      <w:r>
        <w:rPr>
          <w:rFonts w:ascii="Arial" w:cs="Arial" w:eastAsia="Arial" w:hAnsi="Arial"/>
          <w:sz w:val="16"/>
          <w:szCs w:val="16"/>
          <w:u w:val="single" w:color="auto"/>
          <w:color w:val="auto"/>
        </w:rPr>
        <w:t>Schedule J</w:t>
      </w:r>
      <w:r>
        <w:rPr>
          <w:rFonts w:ascii="Arial" w:cs="Arial" w:eastAsia="Arial" w:hAnsi="Arial"/>
          <w:sz w:val="16"/>
          <w:szCs w:val="16"/>
          <w:color w:val="auto"/>
        </w:rPr>
        <w:t xml:space="preserve"> or any Persons reasonably known to be Affiliates of such Person (such Schedule, the “</w:t>
      </w:r>
      <w:r>
        <w:rPr>
          <w:rFonts w:ascii="Arial" w:cs="Arial" w:eastAsia="Arial" w:hAnsi="Arial"/>
          <w:sz w:val="16"/>
          <w:szCs w:val="16"/>
          <w:u w:val="single" w:color="auto"/>
          <w:color w:val="auto"/>
        </w:rPr>
        <w:t>Refinitiv Competitor List</w:t>
      </w:r>
      <w:r>
        <w:rPr>
          <w:rFonts w:ascii="Arial" w:cs="Arial" w:eastAsia="Arial" w:hAnsi="Arial"/>
          <w:sz w:val="16"/>
          <w:szCs w:val="16"/>
          <w:color w:val="auto"/>
        </w:rPr>
        <w:t xml:space="preserve">”) without the written consent of GRC;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with respect to Licensed Trading Data applicable to clause (c) above. GRC shall have the right to amend the Refinitiv Competitor List on ninety (90) days’ written notice, subject to Tradeweb’s approval, not to be unreasonably withheld. GRC agrees to consider, on a case-by-case basis, any reasonable requests from Tradeweb to waive or limit the application of the Refinitiv Competitor List;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GRC retains the right to reject any such request that GRC deems adverse to its commercial and business interests, or to condition its approval as it deems appropriate to preserve such interests, in each case, using its reasonable discretion. Notwithstanding anything to the contrary contained in this Second A&amp;R Agreement, Tradeweb may distribute Exclusive Licensed Market Data, including to any Person on the Refinitiv Competitor List, for the purpose of branding, marketing, promotion and demonstration of Tradeweb services, including to print, broadcasting and multimedia news outlets;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distributed Exclusive Licensed Market Data is not distributed by Tradeweb in a format that would enable the recipient to use such Exclusive Licensed Market Data as a substitute for obtaining its own subscription to such Exclusive Licensed Market Data from GRC or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Refinitiv Parties acknowledge and agree that Tradeweb may, from time to time, distribute Exclusive Licensed Market Data to news outlets for the above purposes, including to Persons on the Refinitiv Competitor List. For the avoidance of doubt, nothing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restrict Tradeweb or its Affiliates from engaging in any merger, acquisition, asset sale, disposition or any other type of business combination with any Person listed on the Refinitiv Competitor List or any of their respective Affiliates (or any such Person’s or its Affiliates’ successors or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obligations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will continue to apply during and after any such activity. Notwithstanding anything to the contrary herein, Tradeweb shall retain the right to use Exclusive Licensed Data, and any Derivative Works thereof, solely in connection with its trading activities. Tradeweb shall also ensure that any contracts entered into on or after the Effective Date for the provision of Exclusive Licensed Data (or any Derivative Works thereof) to customers over direct API connections will permit such customers to use such data solely for trade execution purposes, and for customers to directly support such trade execution purposes, and will restrict redistribution and use not in connection with a Tradeweb marketplace. In the event that a Refinitiv Party or any of its Affiliates develops an index or benchmark product using Exclusive Licensed Data that has value to customers on a Tradeweb Platform, the Parties shall negotiate in good faith (via the Steering Committee and/or otherwise) to license such product to Tradeweb pursuant to a separate distribution agreement for use as permitted under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for a reduced fee that takes into consideration the extent to which Tradeweb was a source of the data underlying such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Refinitiv Parties may determine in their sole discretion not to offer or provide any discount to Tradeweb or its Subsidiaries. Tradeweb shall, as soon as reasonably practicable, but in no event later than thirty (30) days following the execution of this Second A&amp;R Agreement, provide notice of its withdrawal and resignation as a member of MBIS, in accordance with the terms of such membership. Notwithstanding anything to the contrary herein, Tradeweb shall be permitted to continue to provide muni data to MBIS in the ordinary course pursuant to its existing agreements with MBIS until the earlier of: (i) the finalization of such withdrawal and resignation, and (ii) June 30,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648"/>
        <w:spacing w:after="0" w:line="28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Restriction on Distribution by GRC</w:t>
      </w:r>
      <w:r>
        <w:rPr>
          <w:rFonts w:ascii="Arial" w:cs="Arial" w:eastAsia="Arial" w:hAnsi="Arial"/>
          <w:sz w:val="16"/>
          <w:szCs w:val="16"/>
          <w:color w:val="auto"/>
        </w:rPr>
        <w:t xml:space="preserve">. Notwithstanding any other provision of this Second A&amp;R Agreement, GRC shall not, and shall cause its Affiliates not to, without the prior written consent of Tradeweb: (a) distribute US Treasuries Actives Data to any UST Competitor; or (b) distribute Licensed Data (other than US Treasuries Actives Data) to any TW Competitor. In the event that Tradeweb notifies GRC in writing of its reasonable belief that (i) Licensed Data (other than US Treasuries Actives Data) has been distributed by GRC or its Affiliates to a TW Competitor to an extent not permitted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(ii) a trading venue (including voice brokerage) owned or operated by a third Person competes with a trading venue (including voice brokerage) operated by Tradeweb or any of its Subsidiaries, but such trading venue is neither a TW Competitor as defined herein nor subject to an applicable waiver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(whether by reason of its creation, new activities undertaken by it or by Tradeweb, previous oversight, or otherwise), then in each case GRC shall investigate such matter in cooperation with Tradeweb and, with respect to clause (i), if such distribution has been made to an extent not permitted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GRC shall discontinue such distribution as soon as reasonably practicable unless Tradeweb grants a waiver with respect thereto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with respect to clause (ii), such trading venue (including voice brokerage) shall be added to the Restricted List upon the consent of GRC, such consent not to be unreasonably withheld or delayed. Tradeweb agrees to consider, on a case-by-case basis, any reasonable requests from GRC to waive or limit the application of the Restricted List or the UST Restricted List, such limitation or waiver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without limiting the generality of the foregoing, Tradeweb will not be deemed to be unreasonably withholding consent with respect thereto if Tradeweb reasonably believes that granting such limitation or waiver would create a material competitive concern for Tradeweb or its Subsidiaries. Notwithstanding anything to the contrary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 any waivers or exceptions granted by Tradeweb in respect of Section 2.4 of the Amended Agreement or the Original Agreement, as applicable, shall continue under this Second A&amp;R Agreement; and (B) if, as of the Effective Date, GRC or its Affiliates is distributing Licensed Data in contravention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but such distribution would not have been a violation of Section 2.4 of the Amended Agreement, GRC and its Affiliates shall be permitted to continue such distribution solely with respect to the Licensed Data that is part of such distribution. For the avoidance of doubt, nothing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restrict GRC or its Affiliates from engaging in any merger, acquisition, asset sale, disposition or any other type of business combination with any Person listed on the Restricted List or the UST Restricted List or any of their respective Affiliates (or any such Person’s or its Affiliates’ successors or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obligations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will continue to apply during and after any such activity. GRC shall also ensure that Licensed Data is distributed only to end users who have executed or otherwise accepted a market data subscription agreement which, among other things: (1) shall prohibit the further redistribution or sublicensing of US Treasuries Actives Data to any UST Competitor or Licensed Data (other than US Treasuries Actives Data) to any TW Competitor, as applicable; and (2) shall contain customary provisions regarding confidentiality, disclaimers of warranties and limitation of liability, and provisions ensuring that Tradeweb shall have no liability to Refinitiv Subscribers resulting from such Refinitiv Subscribers’ access via a Refinitiv Service to Licensed Data or a Tradeweb Platform. GRC shall promptly inform Tradeweb of any breach or threatened breach of any market data subscriber agreement or other sublicense agreement involving Licensed Data, and shall use commercially reasonable efforts to remedy or prevent such breach or threatened breach. A copy of the current Refinitiv Master Agreement has been separately delivered to Tradeweb. Notwithstanding anything to the contrary contained in this Second A&amp;R Agreement, provided that the Refinitiv Parties attribute Licensed Market Data in accordance with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herein, GRC may distribute, and may permit its Affiliates to distribute, Licensed Data for the purpose of branding, marketing, promotion and demonstration of Refinitiv Services, including to print, broadcasting and multimedia news outlets, and for the purpose of supporting Refinitiv Subscribers in connection with such Refinitiv Subscribers’ regulatory inquiries and obligations, litigation, contractual obligations with their customers relating to execution of transactions on a Tradeweb Platform, and required clearing obligations.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648"/>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GRC Redistributors</w:t>
      </w:r>
      <w:r>
        <w:rPr>
          <w:rFonts w:ascii="Arial" w:cs="Arial" w:eastAsia="Arial" w:hAnsi="Arial"/>
          <w:sz w:val="18"/>
          <w:szCs w:val="18"/>
          <w:color w:val="auto"/>
        </w:rPr>
        <w:t>. GRC shall provide to Tradeweb within thirty (30) days of the Effective Date a list of all third party redistributors used by GRC or its Affiliates to redistribute Licensed Market Data. Before entering a new redistribution arrangement for Licensed Market Data after the Effective Date (other than financial services customers having typical limited rights of redistribution to their own clients), GRC shall consider in good faith any strategic concerns raised by Tradeweb concerning such new redistribution arrangement.</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New Market Data Sets</w:t>
      </w:r>
      <w:r>
        <w:rPr>
          <w:rFonts w:ascii="Arial" w:cs="Arial" w:eastAsia="Arial" w:hAnsi="Arial"/>
          <w:sz w:val="17"/>
          <w:szCs w:val="17"/>
          <w:color w:val="auto"/>
        </w:rPr>
        <w:t xml:space="preserve">. Tradeweb may from time to time (a) subject to the terms and conditions of the Tradeweb Operating Agreement, create or acquire new market data sets that are not included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and that are designed for distribution as a market data product, or (b) be obligated pursuant to </w:t>
      </w:r>
      <w:r>
        <w:rPr>
          <w:rFonts w:ascii="Arial" w:cs="Arial" w:eastAsia="Arial" w:hAnsi="Arial"/>
          <w:sz w:val="17"/>
          <w:szCs w:val="17"/>
          <w:u w:val="single" w:color="auto"/>
          <w:color w:val="auto"/>
        </w:rPr>
        <w:t>Section 3.6(d)</w:t>
      </w:r>
      <w:r>
        <w:rPr>
          <w:rFonts w:ascii="Arial" w:cs="Arial" w:eastAsia="Arial" w:hAnsi="Arial"/>
          <w:sz w:val="17"/>
          <w:szCs w:val="17"/>
          <w:color w:val="auto"/>
        </w:rPr>
        <w:t xml:space="preserve"> of the Tradeweb Operating Agreement (or alternative decision making process substituted therefor in the Tradeweb Operating Agreement from time to time) to create and distribute a new market data set as a market data product (each, a “</w:t>
      </w:r>
      <w:r>
        <w:rPr>
          <w:rFonts w:ascii="Arial" w:cs="Arial" w:eastAsia="Arial" w:hAnsi="Arial"/>
          <w:sz w:val="17"/>
          <w:szCs w:val="17"/>
          <w:u w:val="single" w:color="auto"/>
          <w:color w:val="auto"/>
        </w:rPr>
        <w:t>New Market Data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Set</w:t>
      </w:r>
      <w:r>
        <w:rPr>
          <w:rFonts w:ascii="Arial" w:cs="Arial" w:eastAsia="Arial" w:hAnsi="Arial"/>
          <w:sz w:val="17"/>
          <w:szCs w:val="17"/>
          <w:color w:val="auto"/>
        </w:rPr>
        <w:t>”). In connection with the foregoing, Tradeweb shall promptly notify GRC in writing of its intention to distribute any such New Market Data Set, including a description of the applicable New Market Data Set. If GRC or any of its Affiliates makes such New Market Data Set available over, through or by means of a Desktop Platform or other Refinitiv Service prior to the date that is the later of six (6) months from (i) the date that Tradeweb gives notice to GRC of its intention to distribute such New Market Data Set, and (ii) the date that Tradeweb provides GRC with substantially all of the API and other specifications as reasonably necessary for GRC or its Affiliates to prepare to distribute such New Market Data Set (the “</w:t>
      </w:r>
      <w:r>
        <w:rPr>
          <w:rFonts w:ascii="Arial" w:cs="Arial" w:eastAsia="Arial" w:hAnsi="Arial"/>
          <w:sz w:val="17"/>
          <w:szCs w:val="17"/>
          <w:u w:val="single" w:color="auto"/>
          <w:color w:val="auto"/>
        </w:rPr>
        <w:t>Implementation Period</w:t>
      </w:r>
      <w:r>
        <w:rPr>
          <w:rFonts w:ascii="Arial" w:cs="Arial" w:eastAsia="Arial" w:hAnsi="Arial"/>
          <w:sz w:val="17"/>
          <w:szCs w:val="17"/>
          <w:color w:val="auto"/>
        </w:rPr>
        <w:t xml:space="preserve">”) (provided that Tradeweb shall comply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within the first two (2) months of the Implementation Period), then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shall be automatically amended to include such New Market Data Set (each, an “</w:t>
      </w:r>
      <w:r>
        <w:rPr>
          <w:rFonts w:ascii="Arial" w:cs="Arial" w:eastAsia="Arial" w:hAnsi="Arial"/>
          <w:sz w:val="17"/>
          <w:szCs w:val="17"/>
          <w:u w:val="single" w:color="auto"/>
          <w:color w:val="auto"/>
        </w:rPr>
        <w:t>Exclusive Licensed NMDS</w:t>
      </w:r>
      <w:r>
        <w:rPr>
          <w:rFonts w:ascii="Arial" w:cs="Arial" w:eastAsia="Arial" w:hAnsi="Arial"/>
          <w:sz w:val="17"/>
          <w:szCs w:val="17"/>
          <w:color w:val="auto"/>
        </w:rPr>
        <w:t xml:space="preserve">”), and such Exclusive Licensed NMDS shall become Exclusive Licensed Market Data subject to all applicable terms and conditions of this Second A&amp;R Agreement, including, but not limited to,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If GRC or any of its Affiliates fails to make such New Market Data Set available over, through or by means of a Desktop Platform or other Refinitiv Service prior to the end of the Implementation Period, then, unless otherwise agreed in writing by Tradeweb and GRC,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shall be automatically amended to include such New Market Data Set (each, a “</w:t>
      </w:r>
      <w:r>
        <w:rPr>
          <w:rFonts w:ascii="Arial" w:cs="Arial" w:eastAsia="Arial" w:hAnsi="Arial"/>
          <w:sz w:val="17"/>
          <w:szCs w:val="17"/>
          <w:u w:val="single" w:color="auto"/>
          <w:color w:val="auto"/>
        </w:rPr>
        <w:t>Non-Exclusive Licensed NMDS</w:t>
      </w:r>
      <w:r>
        <w:rPr>
          <w:rFonts w:ascii="Arial" w:cs="Arial" w:eastAsia="Arial" w:hAnsi="Arial"/>
          <w:sz w:val="17"/>
          <w:szCs w:val="17"/>
          <w:color w:val="auto"/>
        </w:rPr>
        <w:t xml:space="preserve">”), and such Non-Exclusive Licensed NMDS shall become Non-Exclusive Licensed Market Data subject to all applicable terms and conditions of this Second A&amp;R Agreement, including, but not limited to,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Tradeweb’s failure to comply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within the first two (2) months of the Implementation Period shall not constitute a breach of this Second A&amp;R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Implementation Period shall be extended by the amount of time from the end of such two (2) month period until Tradeweb complies with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License to Transaction Data</w:t>
      </w:r>
      <w:r>
        <w:rPr>
          <w:rFonts w:ascii="Arial" w:cs="Arial" w:eastAsia="Arial" w:hAnsi="Arial"/>
          <w:sz w:val="16"/>
          <w:szCs w:val="16"/>
          <w:color w:val="auto"/>
        </w:rPr>
        <w:t>. To the extent that a transaction, RFQ, or other User interaction with a Tradeweb Platform is conducted via a Refinitiv Service, and in the context of such User interaction a Refinitiv Party or Affiliate thereof provides data (including Resultant Data) to Tradeweb (“</w:t>
      </w:r>
      <w:r>
        <w:rPr>
          <w:rFonts w:ascii="Arial" w:cs="Arial" w:eastAsia="Arial" w:hAnsi="Arial"/>
          <w:sz w:val="16"/>
          <w:szCs w:val="16"/>
          <w:u w:val="single" w:color="auto"/>
          <w:color w:val="auto"/>
        </w:rPr>
        <w:t>Transaction Data</w:t>
      </w:r>
      <w:r>
        <w:rPr>
          <w:rFonts w:ascii="Arial" w:cs="Arial" w:eastAsia="Arial" w:hAnsi="Arial"/>
          <w:sz w:val="16"/>
          <w:szCs w:val="16"/>
          <w:color w:val="auto"/>
        </w:rPr>
        <w:t>”), GRC hereby grants to Tradeweb a perpetual, non-exclusive, irrevocable (as to Transaction Data provided pursuant to this Second A&amp;R Agreement) license to use and archive such Transaction Data in substantially the same manner and to substantially the same extent that Tradeweb uses and archives like information that would have been generated had such User interaction been conducted via the Tradeweb Viewer.</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License for Historical Market Data</w:t>
      </w:r>
      <w:r>
        <w:rPr>
          <w:rFonts w:ascii="Arial" w:cs="Arial" w:eastAsia="Arial" w:hAnsi="Arial"/>
          <w:sz w:val="18"/>
          <w:szCs w:val="18"/>
          <w:color w:val="auto"/>
        </w:rPr>
        <w:t xml:space="preserve">. Without limiting the Market Data License, subject to all of the terms and conditions of this Second A&amp;R Agreement, Tradeweb hereby grants to GRC an exclusive, perpetual and irrevocable, terminable on the terms and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Second A&amp;R Agreement, sub-licensable (subject to the same terms and conditions as set forth in this Second A&amp;R Agreement), worldwide license to use and redistribute the Historical Market Data for any and all purposes permitted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license shall be deemed granted only upon Tradeweb’s initial delivery of such Historical Market Data as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Historical Market Data</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For the avoidance of doubt, the Historical Market Data License is in addition to, and shall not modify or limit in any manner, GRC’s license to Licensed Market Data granted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color w:val="auto"/>
        </w:rPr>
        <w:t>ARTICLE III. OWNERSHIP AND DELIVERY OF LICENSED DATA</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Ownership of Licensed Data</w:t>
      </w:r>
      <w:r>
        <w:rPr>
          <w:rFonts w:ascii="Arial" w:cs="Arial" w:eastAsia="Arial" w:hAnsi="Arial"/>
          <w:sz w:val="16"/>
          <w:szCs w:val="16"/>
          <w:color w:val="auto"/>
        </w:rPr>
        <w:t>. As between the Parties, Tradeweb shall own all right, title, and interest in and to all Licensed Data.</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Ownership of Resultant Data</w:t>
      </w:r>
      <w:r>
        <w:rPr>
          <w:rFonts w:ascii="Arial" w:cs="Arial" w:eastAsia="Arial" w:hAnsi="Arial"/>
          <w:sz w:val="16"/>
          <w:szCs w:val="16"/>
          <w:color w:val="auto"/>
        </w:rPr>
        <w:t>. As between the Parties, GRC shall own all right, title, and interest in and to all Resultant Data.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Delivery of Licensed Data</w:t>
      </w:r>
      <w:r>
        <w:rPr>
          <w:rFonts w:ascii="Arial" w:cs="Arial" w:eastAsia="Arial" w:hAnsi="Arial"/>
          <w:sz w:val="16"/>
          <w:szCs w:val="16"/>
          <w:color w:val="auto"/>
        </w:rPr>
        <w:t xml:space="preserve">. It is acknowledged and agreed by the Parties that as of the Effective Date, the format and manner in which Tradeweb delivers the Licensed Market Data to the Refinitiv Parties are mutually acceptable. Prior to implementing any changes to such existing data delivery format or developing a new data delivery format for Licensed Data first provided after the Effective Date, the Parties will cooperate to develop a reasonable and mutually acceptable implementation plan for such format changes or new format in accordance with the change control procedures set forth in the service level agreement on the attached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SLA</w:t>
      </w:r>
      <w:r>
        <w:rPr>
          <w:rFonts w:ascii="Arial" w:cs="Arial" w:eastAsia="Arial" w:hAnsi="Arial"/>
          <w:sz w:val="16"/>
          <w:szCs w:val="16"/>
          <w:color w:val="auto"/>
        </w:rPr>
        <w:t xml:space="preserve">”). Tradeweb shall make, or shall have made, available to GRC as of the Effective Date all Data Sets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respectively, except for (a) Data Sets (or portions of existing Data Sets) that were not Licensed Market Data delivered under the Amended Agreement and are indicated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as being sourced from “Tradeweb Institutional”, which Tradeweb shall make available to GRC as soon as reasonably practicable following the Effective Date, but not later than December 31, 2018, and (b) Data Sets indicated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as being sourced from “Tradeweb Direct” and “Dealerweb”, which Tradeweb shall make available to GRC in accordance with a delivery schedule to be mutually agreed upon by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Data Sets shall be delivered not later than March 31, 2019 (unless otherwise mutually agreed in writing by the Parties). Within sixty (60) days following (i) each initial delivery date of Historical Market Data set forth on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and (ii) each quarter after such initial deliver date during the Term and any Transition Period, Tradeweb shall deliver to GRC all of the applicable Historical Market Data corresponding to such initial delivery date as set forth on </w:t>
      </w:r>
      <w:r>
        <w:rPr>
          <w:rFonts w:ascii="Arial" w:cs="Arial" w:eastAsia="Arial" w:hAnsi="Arial"/>
          <w:sz w:val="16"/>
          <w:szCs w:val="16"/>
          <w:u w:val="single" w:color="auto"/>
          <w:color w:val="auto"/>
        </w:rPr>
        <w:t>Exhibit L</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Delivery Costs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5.1(b)</w:t>
      </w:r>
      <w:r>
        <w:rPr>
          <w:rFonts w:ascii="Arial" w:cs="Arial" w:eastAsia="Arial" w:hAnsi="Arial"/>
          <w:sz w:val="18"/>
          <w:szCs w:val="18"/>
          <w:color w:val="auto"/>
        </w:rPr>
        <w:t>, each Party shall bear its own equipment costs (including hardware, software and information technology costs) associated with transmission and delivery of Licensed Data. GRC shall be responsible for all telecommunications costs relating to the delivery of Licensed Data hereunder.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Service Levels</w:t>
      </w:r>
      <w:r>
        <w:rPr>
          <w:rFonts w:ascii="Arial" w:cs="Arial" w:eastAsia="Arial" w:hAnsi="Arial"/>
          <w:sz w:val="18"/>
          <w:szCs w:val="18"/>
          <w:color w:val="auto"/>
        </w:rPr>
        <w:t>. Tradeweb shall, during the Term and the Transition Period, transmit Licensed Data to GRC on the terms and conditions and in accordance with the level of care, professional skill and service, including frequency and speed of data delivery set forth in the SLA, and any changes thereto shall be made only in accordance with the change control procedures set forth in the SLA.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jc w:val="both"/>
        <w:ind w:firstLine="648"/>
        <w:spacing w:after="0" w:line="288"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Attribution</w:t>
      </w:r>
      <w:r>
        <w:rPr>
          <w:rFonts w:ascii="Arial" w:cs="Arial" w:eastAsia="Arial" w:hAnsi="Arial"/>
          <w:sz w:val="16"/>
          <w:szCs w:val="16"/>
          <w:color w:val="auto"/>
        </w:rPr>
        <w:t>. GRC shall ensure, and shall cause its Affiliates to ensure, that all Licensed Data displayed on a Desktop Product or provided or distributed through any other Refinitiv Service to any customer of GRC or its Affiliates clearly attributes the source of such Licensed Data to the appropriate Tradeweb business line, to the extent practicably consistent with the attribution practices of GRC and its Affiliates. The Parties agree to discuss in good faith the appropriate attribution for all Data Sets as soon as practicable following the Effective Date. For the avoidance of doubt, the Parties’ failure to have such discussions shall not relieve GRC of its attribution obligations under this section. In addition, Tradeweb and GRC hereby agree to cooperate in good faith to create, from time to time, new pages on Eikon for the display of benchmark data of Tradeweb. For the avoidance of doubt, where Licensed Data appears with data that is not Licensed Data, GRC shall ensure, and shall cause its Affiliates to ensure, to the extent practicable, that the data display indicates which data is Licensed Data (and that the applicable Tradeweb business line is the source of such data) and which data is not Licensed Data. In addition, to the extent practicable, if GRC authorizes distribution of Licensed Market Data to the media, including print, broadcasting and multimedia news outlets, GRC shall ensure that such distribution clearly attributes the applicable Tradeweb business line as the source of such data.</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Changes in Licensed Data</w:t>
      </w:r>
      <w:r>
        <w:rPr>
          <w:rFonts w:ascii="Arial" w:cs="Arial" w:eastAsia="Arial" w:hAnsi="Arial"/>
          <w:sz w:val="18"/>
          <w:szCs w:val="18"/>
          <w:color w:val="auto"/>
        </w:rPr>
        <w:t xml:space="preserve">. Subject to the SLA, Tradeweb shall provide GRC with as much advance notice as practicable regarding any changes that it intends to implement with respect to the content, format, distribution or display of Licensed Data to Users, and in any case shall provide GRC with sufficient notice and information to permit GRC and its Affiliates to prepare their systems to receive the revised Licensed Data and to implement the intended changes at substantially the same time and in substantially the same manner as such changes are being implemented by Tradeweb; </w:t>
      </w:r>
      <w:r>
        <w:rPr>
          <w:rFonts w:ascii="Arial" w:cs="Arial" w:eastAsia="Arial" w:hAnsi="Arial"/>
          <w:sz w:val="18"/>
          <w:szCs w:val="18"/>
          <w:u w:val="single" w:color="auto"/>
          <w:color w:val="auto"/>
        </w:rPr>
        <w:t>provided</w:t>
      </w:r>
      <w:r>
        <w:rPr>
          <w:rFonts w:ascii="Arial" w:cs="Arial" w:eastAsia="Arial" w:hAnsi="Arial"/>
          <w:sz w:val="18"/>
          <w:szCs w:val="18"/>
          <w:color w:val="auto"/>
        </w:rPr>
        <w:t>, that any failure by GRC and its Affiliates to implement such changes concurrently with Tradeweb shall not prevent or delay Tradeweb from implementing such changes.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Delivery of New Market Data Sets</w:t>
      </w:r>
      <w:r>
        <w:rPr>
          <w:rFonts w:ascii="Arial" w:cs="Arial" w:eastAsia="Arial" w:hAnsi="Arial"/>
          <w:sz w:val="18"/>
          <w:szCs w:val="18"/>
          <w:color w:val="auto"/>
        </w:rPr>
        <w:t xml:space="preserve">. As soon as reasonably practicable following the introduction of a New Market Data Set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Tradeweb shall provide to GRC an API and any necessary specifications for such New Market Data Set, and shall make available to GRC a live feed for such New Market Data Set.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Customer Pricing</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GRC and its Affiliates may distribute Licensed Data to third Persons at prices determined by GRC or its Affiliates in their sole discretion. Subject to </w:t>
      </w:r>
      <w:r>
        <w:rPr>
          <w:rFonts w:ascii="Arial" w:cs="Arial" w:eastAsia="Arial" w:hAnsi="Arial"/>
          <w:sz w:val="18"/>
          <w:szCs w:val="18"/>
          <w:u w:val="single" w:color="auto"/>
          <w:color w:val="auto"/>
        </w:rPr>
        <w:t>Section 4.8</w:t>
      </w:r>
      <w:r>
        <w:rPr>
          <w:rFonts w:ascii="Arial" w:cs="Arial" w:eastAsia="Arial" w:hAnsi="Arial"/>
          <w:sz w:val="18"/>
          <w:szCs w:val="18"/>
          <w:color w:val="auto"/>
        </w:rPr>
        <w:t>, Tradeweb and its Affiliates may provide TW Per-User Products to third Persons at prices determined by Tradeweb or its Affiliates in their sole discretion.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Third Party Rights</w:t>
      </w:r>
      <w:r>
        <w:rPr>
          <w:rFonts w:ascii="Arial" w:cs="Arial" w:eastAsia="Arial" w:hAnsi="Arial"/>
          <w:sz w:val="17"/>
          <w:szCs w:val="17"/>
          <w:color w:val="auto"/>
        </w:rPr>
        <w:t xml:space="preserve">. No rights in any Intellectual Property licensed to Tradeweb under a Third Party Agreement are granted hereunder by Tradeweb to GRC if the grant of such rights would violate the terms of the Third Party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GRC’s reasonable request, Tradeweb shall use commercially reasonable efforts to obtain approval for a grant of such rights to GRC from the relevant third Person;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GRC shall be responsible for payment of any additional royalties or fees required to obtain the grant of such rights.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ind w:left="3080"/>
        <w:spacing w:after="0"/>
        <w:rPr>
          <w:sz w:val="20"/>
          <w:szCs w:val="20"/>
          <w:color w:val="auto"/>
        </w:rPr>
      </w:pPr>
      <w:r>
        <w:rPr>
          <w:rFonts w:ascii="Arial" w:cs="Arial" w:eastAsia="Arial" w:hAnsi="Arial"/>
          <w:sz w:val="18"/>
          <w:szCs w:val="18"/>
          <w:color w:val="auto"/>
        </w:rPr>
        <w:t>ARTICLE IV. FEES AND PAYMENT; TAXES; DOCUMENTATION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License Fees for Market Data Sets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5" w:lineRule="auto"/>
        <w:tabs>
          <w:tab w:leader="none" w:pos="155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 consideration for the grant of the Market Data License, the Limited Trading Data License and the Historical Market Data License, and in accordance with </w:t>
      </w:r>
      <w:r>
        <w:rPr>
          <w:rFonts w:ascii="Arial" w:cs="Arial" w:eastAsia="Arial" w:hAnsi="Arial"/>
          <w:sz w:val="18"/>
          <w:szCs w:val="18"/>
          <w:u w:val="single" w:color="auto"/>
          <w:color w:val="auto"/>
        </w:rPr>
        <w:t>Section 4.4(a)</w:t>
      </w:r>
      <w:r>
        <w:rPr>
          <w:rFonts w:ascii="Arial" w:cs="Arial" w:eastAsia="Arial" w:hAnsi="Arial"/>
          <w:sz w:val="18"/>
          <w:szCs w:val="18"/>
          <w:color w:val="auto"/>
        </w:rPr>
        <w:t xml:space="preserve">, during each Year of the Initial Term, GRC shall pay to Tradeweb the corresponding annual license fee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Annual License Fee</w:t>
      </w:r>
      <w:r>
        <w:rPr>
          <w:rFonts w:ascii="Arial" w:cs="Arial" w:eastAsia="Arial" w:hAnsi="Arial"/>
          <w:sz w:val="18"/>
          <w:szCs w:val="18"/>
          <w:color w:val="auto"/>
        </w:rPr>
        <w:t xml:space="preserve">”). Thereafter, during each Year of any Renewal Term, the Annual License Fee in effect for the prior Year will be subject to an annual price increase, effective as of November 1 of the relevant Year, equal to [***]. Except as set expressly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4.3(b)(ii)</w:t>
      </w:r>
      <w:r>
        <w:rPr>
          <w:rFonts w:ascii="Arial" w:cs="Arial" w:eastAsia="Arial" w:hAnsi="Arial"/>
          <w:sz w:val="18"/>
          <w:szCs w:val="18"/>
          <w:color w:val="auto"/>
        </w:rPr>
        <w:t>, the Annual License Fee will be the sole consideration in respect of the Licenses.</w:t>
      </w:r>
    </w:p>
    <w:p>
      <w:pPr>
        <w:spacing w:after="0" w:line="192" w:lineRule="exact"/>
        <w:rPr>
          <w:rFonts w:ascii="Arial" w:cs="Arial" w:eastAsia="Arial" w:hAnsi="Arial"/>
          <w:sz w:val="18"/>
          <w:szCs w:val="18"/>
          <w:color w:val="auto"/>
        </w:rPr>
      </w:pPr>
    </w:p>
    <w:p>
      <w:pPr>
        <w:jc w:val="both"/>
        <w:ind w:left="660" w:firstLine="644"/>
        <w:spacing w:after="0" w:line="296" w:lineRule="auto"/>
        <w:tabs>
          <w:tab w:leader="none" w:pos="156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In addition to the Annual License Fee, and in accordance with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during each Year of the Term and the Transition Period, GRC shall pay to Tradeweb an amount equal to [***] of the revenue GRC and its Affiliates directly generate from the distribution of Non-Exclusive Licensed Market Data (other than as indicated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and other than in respect of MiFID II Pre-Trade APA Market Data and Non-Exclusive Licensed NMDS) to third Persons, over, through or by means of Desktop Products or other Refinitiv Services (the “</w:t>
      </w:r>
      <w:r>
        <w:rPr>
          <w:rFonts w:ascii="Arial" w:cs="Arial" w:eastAsia="Arial" w:hAnsi="Arial"/>
          <w:sz w:val="16"/>
          <w:szCs w:val="16"/>
          <w:u w:val="single" w:color="auto"/>
          <w:color w:val="auto"/>
        </w:rPr>
        <w:t>Non-Exclusive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Licensed Market Data Fee Share</w:t>
      </w:r>
      <w:r>
        <w:rPr>
          <w:rFonts w:ascii="Arial" w:cs="Arial" w:eastAsia="Arial" w:hAnsi="Arial"/>
          <w:sz w:val="16"/>
          <w:szCs w:val="16"/>
          <w:color w:val="auto"/>
        </w:rPr>
        <w:t>”). The Parties acknowledge and agree that all Non-Exclusive Licensed Market Data Distributor Fees are [***].</w:t>
      </w:r>
    </w:p>
    <w:p>
      <w:pPr>
        <w:spacing w:after="0" w:line="161" w:lineRule="exact"/>
        <w:rPr>
          <w:rFonts w:ascii="Arial" w:cs="Arial" w:eastAsia="Arial" w:hAnsi="Arial"/>
          <w:sz w:val="16"/>
          <w:szCs w:val="16"/>
          <w:color w:val="auto"/>
        </w:rPr>
      </w:pPr>
    </w:p>
    <w:p>
      <w:pPr>
        <w:jc w:val="both"/>
        <w:ind w:left="660" w:firstLine="644"/>
        <w:spacing w:after="0" w:line="259" w:lineRule="auto"/>
        <w:tabs>
          <w:tab w:leader="none" w:pos="15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 addition to the Annual License Fee, and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during each Year of the Term and the Transition Period, GRC shall pay to Tradeweb an amount equal to [***] of the revenue GRC and its Affiliates directly generate from distribution of MiFID II Pre-Trade APA Market Data to third Persons, over, through or by means of Desktop Products or other Refinitiv Services (the “</w:t>
      </w:r>
      <w:r>
        <w:rPr>
          <w:rFonts w:ascii="Arial" w:cs="Arial" w:eastAsia="Arial" w:hAnsi="Arial"/>
          <w:sz w:val="18"/>
          <w:szCs w:val="18"/>
          <w:u w:val="single" w:color="auto"/>
          <w:color w:val="auto"/>
        </w:rPr>
        <w:t>MiFID II Pre-Trade</w:t>
      </w:r>
      <w:r>
        <w:rPr>
          <w:rFonts w:ascii="Arial" w:cs="Arial" w:eastAsia="Arial" w:hAnsi="Arial"/>
          <w:sz w:val="18"/>
          <w:szCs w:val="18"/>
          <w:color w:val="auto"/>
        </w:rPr>
        <w:t xml:space="preserve"> </w:t>
      </w:r>
      <w:r>
        <w:rPr>
          <w:rFonts w:ascii="Arial" w:cs="Arial" w:eastAsia="Arial" w:hAnsi="Arial"/>
          <w:sz w:val="18"/>
          <w:szCs w:val="18"/>
          <w:u w:val="single" w:color="auto"/>
          <w:color w:val="auto"/>
        </w:rPr>
        <w:t>APA Fee Share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158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In addition to the Annual License Fee, in consideration for the UST License as it relates to the provision of RCM 19901, and in accordance with </w:t>
      </w:r>
      <w:r>
        <w:rPr>
          <w:rFonts w:ascii="Arial" w:cs="Arial" w:eastAsia="Arial" w:hAnsi="Arial"/>
          <w:sz w:val="17"/>
          <w:szCs w:val="17"/>
          <w:u w:val="single" w:color="auto"/>
          <w:color w:val="auto"/>
        </w:rPr>
        <w:t>Section 4.4(b)</w:t>
      </w:r>
      <w:r>
        <w:rPr>
          <w:rFonts w:ascii="Arial" w:cs="Arial" w:eastAsia="Arial" w:hAnsi="Arial"/>
          <w:sz w:val="17"/>
          <w:szCs w:val="17"/>
          <w:color w:val="auto"/>
        </w:rPr>
        <w:t>, during each Year of the Term and the Transition Period, GRC shall pay to Tradeweb an amount equal to the greater of (i) [***] of the Qualifying Revenue for such Year, or (ii) [***] (as applicable, the “</w:t>
      </w:r>
      <w:r>
        <w:rPr>
          <w:rFonts w:ascii="Arial" w:cs="Arial" w:eastAsia="Arial" w:hAnsi="Arial"/>
          <w:sz w:val="17"/>
          <w:szCs w:val="17"/>
          <w:u w:val="single" w:color="auto"/>
          <w:color w:val="auto"/>
        </w:rPr>
        <w:t>UST Subscription Fee Share</w:t>
      </w:r>
      <w:r>
        <w:rPr>
          <w:rFonts w:ascii="Arial" w:cs="Arial" w:eastAsia="Arial" w:hAnsi="Arial"/>
          <w:sz w:val="17"/>
          <w:szCs w:val="17"/>
          <w:color w:val="auto"/>
        </w:rPr>
        <w:t>”). For the avoidance of doubt, GRC shall not owe or pay to Tradeweb the “Annual Fixed Fee” or “Optional Service Fee” contemplated by the Addendum.</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License Fee for Transition Period</w:t>
      </w:r>
      <w:r>
        <w:rPr>
          <w:rFonts w:ascii="Arial" w:cs="Arial" w:eastAsia="Arial" w:hAnsi="Arial"/>
          <w:sz w:val="16"/>
          <w:szCs w:val="16"/>
          <w:color w:val="auto"/>
        </w:rPr>
        <w:t xml:space="preserve">. If the Transition Period follows the Initial Term, the license fee for the Transition Period shall be equal to the Annual License Fee in effect for the prior Year </w:t>
      </w:r>
      <w:r>
        <w:rPr>
          <w:rFonts w:ascii="Arial" w:cs="Arial" w:eastAsia="Arial" w:hAnsi="Arial"/>
          <w:sz w:val="16"/>
          <w:szCs w:val="16"/>
          <w:i w:val="1"/>
          <w:iCs w:val="1"/>
          <w:color w:val="auto"/>
        </w:rPr>
        <w:t>plus</w:t>
      </w:r>
      <w:r>
        <w:rPr>
          <w:rFonts w:ascii="Arial" w:cs="Arial" w:eastAsia="Arial" w:hAnsi="Arial"/>
          <w:sz w:val="16"/>
          <w:szCs w:val="16"/>
          <w:color w:val="auto"/>
        </w:rPr>
        <w:t>: (a) if Tradeweb gives Notice of Non-Renewal, a price increase equal to the greater of</w:t>
      </w:r>
    </w:p>
    <w:p>
      <w:pPr>
        <w:jc w:val="both"/>
        <w:ind w:firstLine="8"/>
        <w:spacing w:after="0" w:line="255" w:lineRule="auto"/>
        <w:tabs>
          <w:tab w:leader="none" w:pos="2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 and (ii) [***]; or (b) if either Refinitiv Party gives Notice of Non-Renewal, a price increase calculated based on [***]. If the Transition Period follows a Renewal Term, the license fee for the Transition Period shall equal the Annual License Fee in effect for the prior Year </w:t>
      </w:r>
      <w:r>
        <w:rPr>
          <w:rFonts w:ascii="Arial" w:cs="Arial" w:eastAsia="Arial" w:hAnsi="Arial"/>
          <w:sz w:val="18"/>
          <w:szCs w:val="18"/>
          <w:i w:val="1"/>
          <w:iCs w:val="1"/>
          <w:color w:val="auto"/>
        </w:rPr>
        <w:t>plus</w:t>
      </w:r>
      <w:r>
        <w:rPr>
          <w:rFonts w:ascii="Arial" w:cs="Arial" w:eastAsia="Arial" w:hAnsi="Arial"/>
          <w:sz w:val="18"/>
          <w:szCs w:val="18"/>
          <w:color w:val="auto"/>
        </w:rPr>
        <w:t xml:space="preserve"> a price increase calculated based on [***]. The license fee for the Transition Period shall be payable in accordance with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spacing w:after="0"/>
        <w:tabs>
          <w:tab w:leader="none" w:pos="12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License Fee for New Market Data Sets</w:t>
      </w:r>
      <w:r>
        <w:rPr>
          <w:rFonts w:ascii="Arial" w:cs="Arial" w:eastAsia="Arial" w:hAnsi="Arial"/>
          <w:sz w:val="16"/>
          <w:szCs w:val="16"/>
          <w:color w:val="auto"/>
        </w:rPr>
        <w:t>.</w:t>
      </w:r>
    </w:p>
    <w:p>
      <w:pPr>
        <w:spacing w:after="0" w:line="225" w:lineRule="exact"/>
        <w:rPr>
          <w:sz w:val="20"/>
          <w:szCs w:val="20"/>
          <w:color w:val="auto"/>
        </w:rPr>
      </w:pPr>
    </w:p>
    <w:p>
      <w:pPr>
        <w:ind w:left="1300" w:hanging="656"/>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Exclusive Licensed NMDS</w:t>
      </w:r>
    </w:p>
    <w:p>
      <w:pPr>
        <w:spacing w:after="0" w:line="225" w:lineRule="exact"/>
        <w:rPr>
          <w:rFonts w:ascii="Arial" w:cs="Arial" w:eastAsia="Arial" w:hAnsi="Arial"/>
          <w:sz w:val="18"/>
          <w:szCs w:val="18"/>
          <w:color w:val="auto"/>
        </w:rPr>
      </w:pPr>
    </w:p>
    <w:p>
      <w:pPr>
        <w:jc w:val="both"/>
        <w:ind w:left="720" w:firstLine="653"/>
        <w:spacing w:after="0" w:line="263" w:lineRule="auto"/>
        <w:tabs>
          <w:tab w:leader="none" w:pos="216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Parties acknowledge and agree that the consideration for the Market Data License and Limited Trading Data License in respect of all Exclusive Licensed NMDSs distributed over, through or by means of a Desktop Product during each Year of the Term and the Transition Period shall be [***].</w:t>
      </w:r>
    </w:p>
    <w:p>
      <w:pPr>
        <w:spacing w:after="0" w:line="183" w:lineRule="exact"/>
        <w:rPr>
          <w:rFonts w:ascii="Arial" w:cs="Arial" w:eastAsia="Arial" w:hAnsi="Arial"/>
          <w:sz w:val="18"/>
          <w:szCs w:val="18"/>
          <w:color w:val="auto"/>
        </w:rPr>
      </w:pPr>
    </w:p>
    <w:p>
      <w:pPr>
        <w:jc w:val="both"/>
        <w:ind w:left="720" w:firstLine="653"/>
        <w:spacing w:after="0" w:line="254" w:lineRule="auto"/>
        <w:tabs>
          <w:tab w:leader="none" w:pos="207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In addition to the Annual License Fee, and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during each Year of the Term and the Transition Period, GRC shall pay to Tradeweb an amount equal to: (A) with respect to the first year following the date such Exclusive Licensed NMDS is first made available over, through or by means of a Refinitiv Service (other than a Desktop Product)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 Year</w:t>
      </w:r>
      <w:r>
        <w:rPr>
          <w:rFonts w:ascii="Arial" w:cs="Arial" w:eastAsia="Arial" w:hAnsi="Arial"/>
          <w:sz w:val="18"/>
          <w:szCs w:val="18"/>
          <w:color w:val="auto"/>
        </w:rPr>
        <w:t>”), [***] of the revenue GRC and its Affiliates directly generate from the distribution of Exclusive Licensed NMDS to third Persons over, through or by means of Refinitiv Services (other than Desktop Products); and (B) with respect to any year after the First Distribution Year, a percentage of the revenue GRC and its Affiliates directly generate from such distribution in accordance with the following table (the “</w:t>
      </w:r>
      <w:r>
        <w:rPr>
          <w:rFonts w:ascii="Arial" w:cs="Arial" w:eastAsia="Arial" w:hAnsi="Arial"/>
          <w:sz w:val="18"/>
          <w:szCs w:val="18"/>
          <w:u w:val="single" w:color="auto"/>
          <w:color w:val="auto"/>
        </w:rPr>
        <w:t>Percentage of Revenue Payable</w:t>
      </w:r>
      <w:r>
        <w:rPr>
          <w:rFonts w:ascii="Arial" w:cs="Arial" w:eastAsia="Arial" w:hAnsi="Arial"/>
          <w:sz w:val="18"/>
          <w:szCs w:val="18"/>
          <w:color w:val="auto"/>
        </w:rPr>
        <w:t>”) (the revenue share set forth in clauses (A) and (B), as applicable, the “</w:t>
      </w:r>
      <w:r>
        <w:rPr>
          <w:rFonts w:ascii="Arial" w:cs="Arial" w:eastAsia="Arial" w:hAnsi="Arial"/>
          <w:sz w:val="18"/>
          <w:szCs w:val="18"/>
          <w:u w:val="single" w:color="auto"/>
          <w:color w:val="auto"/>
        </w:rPr>
        <w:t>Exclusive NMDS Fee Share</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Annual Revenue</w:t>
            </w:r>
          </w:p>
        </w:tc>
        <w:tc>
          <w:tcPr>
            <w:tcW w:w="220" w:type="dxa"/>
            <w:vAlign w:val="bottom"/>
            <w:tcBorders>
              <w:bottom w:val="single" w:sz="8" w:color="CCEEFF"/>
            </w:tcBorders>
          </w:tcPr>
          <w:p>
            <w:pPr>
              <w:spacing w:after="0"/>
              <w:rPr>
                <w:sz w:val="20"/>
                <w:szCs w:val="20"/>
                <w:color w:val="auto"/>
              </w:rPr>
            </w:pPr>
          </w:p>
        </w:tc>
        <w:tc>
          <w:tcPr>
            <w:tcW w:w="5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Percentage of Revenue Payable</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$1 - $1,000,000</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jc w:val="right"/>
              <w:ind w:right="457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$1,000,001 - $2,000,000</w:t>
            </w:r>
          </w:p>
        </w:tc>
        <w:tc>
          <w:tcPr>
            <w:tcW w:w="5260" w:type="dxa"/>
            <w:vAlign w:val="bottom"/>
            <w:gridSpan w:val="2"/>
          </w:tcPr>
          <w:p>
            <w:pPr>
              <w:jc w:val="right"/>
              <w:ind w:right="457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$2,000,001 - $3,000,000</w:t>
            </w:r>
          </w:p>
        </w:tc>
        <w:tc>
          <w:tcPr>
            <w:tcW w:w="5260" w:type="dxa"/>
            <w:vAlign w:val="bottom"/>
            <w:gridSpan w:val="2"/>
            <w:shd w:val="clear" w:color="auto" w:fill="CCEEFF"/>
          </w:tcPr>
          <w:p>
            <w:pPr>
              <w:jc w:val="right"/>
              <w:ind w:right="457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&gt; $3 million</w:t>
            </w:r>
          </w:p>
        </w:tc>
        <w:tc>
          <w:tcPr>
            <w:tcW w:w="5260" w:type="dxa"/>
            <w:vAlign w:val="bottom"/>
            <w:gridSpan w:val="2"/>
          </w:tcPr>
          <w:p>
            <w:pPr>
              <w:jc w:val="right"/>
              <w:ind w:right="457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640"/>
        <w:spacing w:after="0" w:line="275" w:lineRule="auto"/>
        <w:rPr>
          <w:sz w:val="20"/>
          <w:szCs w:val="20"/>
          <w:color w:val="auto"/>
        </w:rPr>
      </w:pPr>
      <w:r>
        <w:rPr>
          <w:rFonts w:ascii="Arial" w:cs="Arial" w:eastAsia="Arial" w:hAnsi="Arial"/>
          <w:sz w:val="17"/>
          <w:szCs w:val="17"/>
          <w:color w:val="auto"/>
        </w:rPr>
        <w:t>For the avoidance of doubt, the Percentage of Revenue Payable with respect to an Exclusive Licensed NMDS shall apply only to the portion of revenue generated during the relevant year from the distribution of such Exclusive Licensed NMDS over, through or by means of a Refinitiv Service (other than a Desktop Product) that falls within the corresponding bucket in the foregoing table. Solely by way of example, if GRC and its Affiliates collectively generate $1,000,001 of revenue during any relevant year subsequent to the First Distribution Year, GRC shall pay Tradeweb an amount equal to [***], which is [***], for the relevant year.</w:t>
      </w:r>
    </w:p>
    <w:p>
      <w:pPr>
        <w:spacing w:after="0" w:line="3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2" w:name="page253"/>
    <w:bookmarkEnd w:id="252"/>
    <w:p>
      <w:pPr>
        <w:ind w:left="1300" w:hanging="656"/>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Non-Exclusive Licensed NMDS</w:t>
      </w:r>
    </w:p>
    <w:p>
      <w:pPr>
        <w:spacing w:after="0" w:line="225" w:lineRule="exact"/>
        <w:rPr>
          <w:rFonts w:ascii="Arial" w:cs="Arial" w:eastAsia="Arial" w:hAnsi="Arial"/>
          <w:sz w:val="18"/>
          <w:szCs w:val="18"/>
          <w:color w:val="auto"/>
        </w:rPr>
      </w:pPr>
    </w:p>
    <w:p>
      <w:pPr>
        <w:jc w:val="both"/>
        <w:ind w:left="720" w:firstLine="653"/>
        <w:spacing w:after="0" w:line="263" w:lineRule="auto"/>
        <w:tabs>
          <w:tab w:leader="none" w:pos="2161"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Parties acknowledge and agree that the consideration for the Market Data License and Limited Trading Data License in respect of all Non-Exclusive Licensed NMDSs distributed over, through or by means of a Desktop Product during each Year of the Term and the Transition Period shall be [***].</w:t>
      </w:r>
    </w:p>
    <w:p>
      <w:pPr>
        <w:spacing w:after="0" w:line="183" w:lineRule="exact"/>
        <w:rPr>
          <w:rFonts w:ascii="Arial" w:cs="Arial" w:eastAsia="Arial" w:hAnsi="Arial"/>
          <w:sz w:val="18"/>
          <w:szCs w:val="18"/>
          <w:color w:val="auto"/>
        </w:rPr>
      </w:pPr>
    </w:p>
    <w:p>
      <w:pPr>
        <w:jc w:val="both"/>
        <w:ind w:left="720" w:firstLine="653"/>
        <w:spacing w:after="0" w:line="259" w:lineRule="auto"/>
        <w:tabs>
          <w:tab w:leader="none" w:pos="211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In addition to the Annual License Fee, and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during each Year of the Term and the Transition Period, GRC shall pay Tradeweb an amount equal to [***] of the revenue GRC and its Affiliates directly generate from the distribution of Non-Exclusive Licensed NMDS to third Persons over, through or by means of Refinitiv Services (other than Desktop Products) (the “</w:t>
      </w:r>
      <w:r>
        <w:rPr>
          <w:rFonts w:ascii="Arial" w:cs="Arial" w:eastAsia="Arial" w:hAnsi="Arial"/>
          <w:sz w:val="18"/>
          <w:szCs w:val="18"/>
          <w:u w:val="single" w:color="auto"/>
          <w:color w:val="auto"/>
        </w:rPr>
        <w:t>Non-Exclusive NMDS Fee Share</w:t>
      </w:r>
      <w:r>
        <w:rPr>
          <w:rFonts w:ascii="Arial" w:cs="Arial" w:eastAsia="Arial" w:hAnsi="Arial"/>
          <w:sz w:val="18"/>
          <w:szCs w:val="18"/>
          <w:color w:val="auto"/>
        </w:rPr>
        <w: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Payment</w:t>
      </w:r>
      <w:r>
        <w:rPr>
          <w:rFonts w:ascii="Arial" w:cs="Arial" w:eastAsia="Arial" w:hAnsi="Arial"/>
          <w:sz w:val="16"/>
          <w:szCs w:val="16"/>
          <w:color w:val="auto"/>
        </w:rPr>
        <w:t>.</w:t>
      </w:r>
    </w:p>
    <w:p>
      <w:pPr>
        <w:spacing w:after="0" w:line="225" w:lineRule="exact"/>
        <w:rPr>
          <w:sz w:val="20"/>
          <w:szCs w:val="20"/>
          <w:color w:val="auto"/>
        </w:rPr>
      </w:pPr>
    </w:p>
    <w:p>
      <w:pPr>
        <w:ind w:right="160" w:firstLine="644"/>
        <w:spacing w:after="0" w:line="289" w:lineRule="auto"/>
        <w:tabs>
          <w:tab w:leader="none" w:pos="89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GRC shall, or shall cause its Affiliates to, pay the Annual License Fee, including the Annual License Fee payable with respect to the Transition Period, as applicable, quarterly in advance on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November, February, May and August.</w:t>
      </w:r>
    </w:p>
    <w:p>
      <w:pPr>
        <w:spacing w:after="0" w:line="37" w:lineRule="exact"/>
        <w:rPr>
          <w:rFonts w:ascii="Arial" w:cs="Arial" w:eastAsia="Arial" w:hAnsi="Arial"/>
          <w:sz w:val="18"/>
          <w:szCs w:val="18"/>
          <w:color w:val="auto"/>
        </w:rPr>
      </w:pPr>
    </w:p>
    <w:p>
      <w:pPr>
        <w:jc w:val="both"/>
        <w:ind w:firstLine="644"/>
        <w:spacing w:after="0" w:line="257" w:lineRule="auto"/>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GRC shall, or shall cause its Affiliates to, pay, as applicable, each of the Exclusive NMDS Fee Share, Non-Exclusive NMDS Fee Share, Non-Exclusive Licensed Market Data Fee Share, MiFID II Pre-Trade APA Fee Share, and UST Subscription Fee Share, quarterly in arrears in accordance with the procedures set forth in </w:t>
      </w:r>
      <w:r>
        <w:rPr>
          <w:rFonts w:ascii="Arial" w:cs="Arial" w:eastAsia="Arial" w:hAnsi="Arial"/>
          <w:sz w:val="18"/>
          <w:szCs w:val="18"/>
          <w:u w:val="single" w:color="auto"/>
          <w:color w:val="auto"/>
        </w:rPr>
        <w:t>Section 4.4(b)(i)</w:t>
      </w:r>
      <w:r>
        <w:rPr>
          <w:rFonts w:ascii="Arial" w:cs="Arial" w:eastAsia="Arial" w:hAnsi="Arial"/>
          <w:sz w:val="18"/>
          <w:szCs w:val="18"/>
          <w:color w:val="auto"/>
        </w:rPr>
        <w:t xml:space="preserve"> below. Notwithstanding anything to the contrary herein, GRC shall, or shall cause its Affiliates to, pay any amount necessary to satisfy the minimum amount of the UST Subscription Fee Share with respect to any Year as part of the final quarterly payment for such Year.</w:t>
      </w:r>
    </w:p>
    <w:p>
      <w:pPr>
        <w:spacing w:after="0" w:line="187" w:lineRule="exact"/>
        <w:rPr>
          <w:rFonts w:ascii="Arial" w:cs="Arial" w:eastAsia="Arial" w:hAnsi="Arial"/>
          <w:sz w:val="18"/>
          <w:szCs w:val="18"/>
          <w:color w:val="auto"/>
        </w:rPr>
      </w:pPr>
    </w:p>
    <w:p>
      <w:pPr>
        <w:jc w:val="both"/>
        <w:ind w:left="720" w:firstLine="653"/>
        <w:spacing w:after="0" w:line="270" w:lineRule="auto"/>
        <w:tabs>
          <w:tab w:leader="none" w:pos="216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GRC shall, within thirty (30) calendar days following the end of each quarter during the Term and the Transition Period, provide Tradeweb with: (A) a calculation of each of the Exclusive NMDS Fee Share, Non-Exclusive NMDS Fee Share, Non-Exclusive Licensed Market Data Fee Share, MiFID II Pre-Trade APA Fee Share, and UST Subscription Fee Share, in each case, as applicable, to the relevant quarter; (B) subject to applicable Laws and contractual obligations of the Refinitiv Parties or any of their Affiliates with any third Person, documentation and information reasonably required to support GRC’s calculation for each of the foregoing Fees; and (C) subject to applicable Law and contractual obligations, a list of TP ICAP Customers receiving RCM 19901 and the amount of RCM 19901 Subscription Fees attributable to each such TP ICAP Customer for the relevant quarter (collectively, the “</w:t>
      </w:r>
      <w:r>
        <w:rPr>
          <w:rFonts w:ascii="Arial" w:cs="Arial" w:eastAsia="Arial" w:hAnsi="Arial"/>
          <w:sz w:val="17"/>
          <w:szCs w:val="17"/>
          <w:u w:val="single" w:color="auto"/>
          <w:color w:val="auto"/>
        </w:rPr>
        <w:t>Fee</w:t>
      </w:r>
      <w:r>
        <w:rPr>
          <w:rFonts w:ascii="Arial" w:cs="Arial" w:eastAsia="Arial" w:hAnsi="Arial"/>
          <w:sz w:val="17"/>
          <w:szCs w:val="17"/>
          <w:color w:val="auto"/>
        </w:rPr>
        <w:t xml:space="preserve"> </w:t>
      </w:r>
      <w:r>
        <w:rPr>
          <w:rFonts w:ascii="Arial" w:cs="Arial" w:eastAsia="Arial" w:hAnsi="Arial"/>
          <w:sz w:val="17"/>
          <w:szCs w:val="17"/>
          <w:u w:val="single" w:color="auto"/>
          <w:color w:val="auto"/>
        </w:rPr>
        <w:t>Calculation</w:t>
      </w:r>
      <w:r>
        <w:rPr>
          <w:rFonts w:ascii="Arial" w:cs="Arial" w:eastAsia="Arial" w:hAnsi="Arial"/>
          <w:sz w:val="17"/>
          <w:szCs w:val="17"/>
          <w:color w:val="auto"/>
        </w:rPr>
        <w:t>”). GRC represents that no contractual restriction exists in the UST Distribution Agreement that would prohibit GRC from providing the information in clause (C) above.</w:t>
      </w:r>
    </w:p>
    <w:p>
      <w:pPr>
        <w:spacing w:after="0" w:line="3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3" w:name="page254"/>
    <w:bookmarkEnd w:id="253"/>
    <w:p>
      <w:pPr>
        <w:jc w:val="both"/>
        <w:ind w:left="260" w:firstLine="653"/>
        <w:spacing w:after="0" w:line="290" w:lineRule="auto"/>
        <w:tabs>
          <w:tab w:leader="none" w:pos="155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Beginning on the calendar day Tradeweb receives the Fee Calculation, Tradeweb shall have twenty (20) calendar days to review such Fee Calculation and notify GRC of any disputed amount or calculation therein. During such twenty (20) calendar day period, GRC shall use commercially reasonable efforts to assist Tradeweb with any reasonable inquires relating to (A) the aggregate level of revenues, and (B) compliance with the restrictions set forth in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as applicable. Tradeweb acknowledges that GRC’s ability to provide information and assistance is, as it relates to the UST Subscription Fee Share, dependent on GRC’s ability to obtain such information and assistance from TP ICAP or its Affiliates, and neither GRC nor its Affiliates shall be responsible for any failure to provide such information or assistance to the extent such failure is attributable to TP ICAP;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GRC or its applicable Affiliate shall use commercially reasonable efforts to enforce its right to this information.</w:t>
      </w:r>
    </w:p>
    <w:p>
      <w:pPr>
        <w:spacing w:after="0" w:line="165" w:lineRule="exact"/>
        <w:rPr>
          <w:rFonts w:ascii="Arial" w:cs="Arial" w:eastAsia="Arial" w:hAnsi="Arial"/>
          <w:sz w:val="16"/>
          <w:szCs w:val="16"/>
          <w:color w:val="auto"/>
        </w:rPr>
      </w:pPr>
    </w:p>
    <w:p>
      <w:pPr>
        <w:jc w:val="both"/>
        <w:ind w:left="260" w:firstLine="653"/>
        <w:spacing w:after="0" w:line="257" w:lineRule="auto"/>
        <w:tabs>
          <w:tab w:leader="none" w:pos="157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In the event Tradeweb timely disputes any amount or calculation set forth in the Fee Calculation, Tradeweb and GRC shall attempt in good faith for a period of at least thirty (30) days to resolve such dispute between themselves, following which Tradeweb may elect by providing written notice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herein (a “</w:t>
      </w:r>
      <w:r>
        <w:rPr>
          <w:rFonts w:ascii="Arial" w:cs="Arial" w:eastAsia="Arial" w:hAnsi="Arial"/>
          <w:sz w:val="18"/>
          <w:szCs w:val="18"/>
          <w:u w:val="single" w:color="auto"/>
          <w:color w:val="auto"/>
        </w:rPr>
        <w:t>Dispute Notice</w:t>
      </w:r>
      <w:r>
        <w:rPr>
          <w:rFonts w:ascii="Arial" w:cs="Arial" w:eastAsia="Arial" w:hAnsi="Arial"/>
          <w:sz w:val="18"/>
          <w:szCs w:val="18"/>
          <w:color w:val="auto"/>
        </w:rPr>
        <w:t xml:space="preserve">”) to GRC to exercise its rights under the dispute resolution process attached hereto as </w:t>
      </w:r>
      <w:r>
        <w:rPr>
          <w:rFonts w:ascii="Arial" w:cs="Arial" w:eastAsia="Arial" w:hAnsi="Arial"/>
          <w:sz w:val="18"/>
          <w:szCs w:val="18"/>
          <w:u w:val="single" w:color="auto"/>
          <w:color w:val="auto"/>
        </w:rPr>
        <w:t>Schedule H</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Dispute Resolution Process</w:t>
      </w:r>
      <w:r>
        <w:rPr>
          <w:rFonts w:ascii="Arial" w:cs="Arial" w:eastAsia="Arial" w:hAnsi="Arial"/>
          <w:sz w:val="18"/>
          <w:szCs w:val="18"/>
          <w:color w:val="auto"/>
        </w:rPr>
        <w:t>”) to resolve the matter (which matter shall be deemed a “</w:t>
      </w:r>
      <w:r>
        <w:rPr>
          <w:rFonts w:ascii="Arial" w:cs="Arial" w:eastAsia="Arial" w:hAnsi="Arial"/>
          <w:sz w:val="18"/>
          <w:szCs w:val="18"/>
          <w:u w:val="single" w:color="auto"/>
          <w:color w:val="auto"/>
        </w:rPr>
        <w:t>Dispute Resolution Matter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260" w:firstLine="653"/>
        <w:spacing w:after="0" w:line="291" w:lineRule="auto"/>
        <w:tabs>
          <w:tab w:leader="none" w:pos="171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the extent Tradeweb fails to provide a Dispute Notice in accordance with clause (iii) above, Tradeweb shall, following the end of the relevant quarter, furnish GRC with an invoice which sets forth, as applicable, in respect of the relevant quarter, the Exclusive NMDS Fee Share, Non-Exclusive NMDS Fee Share, Non-Exclusive Licensed Market Data Fee Share, MiFID II Pre-Trade APA Fee Share, and UST Subscription Fee Share, in each case, as set forth in the Fee Calculation. GRC shall pay, or shall ensure that its designated Affiliate pays, the invoiced amount to Tradeweb no later than sixty (60) days after the delivery of such invoice. To the extent Tradeweb provides a Dispute Notice in accordance with clause (iii) above, GRC shall, or shall cause its Affiliates to, pay Tradeweb any Fees due and owing pursuant to the Dispute Resolution Process within thirty (30) days of the completion thereof.</w:t>
      </w:r>
    </w:p>
    <w:p>
      <w:pPr>
        <w:spacing w:after="0" w:line="166" w:lineRule="exact"/>
        <w:rPr>
          <w:rFonts w:ascii="Arial" w:cs="Arial" w:eastAsia="Arial" w:hAnsi="Arial"/>
          <w:sz w:val="16"/>
          <w:szCs w:val="16"/>
          <w:color w:val="auto"/>
        </w:rPr>
      </w:pPr>
    </w:p>
    <w:p>
      <w:pPr>
        <w:jc w:val="both"/>
        <w:ind w:left="-460" w:firstLine="644"/>
        <w:spacing w:after="0" w:line="254" w:lineRule="auto"/>
        <w:tabs>
          <w:tab w:leader="none" w:pos="4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Tradeweb shall, following the end of each calendar month during the Term and the Transition Period, furnish TRM with an invoice which sets forth, in respect of such calendar month, the Eikon Upgrade Fees due and payable by TRM, or its designated Affiliate, with respect thereto. TRM shall pay, or shall ensure that its designated Affiliate pays, the undisputed portion of the invoiced amount to Tradeweb no later than sixty (60) days after the delivery of such invoice. If TRM shall dispute any amount invoiced hereunder, TRM and Tradeweb shall attempt in good faith for a period of at least thirty (30) days to resolve such dispute between themselves, following which TRM may provide a Dispute Notice to Tradeweb to exercise its rights under the Dispute Resolution Process to resolve the matter (such matter to be deemed a Dispute Resolution Matter).</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4" w:name="page255"/>
    <w:bookmarkEnd w:id="254"/>
    <w:p>
      <w:pPr>
        <w:jc w:val="both"/>
        <w:ind w:firstLine="648"/>
        <w:spacing w:after="0" w:line="275"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Taxes</w:t>
      </w:r>
      <w:r>
        <w:rPr>
          <w:rFonts w:ascii="Arial" w:cs="Arial" w:eastAsia="Arial" w:hAnsi="Arial"/>
          <w:sz w:val="17"/>
          <w:szCs w:val="17"/>
          <w:color w:val="auto"/>
        </w:rPr>
        <w:t>. The Refinitiv Parties shall be responsible for any fees or charges payable to any government, regulatory organization or other body in connection with the Licenses, and any sales, use, value added, property, duties or other taxes arising in relation thereto under this Second A&amp;R Agreement, but excluding any taxes on the net income of Tradeweb. The Refinitiv Parties shall be permitted to withhold from Fees any present or future taxes, duties, assessments, fees or other governmental charges that are the responsibility of Tradeweb as required by Law. If any such withholding is required, Tradeweb shall be treated as if it had received all Fees without such withholding.</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 Fees for Distribution of Resultant Data</w:t>
      </w:r>
      <w:r>
        <w:rPr>
          <w:rFonts w:ascii="Arial" w:cs="Arial" w:eastAsia="Arial" w:hAnsi="Arial"/>
          <w:sz w:val="18"/>
          <w:szCs w:val="18"/>
          <w:color w:val="auto"/>
        </w:rPr>
        <w:t>. GRC and its Affiliates shall not be required to pay any additional fees for distribution or use of Resultant Data.</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Refinitiv Pricing</w:t>
      </w:r>
      <w:r>
        <w:rPr>
          <w:rFonts w:ascii="Arial" w:cs="Arial" w:eastAsia="Arial" w:hAnsi="Arial"/>
          <w:sz w:val="17"/>
          <w:szCs w:val="17"/>
          <w:color w:val="auto"/>
        </w:rPr>
        <w:t>. With respect to each of the Exclusive NMDS Fee Share, Non-Exclusive NMDS Fee Share, Non-Exclusive Licensed Market Data Fee Share, and MiFID II Pre-Trade APA Fee Share, respectively, GRC shall not, and shall cause its Affiliates not to, license: (a) Exclusive Licensed NMDS, (b) Non-Exclusive Licensed NMDS, (c) Non-Exclusive Licensed Market Data, or (d) MiFID II Pre-Trade APA Market Data, as applicable, to third Persons as a Loss Leader. Where GRC and its Affiliates are responsible for determining the price at which RCM 19901 is distributed to third Persons, GRC agrees that neither it nor its Affiliates shall license RCM 19901 as a TP ICAP Loss Leader. Where the TP ICAP Group is responsible for determining the price at which RCM 19901 is distributed to third parties, GRC warrants that either it or its Affiliates shall contractually require during the term of the UST Distribution Agreement, that the TP ICAP Group shall not license RCM 19901 as a TP ICAP Loss Leader, and GRC agrees to use commercially reasonable efforts to include substantially similar contractual requirements in any future arrangement (with the TP ICAP Group or another third Person) with respect to distribution of RCM 19901.</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Tradeweb Pricing</w:t>
      </w:r>
      <w:r>
        <w:rPr>
          <w:rFonts w:ascii="Arial" w:cs="Arial" w:eastAsia="Arial" w:hAnsi="Arial"/>
          <w:sz w:val="18"/>
          <w:szCs w:val="18"/>
          <w:color w:val="auto"/>
        </w:rPr>
        <w:t>. With respect to the NTU Fee Share, Tradeweb shall not, and shall cause its Affiliates not to, license TW Per-User Products to Non-Trading Users as a Loss Leader.</w:t>
      </w:r>
    </w:p>
    <w:p>
      <w:pPr>
        <w:spacing w:after="0" w:line="17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ARTICLE V. CUSTOMER, JOINT MARKETING AND DEVELOPMENT EFFORTS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Market Data Access Arrangements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0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Tradeweb shall, and shall cause its Subsidiaries to, provide Licensed Market Data via Tradeweb’s server (the “</w:t>
      </w:r>
      <w:r>
        <w:rPr>
          <w:rFonts w:ascii="Arial" w:cs="Arial" w:eastAsia="Arial" w:hAnsi="Arial"/>
          <w:sz w:val="18"/>
          <w:szCs w:val="18"/>
          <w:u w:val="single" w:color="auto"/>
          <w:color w:val="auto"/>
        </w:rPr>
        <w:t>MD Server</w:t>
      </w:r>
      <w:r>
        <w:rPr>
          <w:rFonts w:ascii="Arial" w:cs="Arial" w:eastAsia="Arial" w:hAnsi="Arial"/>
          <w:sz w:val="18"/>
          <w:szCs w:val="18"/>
          <w:color w:val="auto"/>
        </w:rPr>
        <w:t>” and files from https://md-us.tradeweb.com/marks) to certain customers of TRM or its Affiliates during the Term and the Transition Period, as requested by TRM, or its designated Affiliate.</w:t>
      </w:r>
    </w:p>
    <w:p>
      <w:pPr>
        <w:spacing w:after="0" w:line="183" w:lineRule="exact"/>
        <w:rPr>
          <w:rFonts w:ascii="Arial" w:cs="Arial" w:eastAsia="Arial" w:hAnsi="Arial"/>
          <w:sz w:val="18"/>
          <w:szCs w:val="18"/>
          <w:color w:val="auto"/>
        </w:rPr>
      </w:pPr>
    </w:p>
    <w:p>
      <w:pPr>
        <w:ind w:left="660" w:firstLine="644"/>
        <w:spacing w:after="0" w:line="277" w:lineRule="auto"/>
        <w:tabs>
          <w:tab w:leader="none" w:pos="21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In consideration of Tradeweb’s undertakings under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above, TRM shall, or shall cause its Affiliates to, pay to Tradeweb the MD Server Fees and Marks Fees specified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72" w:lineRule="auto"/>
        <w:tabs>
          <w:tab w:leader="none" w:pos="210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Tradeweb shall, and shall cause its Subsidiaries to: (i) use commercially reasonable efforts to assist TRM in migrating such customers from the existing Tradeweb infrastructure to TRM or TRM Affiliate infrastructure and, where applicable, from legacy Tradeweb contracts to TRM or TRM Affiliate contracts; and (ii) promptly upon request by TRM or its designated Affiliate, cease to provide Exclusive Licensed Data via such Tradeweb infrastructure to any such customer of TRM or its Affiliates as notified (including via email) to Tradeweb by TRM or its designated Affiliate; </w:t>
      </w:r>
      <w:r>
        <w:rPr>
          <w:rFonts w:ascii="Arial" w:cs="Arial" w:eastAsia="Arial" w:hAnsi="Arial"/>
          <w:sz w:val="17"/>
          <w:szCs w:val="17"/>
          <w:u w:val="single" w:color="auto"/>
          <w:color w:val="auto"/>
        </w:rPr>
        <w:t>provided</w:t>
      </w:r>
      <w:r>
        <w:rPr>
          <w:rFonts w:ascii="Arial" w:cs="Arial" w:eastAsia="Arial" w:hAnsi="Arial"/>
          <w:sz w:val="17"/>
          <w:szCs w:val="17"/>
          <w:color w:val="auto"/>
        </w:rPr>
        <w:t>, that where applicable, prior to terminating access to the relevant Exclusive Licensed Data, Tradeweb and TRM shall work together in good faith to resolve any issues relating to such customer, including, but not limited to, providing such customer with a cure period consistent with such customer’s contract with TRM or its Affiliate.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spacing w:after="0"/>
        <w:tabs>
          <w:tab w:leader="none" w:pos="12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Joint Efforts</w:t>
      </w:r>
      <w:r>
        <w:rPr>
          <w:rFonts w:ascii="Arial" w:cs="Arial" w:eastAsia="Arial" w:hAnsi="Arial"/>
          <w:sz w:val="16"/>
          <w:szCs w:val="16"/>
          <w:color w:val="auto"/>
        </w:rPr>
        <w:t>.</w:t>
      </w:r>
    </w:p>
    <w:p>
      <w:pPr>
        <w:spacing w:after="0" w:line="225" w:lineRule="exact"/>
        <w:rPr>
          <w:sz w:val="20"/>
          <w:szCs w:val="20"/>
          <w:color w:val="auto"/>
        </w:rPr>
      </w:pPr>
    </w:p>
    <w:p>
      <w:pPr>
        <w:ind w:left="880" w:hanging="236"/>
        <w:spacing w:after="0"/>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Non-Trading User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20" w:firstLine="653"/>
        <w:spacing w:after="0" w:line="269" w:lineRule="auto"/>
        <w:tabs>
          <w:tab w:leader="none" w:pos="2039"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Non-Trading User</w:t>
      </w:r>
      <w:r>
        <w:rPr>
          <w:rFonts w:ascii="Arial" w:cs="Arial" w:eastAsia="Arial" w:hAnsi="Arial"/>
          <w:sz w:val="17"/>
          <w:szCs w:val="17"/>
          <w:color w:val="auto"/>
        </w:rPr>
        <w:t>” is a User of a product on a Tradeweb Platform (A) where such product corresponds to data in the Exclusive Licensed Market Data, and (B) for which per-User access fees are applicable (each, a “</w:t>
      </w:r>
      <w:r>
        <w:rPr>
          <w:rFonts w:ascii="Arial" w:cs="Arial" w:eastAsia="Arial" w:hAnsi="Arial"/>
          <w:sz w:val="17"/>
          <w:szCs w:val="17"/>
          <w:u w:val="single" w:color="auto"/>
          <w:color w:val="auto"/>
        </w:rPr>
        <w:t>TW Per-User Product</w:t>
      </w:r>
      <w:r>
        <w:rPr>
          <w:rFonts w:ascii="Arial" w:cs="Arial" w:eastAsia="Arial" w:hAnsi="Arial"/>
          <w:sz w:val="17"/>
          <w:szCs w:val="17"/>
          <w:color w:val="auto"/>
        </w:rPr>
        <w:t>”), who receives his or her User identifier and password for the Tradeweb Viewer or other Tradeweb Front-End Application on or after the Effective Date, and who in any continuous six (6) month period thereafter fails to trade or send a trade inquiry or otherwise make a documented effort to trade on any Tradeweb Platform, and at the conclusion of such six month period either (1) is not actively (which, for the avoidance of doubt, does not mean continuously) using the Tradeweb Viewer or other Tradeweb Front-End Applications to provide technical support, or (2) is not deemed by Tradeweb, in its sole, reasonable discretion after consulting with TRM, to be a strategic trade execution prospect. A User shall remain a Non-Trading User effective as of the end of such six (6) month period until such time as such User executes a trade, sends a trade inquiry or otherwise makes a documented effort to trade, at which time such User shall cease being a Non-Trading User until such date he or she meets the criteria set forth in the above definition. Tradeweb represents that it provided User identifiers and passwords for the Tradeweb Viewer and other Tradeweb Front-End Applications in the ordinary course of business for the period of October 1, 2018 to October 31, 2018.</w:t>
      </w:r>
    </w:p>
    <w:p>
      <w:pPr>
        <w:spacing w:after="0" w:line="178" w:lineRule="exact"/>
        <w:rPr>
          <w:rFonts w:ascii="Arial" w:cs="Arial" w:eastAsia="Arial" w:hAnsi="Arial"/>
          <w:sz w:val="17"/>
          <w:szCs w:val="17"/>
          <w:color w:val="auto"/>
        </w:rPr>
      </w:pPr>
    </w:p>
    <w:p>
      <w:pPr>
        <w:jc w:val="both"/>
        <w:ind w:left="720" w:firstLine="653"/>
        <w:spacing w:after="0" w:line="269" w:lineRule="auto"/>
        <w:tabs>
          <w:tab w:leader="none" w:pos="204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Tradeweb shall not owe or pay the Refinitiv Parties any fee or charges in respect of the first [***] of revenue it or its Affiliates directly generate in respect of Non-Trading Users’ access to TW Per-User Products (the “</w:t>
      </w:r>
      <w:r>
        <w:rPr>
          <w:rFonts w:ascii="Arial" w:cs="Arial" w:eastAsia="Arial" w:hAnsi="Arial"/>
          <w:sz w:val="17"/>
          <w:szCs w:val="17"/>
          <w:u w:val="single" w:color="auto"/>
          <w:color w:val="auto"/>
        </w:rPr>
        <w:t>TW Revenue Threshold</w:t>
      </w:r>
      <w:r>
        <w:rPr>
          <w:rFonts w:ascii="Arial" w:cs="Arial" w:eastAsia="Arial" w:hAnsi="Arial"/>
          <w:sz w:val="17"/>
          <w:szCs w:val="17"/>
          <w:color w:val="auto"/>
        </w:rPr>
        <w:t>”). During each Year of the Term and the Transition Period, and in accordance with clauses (iii)-(v) below, Tradeweb shall pay to TRM an amount equal to [***] of the revenue Tradeweb and its Affiliates directly generate in respect of Non-Trading Users’ access to TW Per-User Products in excess of the one-time TW Revenue Threshold (the “</w:t>
      </w:r>
      <w:r>
        <w:rPr>
          <w:rFonts w:ascii="Arial" w:cs="Arial" w:eastAsia="Arial" w:hAnsi="Arial"/>
          <w:sz w:val="17"/>
          <w:szCs w:val="17"/>
          <w:u w:val="single" w:color="auto"/>
          <w:color w:val="auto"/>
        </w:rPr>
        <w:t>NTU Fee Share</w:t>
      </w:r>
      <w:r>
        <w:rPr>
          <w:rFonts w:ascii="Arial" w:cs="Arial" w:eastAsia="Arial" w:hAnsi="Arial"/>
          <w:sz w:val="17"/>
          <w:szCs w:val="17"/>
          <w:color w:val="auto"/>
        </w:rPr>
        <w:t>”). Tradeweb shall pay the NTU Fee Share annually in arrears in accordance with the below. By way of example, if Tradeweb and its Affiliates directly generate [***] of revenue in respect of Non-Trading Users’ access to TW Per-User Products during the first Year of the Term, then the NTU Fee Share payable shall equal the product of [***], which equals [***], and any other NTU Fee Share due and owing in respect of any subsequent Year during the Term and the Transition Period shall equal [***] of the revenue (starting from dollar one ($1)) generated by Tradeweb and its Affiliates during such Year.</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6" w:name="page257"/>
    <w:bookmarkEnd w:id="256"/>
    <w:p>
      <w:pPr>
        <w:jc w:val="both"/>
        <w:ind w:left="260" w:firstLine="653"/>
        <w:spacing w:after="0" w:line="259" w:lineRule="auto"/>
        <w:tabs>
          <w:tab w:leader="none" w:pos="16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Tradeweb shall, within thirty (30) calendar days following the end of each Year during the Term and the Transition Period, provide the Refinitiv Parties with: (A) a calculation of the NTU Fee Share applicable to the relevant Year; and (B) subject to applicable Laws and Tradeweb’s contractual obligations with any third Person, documentation and information reasonably required to support Tradeweb’s calculation of the NTU Fee Share (the “</w:t>
      </w:r>
      <w:r>
        <w:rPr>
          <w:rFonts w:ascii="Arial" w:cs="Arial" w:eastAsia="Arial" w:hAnsi="Arial"/>
          <w:sz w:val="18"/>
          <w:szCs w:val="18"/>
          <w:u w:val="single" w:color="auto"/>
          <w:color w:val="auto"/>
        </w:rPr>
        <w:t>NTU Fee Calculation</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60" w:firstLine="653"/>
        <w:spacing w:after="0" w:line="257" w:lineRule="auto"/>
        <w:tabs>
          <w:tab w:leader="none" w:pos="15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Beginning on the calendar day the Refinitiv Parties receive the NTU Fee Calculation, the Refinitiv Parties shall have twenty (20) calendar days to review such NTU Fee Calculation and notify Tradeweb of any disputed amount or calculation therein. During such twenty (20) calendar day period, Tradeweb shall use commercially reasonable efforts to assist the Refinitiv Parties with any reasonable inquires relating to: (A) the aggregate level of revenue; and/or (B) compliance with the restrictions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as applicable.</w:t>
      </w:r>
    </w:p>
    <w:p>
      <w:pPr>
        <w:spacing w:after="0" w:line="187" w:lineRule="exact"/>
        <w:rPr>
          <w:rFonts w:ascii="Arial" w:cs="Arial" w:eastAsia="Arial" w:hAnsi="Arial"/>
          <w:sz w:val="18"/>
          <w:szCs w:val="18"/>
          <w:color w:val="auto"/>
        </w:rPr>
      </w:pPr>
    </w:p>
    <w:p>
      <w:pPr>
        <w:jc w:val="both"/>
        <w:ind w:left="260" w:firstLine="653"/>
        <w:spacing w:after="0" w:line="259" w:lineRule="auto"/>
        <w:tabs>
          <w:tab w:leader="none" w:pos="152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event TRM timely disputes any amount or calculation set forth in the NTU Fee Calculation, Tradeweb and TRM shall attempt in good faith for a period of at least thirty (30) days to resolve such dispute between themselves, following which TRM may elect by providing a Dispute Notice to TRM to exercise its rights under the Dispute Resolution Process to resolve the matter (such matter to be deemed a Dispute Resolution Matter).</w:t>
      </w:r>
    </w:p>
    <w:p>
      <w:pPr>
        <w:spacing w:after="0" w:line="186" w:lineRule="exact"/>
        <w:rPr>
          <w:rFonts w:ascii="Arial" w:cs="Arial" w:eastAsia="Arial" w:hAnsi="Arial"/>
          <w:sz w:val="18"/>
          <w:szCs w:val="18"/>
          <w:color w:val="auto"/>
        </w:rPr>
      </w:pPr>
    </w:p>
    <w:p>
      <w:pPr>
        <w:jc w:val="both"/>
        <w:ind w:left="260" w:firstLine="653"/>
        <w:spacing w:after="0" w:line="275" w:lineRule="auto"/>
        <w:tabs>
          <w:tab w:leader="none" w:pos="16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TRM fails to provide a Dispute Notice in accordance with clause (v) above, TRM shall, following the end of the relevant Year, furnish Tradeweb with an invoice which sets forth, in respect of the relevant Year, the NTU Fee Share as set forth in the NTU Fee Calculation. Tradeweb shall pay the invoiced amount to TRM no later than sixty (60) days after the delivery of such invoice. If TRM provides a Dispute Notice in accordance with clause (v) above, Tradeweb shall pay to TRM any NTU Fee Share due and owing pursuant to the Dispute Resolution Process within thirty (30) days of the completion thereof.</w:t>
      </w:r>
    </w:p>
    <w:p>
      <w:pPr>
        <w:spacing w:after="0" w:line="176" w:lineRule="exact"/>
        <w:rPr>
          <w:rFonts w:ascii="Arial" w:cs="Arial" w:eastAsia="Arial" w:hAnsi="Arial"/>
          <w:sz w:val="17"/>
          <w:szCs w:val="17"/>
          <w:color w:val="auto"/>
        </w:rPr>
      </w:pPr>
    </w:p>
    <w:p>
      <w:pPr>
        <w:jc w:val="both"/>
        <w:ind w:left="260" w:firstLine="653"/>
        <w:spacing w:after="0" w:line="301" w:lineRule="auto"/>
        <w:tabs>
          <w:tab w:leader="none" w:pos="158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Subject to applicable Laws and Tradeweb’s contractual obligations with any third Person, Tradeweb shall, during the Term and the Transition Period, provide the Refinitiv Parties a list of all then-existing Non-Trading Users, including, in each case, the name and address of the relevant Tradeweb customers under which the Non-Trading Users are authorized (the “</w:t>
      </w:r>
      <w:r>
        <w:rPr>
          <w:rFonts w:ascii="Arial" w:cs="Arial" w:eastAsia="Arial" w:hAnsi="Arial"/>
          <w:sz w:val="16"/>
          <w:szCs w:val="16"/>
          <w:u w:val="single" w:color="auto"/>
          <w:color w:val="auto"/>
        </w:rPr>
        <w:t>Non-Trading User List</w:t>
      </w:r>
      <w:r>
        <w:rPr>
          <w:rFonts w:ascii="Arial" w:cs="Arial" w:eastAsia="Arial" w:hAnsi="Arial"/>
          <w:sz w:val="16"/>
          <w:szCs w:val="16"/>
          <w:color w:val="auto"/>
        </w:rPr>
        <w:t>”) within thirty (30) days of the end of each quarter following the initial six (6) month period beginning on the Effective Date.</w:t>
      </w:r>
    </w:p>
    <w:p>
      <w:pPr>
        <w:spacing w:after="0" w:line="157" w:lineRule="exact"/>
        <w:rPr>
          <w:rFonts w:ascii="Arial" w:cs="Arial" w:eastAsia="Arial" w:hAnsi="Arial"/>
          <w:sz w:val="16"/>
          <w:szCs w:val="16"/>
          <w:color w:val="auto"/>
        </w:rPr>
      </w:pPr>
    </w:p>
    <w:p>
      <w:pPr>
        <w:jc w:val="both"/>
        <w:ind w:left="260" w:firstLine="653"/>
        <w:spacing w:after="0" w:line="263" w:lineRule="auto"/>
        <w:tabs>
          <w:tab w:leader="none" w:pos="165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Notwithstanding anything set forth herein, and for the avoidance of doubt, the Parties expressly acknowledge and agree that neither Refinitiv Party nor their Affiliates shall be liable for, or owe to Tradeweb, any Eikon Upgrade Fee with respect to any Non-Trading User.</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7" w:name="page258"/>
    <w:bookmarkEnd w:id="257"/>
    <w:p>
      <w:pPr>
        <w:ind w:left="840" w:hanging="656"/>
        <w:spacing w:after="0"/>
        <w:tabs>
          <w:tab w:leader="none" w:pos="8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Existing Target Customers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60" w:firstLine="653"/>
        <w:spacing w:after="0" w:line="279" w:lineRule="auto"/>
        <w:tabs>
          <w:tab w:leader="none" w:pos="168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Tradeweb shall, and shall cause its Subsidiaries to, use commercially reasonable efforts to, where applicable, assist TRM in migrating Existing Target Customers onto a Desktop Product or other Refinitiv Service from the Tradeweb Viewer and from legacy Tradeweb contracts to TRM or TRM Affiliate contracts until the earlier of: (A) January 1, 2020; or (B) the date on which TRM and its designated Affiliates have completed migration of all such Existing Target Customers in such manner.</w:t>
      </w:r>
    </w:p>
    <w:p>
      <w:pPr>
        <w:spacing w:after="0" w:line="171" w:lineRule="exact"/>
        <w:rPr>
          <w:rFonts w:ascii="Arial" w:cs="Arial" w:eastAsia="Arial" w:hAnsi="Arial"/>
          <w:sz w:val="17"/>
          <w:szCs w:val="17"/>
          <w:color w:val="auto"/>
        </w:rPr>
      </w:pPr>
    </w:p>
    <w:p>
      <w:pPr>
        <w:jc w:val="both"/>
        <w:ind w:left="260" w:firstLine="653"/>
        <w:spacing w:after="0" w:line="254" w:lineRule="auto"/>
        <w:tabs>
          <w:tab w:leader="none" w:pos="159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Until the earlier of: (A) January 1, 2020; or (B) the date on which TRM and its designated Affiliates have completed migration of all Existing Target Customers onto a Desktop Product or Refinitiv Service from the Tradeweb Viewer and from legacy Tradeweb contracts to TRM or TRM Affiliate contracts: (1) Tradeweb, or a Tradeweb Subsidiary, as applicable, shall continue to perform any obligations under such Existing Target Customer agreements; and (2) Tradeweb hereby grants to GRC a non-exclusive license sublicensable by GRC to TRM (or to those TRM Affiliates to which an Existing Target Customer agreement was assigned pursuant to the Original Agreement) for each Existing Target User, to use and access the Tradeweb Viewer (the “</w:t>
      </w:r>
      <w:r>
        <w:rPr>
          <w:rFonts w:ascii="Arial" w:cs="Arial" w:eastAsia="Arial" w:hAnsi="Arial"/>
          <w:sz w:val="18"/>
          <w:szCs w:val="18"/>
          <w:u w:val="single" w:color="auto"/>
          <w:color w:val="auto"/>
        </w:rPr>
        <w:t>Tradeweb Viewer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260" w:firstLine="653"/>
        <w:spacing w:after="0" w:line="290" w:lineRule="auto"/>
        <w:tabs>
          <w:tab w:leader="none" w:pos="1605"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During the Term, TRM shall, or shall cause its Affiliates to, pay to Tradeweb an amount equal to [***] in respect of each Existing Target User that subscribes to Eikon or other applicable Desktop Products following the Effective Date (an “</w:t>
      </w:r>
      <w:r>
        <w:rPr>
          <w:rFonts w:ascii="Arial" w:cs="Arial" w:eastAsia="Arial" w:hAnsi="Arial"/>
          <w:sz w:val="16"/>
          <w:szCs w:val="16"/>
          <w:u w:val="single" w:color="auto"/>
          <w:color w:val="auto"/>
        </w:rPr>
        <w:t>Eikon</w:t>
      </w:r>
      <w:r>
        <w:rPr>
          <w:rFonts w:ascii="Arial" w:cs="Arial" w:eastAsia="Arial" w:hAnsi="Arial"/>
          <w:sz w:val="16"/>
          <w:szCs w:val="16"/>
          <w:color w:val="auto"/>
        </w:rPr>
        <w:t xml:space="preserve"> </w:t>
      </w:r>
      <w:r>
        <w:rPr>
          <w:rFonts w:ascii="Arial" w:cs="Arial" w:eastAsia="Arial" w:hAnsi="Arial"/>
          <w:sz w:val="16"/>
          <w:szCs w:val="16"/>
          <w:u w:val="single" w:color="auto"/>
          <w:color w:val="auto"/>
        </w:rPr>
        <w:t>Upgrade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Dealer Users, the Refinitiv Parties, or their Affiliate, shall pay the Eikon Upgrade Fee only if: (A) such Dealer User logged into a Tradeweb Viewer during the ninety (90) days preceding such upgrade; and (B) such subscription to Eikon was the result of a sale to a specific group or trading desk at the Dealer Subscriber, as opposed to an enterprise-wide or other sale by TRM or its Affiliates covering multiple trading desks at a Dealer Subscriber at least one trading desk of which does not trade on a Tradeweb Platform. For the avoidance of doubt, neither TRM nor its Affiliates shall pay Tradeweb an Eikon Upgrade Fee for Existing Target Users that upgrade or otherwise transfer from one Desktop Product to another Desktop Product.</w:t>
      </w:r>
    </w:p>
    <w:p>
      <w:pPr>
        <w:spacing w:after="0" w:line="165" w:lineRule="exact"/>
        <w:rPr>
          <w:rFonts w:ascii="Arial" w:cs="Arial" w:eastAsia="Arial" w:hAnsi="Arial"/>
          <w:sz w:val="16"/>
          <w:szCs w:val="16"/>
          <w:color w:val="auto"/>
        </w:rPr>
      </w:pPr>
    </w:p>
    <w:p>
      <w:pPr>
        <w:jc w:val="both"/>
        <w:ind w:left="260" w:firstLine="653"/>
        <w:spacing w:after="0" w:line="275" w:lineRule="auto"/>
        <w:tabs>
          <w:tab w:leader="none" w:pos="174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TRM shall remain obligated to pay any Cancelled Subscription Fees incurred during the term of the Amended Agreement or the Original Agreement, as if such Amended Agreement or Original Agreement remained in effect until all such fees have been paid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Refinitiv Parties will not incur and will not be obligated to pay any Cancelled Subscription Fees in respect of any Trading Customer User or Dealer User that after the Effective Date terminates a Tradeweb Front-End Application subscription as a result of upgrading to Eikon or another Desktop Product.</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8" w:name="page259"/>
    <w:bookmarkEnd w:id="258"/>
    <w:p>
      <w:pPr>
        <w:ind w:left="840" w:hanging="656"/>
        <w:spacing w:after="0"/>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Eikon Products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60" w:firstLine="653"/>
        <w:spacing w:after="0" w:line="273" w:lineRule="auto"/>
        <w:tabs>
          <w:tab w:leader="none" w:pos="154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Tradeweb and TRM shall cooperate in good faith with respect to all Trading Customers and, at TRM’s request, Dealer Subscriber upgrades from the Tradeweb Viewer or other Tradeweb Front-End Application used by their respective Trading Customer Users and Dealer Users to a combination offering in which such Trading Customer Users and Dealer Users access Licensed Data via Eikon or other Desktop Product designated by TRM, and conduct all Trading Activity via a Tradeweb Viewer or other Tradeweb Front-End Application designated by Tradeweb (such combination offering, “</w:t>
      </w:r>
      <w:r>
        <w:rPr>
          <w:rFonts w:ascii="Arial" w:cs="Arial" w:eastAsia="Arial" w:hAnsi="Arial"/>
          <w:sz w:val="17"/>
          <w:szCs w:val="17"/>
          <w:u w:val="single" w:color="auto"/>
          <w:color w:val="auto"/>
        </w:rPr>
        <w:t>Tradeweb Viewer + Eikon</w:t>
      </w:r>
      <w:r>
        <w:rPr>
          <w:rFonts w:ascii="Arial" w:cs="Arial" w:eastAsia="Arial" w:hAnsi="Arial"/>
          <w:sz w:val="17"/>
          <w:szCs w:val="17"/>
          <w:color w:val="auto"/>
        </w:rPr>
        <w:t>”). Tradeweb and TRM shall take all reasonable steps to facilitate such upgrade, including the following:</w:t>
      </w:r>
    </w:p>
    <w:p>
      <w:pPr>
        <w:spacing w:after="0" w:line="177" w:lineRule="exact"/>
        <w:rPr>
          <w:rFonts w:ascii="Arial" w:cs="Arial" w:eastAsia="Arial" w:hAnsi="Arial"/>
          <w:sz w:val="17"/>
          <w:szCs w:val="17"/>
          <w:color w:val="auto"/>
        </w:rPr>
      </w:pPr>
    </w:p>
    <w:p>
      <w:pPr>
        <w:jc w:val="both"/>
        <w:ind w:left="840" w:firstLine="640"/>
        <w:spacing w:after="0" w:line="263" w:lineRule="auto"/>
        <w:tabs>
          <w:tab w:leader="none" w:pos="2203"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Tradeweb shall use commercially reasonable efforts to upgrade Tradeweb Front-End Applications to support side-by-side Eikon integration for all Trading Customer Users and Dealer Users. TRM shall use commercially reasonable efforts to provide all relevant assistance in connection with such integration.</w:t>
      </w:r>
    </w:p>
    <w:p>
      <w:pPr>
        <w:spacing w:after="0" w:line="183" w:lineRule="exact"/>
        <w:rPr>
          <w:rFonts w:ascii="Arial" w:cs="Arial" w:eastAsia="Arial" w:hAnsi="Arial"/>
          <w:sz w:val="18"/>
          <w:szCs w:val="18"/>
          <w:color w:val="auto"/>
        </w:rPr>
      </w:pPr>
    </w:p>
    <w:p>
      <w:pPr>
        <w:jc w:val="both"/>
        <w:ind w:left="840" w:firstLine="640"/>
        <w:spacing w:after="0" w:line="257" w:lineRule="auto"/>
        <w:tabs>
          <w:tab w:leader="none" w:pos="2445"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Tradeweb shall use commercially reasonable efforts to provide reasonably necessary information and assistance to TRM to enable TRM, in Eikon and other applicable Desktop Products, to display Licensed Data, implement pre-trade functionality of at least the same quality as Tradeweb makes available to Trading Customer Users and Dealer Users via a Tradeweb Viewer, and transfer Trading Customer Users and Dealer Users to Tradeweb’s environment to conduct Trading Activity.</w:t>
      </w:r>
    </w:p>
    <w:p>
      <w:pPr>
        <w:spacing w:after="0" w:line="187" w:lineRule="exact"/>
        <w:rPr>
          <w:rFonts w:ascii="Arial" w:cs="Arial" w:eastAsia="Arial" w:hAnsi="Arial"/>
          <w:sz w:val="18"/>
          <w:szCs w:val="18"/>
          <w:color w:val="auto"/>
        </w:rPr>
      </w:pPr>
    </w:p>
    <w:p>
      <w:pPr>
        <w:jc w:val="both"/>
        <w:ind w:left="840" w:firstLine="640"/>
        <w:spacing w:after="0" w:line="269" w:lineRule="auto"/>
        <w:tabs>
          <w:tab w:leader="none" w:pos="2214" w:val="left"/>
        </w:tabs>
        <w:numPr>
          <w:ilvl w:val="2"/>
          <w:numId w:val="146"/>
        </w:numPr>
        <w:rPr>
          <w:rFonts w:ascii="Arial" w:cs="Arial" w:eastAsia="Arial" w:hAnsi="Arial"/>
          <w:sz w:val="17"/>
          <w:szCs w:val="17"/>
          <w:color w:val="auto"/>
        </w:rPr>
      </w:pPr>
      <w:r>
        <w:rPr>
          <w:rFonts w:ascii="Arial" w:cs="Arial" w:eastAsia="Arial" w:hAnsi="Arial"/>
          <w:sz w:val="17"/>
          <w:szCs w:val="17"/>
          <w:color w:val="auto"/>
        </w:rPr>
        <w:t xml:space="preserve">In addition to the foregoing, and for the purpose of enabling TRM and its Affiliates to integrate and support integration between Eikon and the Tradeweb Multi-Dealer to Customer Platform to its trading users for transactions in fixed-income securities or instruments, Tradeweb will make available to TRM or its Affiliates all available APIs that Tradeweb uses to facilitate access to the Tradeweb Multi-Dealer to Customer Platform;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all trade execution via the API-integrated service shall occur exclusively on the Tradeweb Multi-Dealer to Customer Platform pursuant to the published trading protocols established by Tradeweb. Tradeweb will provide reasonable assistance to TRM and its Affiliates in connection with the foregoing API implementation;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TRM acknowledges that Tradeweb may not have resources necessary to support integration of all available APIs at one time, and, as such, the Parties agree that they will work together in good faith to agree on a reasonable project plan with respect to integration of such APIs into Eikon. In connection with the foregoing integration, TRM will bear all costs associated with any development work in Eikon, and Tradeweb will bear all costs associated with its development and support of its APIs.</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9" w:name="page260"/>
    <w:bookmarkEnd w:id="259"/>
    <w:p>
      <w:pPr>
        <w:jc w:val="both"/>
        <w:ind w:left="660" w:firstLine="644"/>
        <w:spacing w:after="0" w:line="255" w:lineRule="auto"/>
        <w:tabs>
          <w:tab w:leader="none" w:pos="203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Redistribution of Dealer-Attributed Data</w:t>
      </w:r>
      <w:r>
        <w:rPr>
          <w:rFonts w:ascii="Arial" w:cs="Arial" w:eastAsia="Arial" w:hAnsi="Arial"/>
          <w:sz w:val="18"/>
          <w:szCs w:val="18"/>
          <w:color w:val="auto"/>
        </w:rPr>
        <w:t xml:space="preserve">. In connection with Exclusive Licensed Market Data, to the extent such data is based on Dealer Subscriber quotes that Tradeweb is authorized to display on a dealer-attributed basis, Tradeweb agrees to use reasonable efforts to assist TRM and its Affiliates in its efforts to obtain consent from such Dealer Subscribers for TRM and its Affiliates to redistribute such attributed quotes to users at customers of TRM or its Affiliates that are entitled to receive the quotes by the applicable Dealer Subscribers;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Tradeweb shall not be required to take any action that is prohibited by Tradeweb’s contractual obligations to any applicable Dealer Subscriber.</w:t>
      </w:r>
    </w:p>
    <w:p>
      <w:pPr>
        <w:spacing w:after="0" w:line="192" w:lineRule="exact"/>
        <w:rPr>
          <w:rFonts w:ascii="Arial" w:cs="Arial" w:eastAsia="Arial" w:hAnsi="Arial"/>
          <w:sz w:val="18"/>
          <w:szCs w:val="18"/>
          <w:color w:val="auto"/>
        </w:rPr>
      </w:pPr>
    </w:p>
    <w:p>
      <w:pPr>
        <w:jc w:val="both"/>
        <w:ind w:left="660" w:firstLine="644"/>
        <w:spacing w:after="0" w:line="275" w:lineRule="auto"/>
        <w:tabs>
          <w:tab w:leader="none" w:pos="2146"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Joint Marketing</w:t>
      </w:r>
      <w:r>
        <w:rPr>
          <w:rFonts w:ascii="Arial" w:cs="Arial" w:eastAsia="Arial" w:hAnsi="Arial"/>
          <w:sz w:val="17"/>
          <w:szCs w:val="17"/>
          <w:color w:val="auto"/>
        </w:rPr>
        <w:t xml:space="preserve">. Tradeweb and TRM shall cooperate in good faith to establish and implement a joint marketing plan with respect to the availability of Licensed Data over Desktop Products and other Refinitiv Services, which shall include marketing to customers of Tradeweb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to the contrary herein, in no event will Tradeweb be required to provide to the Refinitiv Parties or their Affiliates any list of former, current or prospective customers or any personally-identifiable or financial information regarding such Persons where such disclosure would violate applicable privacy Law.</w:t>
      </w:r>
    </w:p>
    <w:p>
      <w:pPr>
        <w:spacing w:after="0" w:line="176" w:lineRule="exact"/>
        <w:rPr>
          <w:rFonts w:ascii="Arial" w:cs="Arial" w:eastAsia="Arial" w:hAnsi="Arial"/>
          <w:sz w:val="17"/>
          <w:szCs w:val="17"/>
          <w:color w:val="auto"/>
        </w:rPr>
      </w:pPr>
    </w:p>
    <w:p>
      <w:pPr>
        <w:jc w:val="both"/>
        <w:ind w:left="660" w:firstLine="644"/>
        <w:spacing w:after="0" w:line="257" w:lineRule="auto"/>
        <w:tabs>
          <w:tab w:leader="none" w:pos="193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Joint Training Sessions</w:t>
      </w:r>
      <w:r>
        <w:rPr>
          <w:rFonts w:ascii="Arial" w:cs="Arial" w:eastAsia="Arial" w:hAnsi="Arial"/>
          <w:sz w:val="18"/>
          <w:szCs w:val="18"/>
          <w:color w:val="auto"/>
        </w:rPr>
        <w:t>. Tradeweb and TRM agree to (i) semi-annually conduct joint training sessions on a mutually agreed upon date for TRM’s sales personnel and customers, and (ii) periodically jointly market, sponsor and/or publish thought leadership related to the transactions contemplated hereby and the services and products offered, sold or otherwise distributed by the Parties. For the avoidance of doubt, the above agreement regarding thought leadership shall not serve as a prohibition on any Party individually marketing, sponsoring or publishing thought leadership.</w:t>
      </w:r>
    </w:p>
    <w:p>
      <w:pPr>
        <w:spacing w:after="0" w:line="187" w:lineRule="exact"/>
        <w:rPr>
          <w:rFonts w:ascii="Arial" w:cs="Arial" w:eastAsia="Arial" w:hAnsi="Arial"/>
          <w:sz w:val="18"/>
          <w:szCs w:val="18"/>
          <w:color w:val="auto"/>
        </w:rPr>
      </w:pPr>
    </w:p>
    <w:p>
      <w:pPr>
        <w:jc w:val="both"/>
        <w:ind w:left="660" w:firstLine="644"/>
        <w:spacing w:after="0" w:line="255" w:lineRule="auto"/>
        <w:tabs>
          <w:tab w:leader="none" w:pos="213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Except as expressly provided for herein, no Party shall issue any press release or other public announcements or statements of any kind concerning this Second A&amp;R Agreement or the relationship with the Parties under this Second A&amp;R Agreement without the prior approval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Parties shall cooperate in good faith to issue a joint press release announcing the consummation of the relationship established by this Second A&amp;R Agreement at a mutually agreeable time following the Effective Date. For the avoidance of doubt, nothing herein is intended to prohibit or shall prohibit the Refinitiv Parties or their Affiliates from promoting or marketing the availability of Licensed Data over Refinitiv Services.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Steering Committee</w:t>
      </w:r>
      <w:r>
        <w:rPr>
          <w:rFonts w:ascii="Arial" w:cs="Arial" w:eastAsia="Arial" w:hAnsi="Arial"/>
          <w:sz w:val="16"/>
          <w:szCs w:val="16"/>
          <w:color w:val="auto"/>
        </w:rPr>
        <w:t>. Tradeweb and TRM agree to create a joint committee (the “</w:t>
      </w:r>
      <w:r>
        <w:rPr>
          <w:rFonts w:ascii="Arial" w:cs="Arial" w:eastAsia="Arial" w:hAnsi="Arial"/>
          <w:sz w:val="16"/>
          <w:szCs w:val="16"/>
          <w:u w:val="single" w:color="auto"/>
          <w:color w:val="auto"/>
        </w:rPr>
        <w:t>Steering Committee</w:t>
      </w:r>
      <w:r>
        <w:rPr>
          <w:rFonts w:ascii="Arial" w:cs="Arial" w:eastAsia="Arial" w:hAnsi="Arial"/>
          <w:sz w:val="16"/>
          <w:szCs w:val="16"/>
          <w:color w:val="auto"/>
        </w:rPr>
        <w:t>”), comprised of two (2) representatives designated by TRM and two (2) representatives designated by Tradeweb that will meet quarterly, on dates and times to be agreed upon by the Parties, to (a) discuss, among other things, progress towards developing New Market Data Sets and new premium pre- and post-trade research products and other innovative solutions targeting artificial intellectual and machine learning that use or are based on Materials contributed by the Refinitiv Parties or any of their Affiliates, on the one hand, and by Tradeweb or any of its Subsidiaries, on the other hand (each such product or solution, an “</w:t>
      </w:r>
      <w:r>
        <w:rPr>
          <w:rFonts w:ascii="Arial" w:cs="Arial" w:eastAsia="Arial" w:hAnsi="Arial"/>
          <w:sz w:val="16"/>
          <w:szCs w:val="16"/>
          <w:u w:val="single" w:color="auto"/>
          <w:color w:val="auto"/>
        </w:rPr>
        <w:t>Innovative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Solution</w:t>
      </w:r>
      <w:r>
        <w:rPr>
          <w:rFonts w:ascii="Arial" w:cs="Arial" w:eastAsia="Arial" w:hAnsi="Arial"/>
          <w:sz w:val="16"/>
          <w:szCs w:val="16"/>
          <w:color w:val="auto"/>
        </w:rPr>
        <w:t>”) that will be distributed over, through or by means of Desktop Products or other Refinitiv Services, (b) define and prioritize development of such Innovation Solutions, (c) work together in good faith to agree in writing as to the ownership of the Intellectual Property, distribution rights, and licenses to (both during and, if applicable, after the Term or the Transition Period of this Second A&amp;R Agreement), division of revenue and fees generated from, or royalty payments relating to, and other material commercial and technical terms relating to, such Innovative Solutions, and (d) resolve any outstanding issues amongst the Parties. Such Steering Committee will provide the leadership of each Party an executive summary promptly following each meeting thereof. The Parties shall also, through the Steering Committee, collaborate in good faith on offering new products, package and/or services based on correlation, regression and scenario analyses as well as calculations for the rates (UST, MBS, ITS), money markets and credit asset classes or other analyses created by Refinitiv Parties or their Affiliates, in each case, as mutually agreed (“</w:t>
      </w:r>
      <w:r>
        <w:rPr>
          <w:rFonts w:ascii="Arial" w:cs="Arial" w:eastAsia="Arial" w:hAnsi="Arial"/>
          <w:sz w:val="16"/>
          <w:szCs w:val="16"/>
          <w:u w:val="single" w:color="auto"/>
          <w:color w:val="auto"/>
        </w:rPr>
        <w:t>New Analytics</w:t>
      </w:r>
      <w:r>
        <w:rPr>
          <w:rFonts w:ascii="Arial" w:cs="Arial" w:eastAsia="Arial" w:hAnsi="Arial"/>
          <w:sz w:val="16"/>
          <w:szCs w:val="16"/>
          <w:color w:val="auto"/>
        </w:rPr>
        <w:t>”). The Parties shall work together in good faith to agree in writing on those terms contemplated above with respect to each such New Analytic.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jc w:val="both"/>
        <w:ind w:firstLine="648"/>
        <w:spacing w:after="0" w:line="26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Next Generation Innovative Solutions</w:t>
      </w:r>
      <w:r>
        <w:rPr>
          <w:rFonts w:ascii="Arial" w:cs="Arial" w:eastAsia="Arial" w:hAnsi="Arial"/>
          <w:sz w:val="17"/>
          <w:szCs w:val="17"/>
          <w:color w:val="auto"/>
        </w:rPr>
        <w:t xml:space="preserve">. Notwithstanding the foregoing, the Parties agree the following terms shall constitute the default terms with respect to each Innovative Solution;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such terms may be modified with respect to any Innovative Solution by mutual written agreement: (a) GRC shall have an exclusive license to each Innovative Solution, (b) GRC shall not license any Innovative Solution as a Loss Leader, (c) GRC shall, or shall cause its Affiliates to, pay Tradeweb in accordance with </w:t>
      </w:r>
      <w:r>
        <w:rPr>
          <w:rFonts w:ascii="Arial" w:cs="Arial" w:eastAsia="Arial" w:hAnsi="Arial"/>
          <w:sz w:val="17"/>
          <w:szCs w:val="17"/>
          <w:u w:val="single" w:color="auto"/>
          <w:color w:val="auto"/>
        </w:rPr>
        <w:t>Section 4.4(b)</w:t>
      </w:r>
      <w:r>
        <w:rPr>
          <w:rFonts w:ascii="Arial" w:cs="Arial" w:eastAsia="Arial" w:hAnsi="Arial"/>
          <w:sz w:val="17"/>
          <w:szCs w:val="17"/>
          <w:color w:val="auto"/>
        </w:rPr>
        <w:t xml:space="preserve"> an amount equal to [***] of the revenue it or its Affiliates directly generate from the distribution over, through or by means of Desktop Products or other Refinitiv Services of each Innovative Solution to third Persons for which the value of Materials contributed therein by the Refinitiv Parties or any of their Affiliates, on one hand, and by Tradeweb or its Subsidiaries, on the other hand, are not materially disproportionate, (d) Exclusive Licensed Data and any Derivative Works thereof that are components of an Innovative Solution shall be deemed to be Materials contributed by the Refinitiv Parties or their Affiliates, and (e) as between the Parties, each Party will retain all rights to Intellectual Property in and to any Materials owned, licensed from a third party or developed by such Party prior to the development of such Innovative Solution. For the avoidance of doubt, nothing herein will prohibit either Party from developing new pre- and post-trade research products and other innovative solutions that do not make use of any other Party’s Materials;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foregoing, Exclusive Licensed Data and any Derivative Works thereof shall be deemed to be Materials of the Refinitiv Parties or their Affiliates and Tradeweb’s rights to use Exclusive Licensed Data and any Derivative Works thereof shall be solely as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The Parties agree to negotiate in good faith an appropriate fee arrangement with respect to distribution over, through or by means of Desktop Products and other Refinitiv Services of any Innovative Solution to third Persons for which the value of Materials contributed therein by the Refinitiv Parties or their Affiliates on one hand, and by Tradeweb or its Subsidiaries, on the other hand, are materially disproportionate.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TERM AND TERMINATION</w:t>
      </w:r>
    </w:p>
    <w:p>
      <w:pPr>
        <w:spacing w:after="0" w:line="22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Term</w:t>
      </w:r>
      <w:r>
        <w:rPr>
          <w:rFonts w:ascii="Arial" w:cs="Arial" w:eastAsia="Arial" w:hAnsi="Arial"/>
          <w:sz w:val="18"/>
          <w:szCs w:val="18"/>
          <w:color w:val="auto"/>
        </w:rPr>
        <w:t>. This Second A&amp;R Agreement shall commence on the Effective Date and shall continue until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Effective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and shall automatically renew for successive three (3) Year periods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and, collectively with the Initial Term, the “</w:t>
      </w:r>
      <w:r>
        <w:rPr>
          <w:rFonts w:ascii="Arial" w:cs="Arial" w:eastAsia="Arial" w:hAnsi="Arial"/>
          <w:sz w:val="18"/>
          <w:szCs w:val="18"/>
          <w:u w:val="single" w:color="auto"/>
          <w:color w:val="auto"/>
        </w:rPr>
        <w:t>Term</w:t>
      </w:r>
      <w:r>
        <w:rPr>
          <w:rFonts w:ascii="Arial" w:cs="Arial" w:eastAsia="Arial" w:hAnsi="Arial"/>
          <w:sz w:val="18"/>
          <w:szCs w:val="18"/>
          <w:color w:val="auto"/>
        </w:rPr>
        <w:t>”), unless either Party gives written notice to the other Party at least one (1) day prior to the end of the Initial Term or the then current Renewal Term, as applicable, of its intent not to renew this Second A&amp;R Agreement after the expiration of the Initial Term or then current Renewal Term, as applicable (a “</w:t>
      </w:r>
      <w:r>
        <w:rPr>
          <w:rFonts w:ascii="Arial" w:cs="Arial" w:eastAsia="Arial" w:hAnsi="Arial"/>
          <w:sz w:val="18"/>
          <w:szCs w:val="18"/>
          <w:u w:val="single" w:color="auto"/>
          <w:color w:val="auto"/>
        </w:rPr>
        <w:t>Notice of Non-Renewal</w:t>
      </w:r>
      <w:r>
        <w:rPr>
          <w:rFonts w:ascii="Arial" w:cs="Arial" w:eastAsia="Arial" w:hAnsi="Arial"/>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1" w:name="page262"/>
    <w:bookmarkEnd w:id="261"/>
    <w:p>
      <w:pPr>
        <w:jc w:val="both"/>
        <w:ind w:firstLine="648"/>
        <w:spacing w:after="0" w:line="293"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Transition Period</w:t>
      </w:r>
      <w:r>
        <w:rPr>
          <w:rFonts w:ascii="Arial" w:cs="Arial" w:eastAsia="Arial" w:hAnsi="Arial"/>
          <w:sz w:val="16"/>
          <w:szCs w:val="16"/>
          <w:color w:val="auto"/>
        </w:rPr>
        <w:t>. If either Party provides a Notice of Non-Renewal, the terms and conditions of this Second A&amp;R Agreement shall continue in full force and effect for an additional twelve (12) months following the date of expiration of the Term (the “</w:t>
      </w:r>
      <w:r>
        <w:rPr>
          <w:rFonts w:ascii="Arial" w:cs="Arial" w:eastAsia="Arial" w:hAnsi="Arial"/>
          <w:sz w:val="16"/>
          <w:szCs w:val="16"/>
          <w:u w:val="single" w:color="auto"/>
          <w:color w:val="auto"/>
        </w:rPr>
        <w:t>Transition Period</w:t>
      </w:r>
      <w:r>
        <w:rPr>
          <w:rFonts w:ascii="Arial" w:cs="Arial" w:eastAsia="Arial" w:hAnsi="Arial"/>
          <w:sz w:val="16"/>
          <w:szCs w:val="16"/>
          <w:color w:val="auto"/>
        </w:rPr>
        <w:t>”) to allow for an orderly transition of the market data distribution arrangements contemplated hereunder. During the Transition Period, the exclusivity element of the Licenses shall not apply with respect to Tradeweb’s use or distribution of Exclusive Licensed Data to third party distribution channels or direct users for evaluation, testing and development purposes only. For the avoidance of doubt, Tradeweb may not license such third parties to use or redistribute Exclusive Licensed Data for any other purposes until the earlier of expiration of the Transition Period or termination of this Second A&amp;R Agreement.</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Termination by the Parties</w:t>
      </w:r>
      <w:r>
        <w:rPr>
          <w:rFonts w:ascii="Arial" w:cs="Arial" w:eastAsia="Arial" w:hAnsi="Arial"/>
          <w:sz w:val="18"/>
          <w:szCs w:val="18"/>
          <w:color w:val="auto"/>
        </w:rPr>
        <w:t>. Any Party may terminate this Second A&amp;R Agreement by written notice, in the case of Tradeweb, to the Refinitiv Parties, and in the case of a Refinitiv Party, to Tradeweb, if the notified Party or any of its Affiliates materially breaches this Second A&amp;R Agreement and, to the extent applicable, such Party or any of its Affiliates fails to cure the causes of such breach within thirty (30) days following such written notice.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Effect of Termination by the Parties</w:t>
      </w:r>
      <w:r>
        <w:rPr>
          <w:rFonts w:ascii="Arial" w:cs="Arial" w:eastAsia="Arial" w:hAnsi="Arial"/>
          <w:sz w:val="18"/>
          <w:szCs w:val="18"/>
          <w:color w:val="auto"/>
        </w:rPr>
        <w:t xml:space="preserve">. Upon termination of this Second A&amp;R Agreement in accordance with its terms, Tradeweb shall have no further obligation to provide any Licensed Data, and the Parties shall have no obligation to make any payments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such termination, each Party shall remain liable to the other Party for fees (prorated, as applicable) owed and payable by such Party under this Second A&amp;R Agreement prior to the effective date of the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GRC shall retain the right in perpetuity to exercise all rights granted to it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with respect to Licensed Data delivered to GRC by Tradeweb during the Term or the Transition Period.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Upon termination of this Second A&amp;R Agreement in accordance with its terms, the following Sections shall survive: </w:t>
      </w:r>
      <w:r>
        <w:rPr>
          <w:rFonts w:ascii="Arial" w:cs="Arial" w:eastAsia="Arial" w:hAnsi="Arial"/>
          <w:sz w:val="18"/>
          <w:szCs w:val="18"/>
          <w:u w:val="single" w:color="auto"/>
          <w:color w:val="auto"/>
        </w:rPr>
        <w:t>Section 2.1, 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(in each case, with respect to Licensed Data delivered during the Term or the Transition Period),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7"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ARTICLE VII. WARRANTIES; INDEMNIFICATION; LIMITATION OF LIABILITY</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5"/>
          <w:szCs w:val="15"/>
          <w:u w:val="single" w:color="auto"/>
          <w:color w:val="auto"/>
        </w:rPr>
        <w:t>Representations and Warranties of the Parties</w:t>
      </w:r>
      <w:r>
        <w:rPr>
          <w:rFonts w:ascii="Arial" w:cs="Arial" w:eastAsia="Arial" w:hAnsi="Arial"/>
          <w:sz w:val="15"/>
          <w:szCs w:val="15"/>
          <w:color w:val="auto"/>
        </w:rPr>
        <w:t>.</w:t>
      </w:r>
    </w:p>
    <w:p>
      <w:pPr>
        <w:spacing w:after="0" w:line="225" w:lineRule="exact"/>
        <w:rPr>
          <w:sz w:val="20"/>
          <w:szCs w:val="20"/>
          <w:color w:val="auto"/>
        </w:rPr>
      </w:pPr>
    </w:p>
    <w:p>
      <w:pPr>
        <w:ind w:left="1960" w:hanging="656"/>
        <w:spacing w:after="0"/>
        <w:tabs>
          <w:tab w:leader="none" w:pos="1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7.2</w:t>
      </w:r>
      <w:r>
        <w:rPr>
          <w:rFonts w:ascii="Arial" w:cs="Arial" w:eastAsia="Arial" w:hAnsi="Arial"/>
          <w:sz w:val="18"/>
          <w:szCs w:val="18"/>
          <w:color w:val="auto"/>
        </w:rPr>
        <w:t>, Tradeweb represents and warrants as follows:</w:t>
      </w:r>
    </w:p>
    <w:p>
      <w:pPr>
        <w:spacing w:after="0" w:line="225" w:lineRule="exact"/>
        <w:rPr>
          <w:rFonts w:ascii="Arial" w:cs="Arial" w:eastAsia="Arial" w:hAnsi="Arial"/>
          <w:sz w:val="18"/>
          <w:szCs w:val="18"/>
          <w:color w:val="auto"/>
        </w:rPr>
      </w:pPr>
    </w:p>
    <w:p>
      <w:pPr>
        <w:jc w:val="both"/>
        <w:ind w:left="1380" w:firstLine="653"/>
        <w:spacing w:after="0" w:line="263" w:lineRule="auto"/>
        <w:tabs>
          <w:tab w:leader="none" w:pos="295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 The provision of the Licensed Data under this Second A&amp;R Agreement does not: (A) to Tradeweb’s knowledge, infringe, conflict with, or otherwise violate, the Intellectual Property rights of any third Person; or (B) conflict with any agreement to which Tradeweb is a party; or (C) violate any applicable Law.</w:t>
      </w:r>
    </w:p>
    <w:p>
      <w:pPr>
        <w:spacing w:after="0" w:line="183" w:lineRule="exact"/>
        <w:rPr>
          <w:rFonts w:ascii="Arial" w:cs="Arial" w:eastAsia="Arial" w:hAnsi="Arial"/>
          <w:sz w:val="18"/>
          <w:szCs w:val="18"/>
          <w:color w:val="auto"/>
        </w:rPr>
      </w:pPr>
    </w:p>
    <w:p>
      <w:pPr>
        <w:jc w:val="both"/>
        <w:ind w:left="1380" w:firstLine="653"/>
        <w:spacing w:after="0" w:line="263" w:lineRule="auto"/>
        <w:tabs>
          <w:tab w:leader="none" w:pos="2693"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No Claims by Third Persons</w:t>
      </w:r>
      <w:r>
        <w:rPr>
          <w:rFonts w:ascii="Arial" w:cs="Arial" w:eastAsia="Arial" w:hAnsi="Arial"/>
          <w:sz w:val="18"/>
          <w:szCs w:val="18"/>
          <w:color w:val="auto"/>
        </w:rPr>
        <w:t>. Tradeweb is not a defendant to any action, suit, investigation, or proceeding relating to, and has not otherwise been notified of, any claim that the Licensed Data infringes the Intellectual Property rights of any third Person, and Tradeweb is not aware of any basis for such a claim.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jc w:val="both"/>
        <w:ind w:left="720" w:firstLine="653"/>
        <w:spacing w:after="0" w:line="263" w:lineRule="auto"/>
        <w:tabs>
          <w:tab w:leader="none" w:pos="2025"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As of the Effective Date, the Licensed Market Data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collectively constitutes all of the market data currently: (A) being distributed or redistributed by Tradeweb or its Subsidiaries; or (B) approved for distribution or redistribution by Tradeweb or its Subsidiaries.</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48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7.2</w:t>
      </w:r>
      <w:r>
        <w:rPr>
          <w:rFonts w:ascii="Arial" w:cs="Arial" w:eastAsia="Arial" w:hAnsi="Arial"/>
          <w:sz w:val="18"/>
          <w:szCs w:val="18"/>
          <w:color w:val="auto"/>
        </w:rPr>
        <w:t>, TRM represents and warrants that the Refinitiv Services do not: (i) to TRM’s knowledge, infringe, conflict with, or otherwise violate, the Intellectual Property rights of any third Person; (ii) conflict with any agreement to which TRM or GRC is a party; or (iii) violate any applicable Law.</w:t>
      </w:r>
    </w:p>
    <w:p>
      <w:pPr>
        <w:spacing w:after="0" w:line="183" w:lineRule="exact"/>
        <w:rPr>
          <w:rFonts w:ascii="Arial" w:cs="Arial" w:eastAsia="Arial" w:hAnsi="Arial"/>
          <w:sz w:val="18"/>
          <w:szCs w:val="18"/>
          <w:color w:val="auto"/>
        </w:rPr>
      </w:pPr>
    </w:p>
    <w:p>
      <w:pPr>
        <w:ind w:firstLine="644"/>
        <w:spacing w:after="0" w:line="308" w:lineRule="auto"/>
        <w:tabs>
          <w:tab w:leader="none" w:pos="141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Each Party shall comply with Law, as any such Law shall apply to: (i) the provision of Licensed Data and other information hereunder by Tradeweb; and (ii) the receipt, distribution and use of Licensed Data and other information hereunder by the Refinitiv Parties.</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7"/>
          <w:szCs w:val="17"/>
          <w:u w:val="single" w:color="auto"/>
          <w:color w:val="auto"/>
        </w:rPr>
        <w:t>DISCLAIMER OF WARRANTIES</w:t>
      </w:r>
      <w:r>
        <w:rPr>
          <w:rFonts w:ascii="Arial" w:cs="Arial" w:eastAsia="Arial" w:hAnsi="Arial"/>
          <w:sz w:val="17"/>
          <w:szCs w:val="17"/>
          <w:color w:val="auto"/>
        </w:rPr>
        <w:t>.</w:t>
      </w:r>
    </w:p>
    <w:p>
      <w:pPr>
        <w:spacing w:after="0" w:line="225" w:lineRule="exact"/>
        <w:rPr>
          <w:sz w:val="20"/>
          <w:szCs w:val="20"/>
          <w:color w:val="auto"/>
        </w:rPr>
      </w:pPr>
    </w:p>
    <w:p>
      <w:pPr>
        <w:jc w:val="both"/>
        <w:ind w:firstLine="644"/>
        <w:spacing w:after="0" w:line="252" w:lineRule="auto"/>
        <w:tabs>
          <w:tab w:leader="none" w:pos="9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LICENSED DATA IS PROVIDED ON AN “AS IS” BASIS, WITHOUT LIMITATION. EXCEPT AS SET FORTH IN THIS SECOND A&amp;R AGREEMENT, NO PARTY MAKES ANY OTHER REPRESENTATIONS OR WARRANTIES, WHETHER EXPRESS, IMPLIED OR STATUTORY, INCLUDING, WITHOUT LIMITATION, ANY IMPLIED WARRANTIES OF MERCHANTABILITY, FITNESS FOR A PARTICULAR PURPOSE, AND NO PARTY SHALL HAVE ANY LIABILITY OR RESPONSIBILITY FOR THE ACCURACY, COMPLETENESS, TIMELINESS OR TITLE OF THE LICENSED DATA, OR ANY WARRANTIES THAT MAY ARISE FROM COURSE OF PERFORMANCE, COURSE OF DEALING OR USAGE OF TRADE. WITHOUT LIMITING THE FOREGOING, EACH OF TRM AND GRC ACKNOWLEDGES THAT TRADEWEB MAY DEPEND ON OR INCLUDE THIRD PARTY DATA AS PART OF THE LICENSED DATA, AND SUBJECT TO SECTION 7.1(A)(I)(B), TRADEWEB SHALL NOT BE LIABLE OR RESPONSIBLE IN ANY RESPECT FOR ANY SUCH THIRD PARTY DATA, INCLUDING WITH RESPECT TO ANY DELAYS OR INACCURACIES THAT MAY OCCUR IN THE PROVISION OF THE LICENSED DATA TO TRM OR GRC, OR THAT ANY SUCH THIRD PARTY DATA: (I) INFRINGES, CONFLICTS WITH, OR OTHERWISE VIOLATES, THE INTELLECTUAL PROPERTY RIGHTS OR OTHER RIGHTS OF ANY PERSON; OR (II) VIOLATES ANY APPLICABLE LAW.</w:t>
      </w:r>
    </w:p>
    <w:p>
      <w:pPr>
        <w:spacing w:after="0" w:line="199" w:lineRule="exact"/>
        <w:rPr>
          <w:rFonts w:ascii="Arial" w:cs="Arial" w:eastAsia="Arial" w:hAnsi="Arial"/>
          <w:sz w:val="18"/>
          <w:szCs w:val="18"/>
          <w:color w:val="auto"/>
        </w:rPr>
      </w:pPr>
    </w:p>
    <w:p>
      <w:pPr>
        <w:jc w:val="both"/>
        <w:ind w:firstLine="644"/>
        <w:spacing w:after="0" w:line="255" w:lineRule="auto"/>
        <w:tabs>
          <w:tab w:leader="none" w:pos="94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DISCLAIMERS AND LIMITATIONS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RELATING SOLELY TO THE PROVISION OF THIRD PARTY DATA SHALL NOT APPLY WITH RESPECT TO THE US TREASURIES ACTIVES DATA PROVIDED TO GRC UNDER THE ADDITIONAL UST LICENSE. FOR THE AVOIDANCE OF DOUBT, TO THE EXTENT ANY THIRD PARTY DATA OBTAINED FROM GRC OR ITS AFFILIATES IS INCLUDED IN THE US TREASURIES ACTIVES DATA, NOTHING IN THIS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SHALL MODIFY ANY REPRESENTATIONS, WARRANTIES, OR OTHER OBLIGATIONS OF GRC OR SUCH AFFILIATES WITH RESPECT THERETO.</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3" w:name="page264"/>
    <w:bookmarkEnd w:id="263"/>
    <w:p>
      <w:pPr>
        <w:jc w:val="both"/>
        <w:ind w:firstLine="648"/>
        <w:spacing w:after="0" w:line="252"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EXCEPT TO THE EXTENT CAUSED BY WILLFUL MISCONDUCT OR GROSS NEGLIGENCE OF A PARTY OR DISCLOSURE BY A PARTY OF CONFIDENTIAL INFORMATION IN VIOLATION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EXCEPT IF SUCH DAMAGES WHICH A PARTY HAS BEEN REQUIRED TO PAY TO A THIRD PERSON CONSTITUTE INDEMNIFIABLE LOSSES UNDER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 IN NO EVENT SHALL ANY PARTY, ITS DIRECTORS, OFFICERS, EMPLOYEES, AGENTS OR AFFILIATES BE LIABLE TO ANY OTHER PARTY FOR ANY SPECIAL, PUNITIVE, INCIDENTAL, INDIRECT, OR CONSEQUENTIAL DAMAGES WHATSOEVER OR FOR LOST PROFITS, LOST SAVINGS, OR BUSINESS INTERRUPTION, ARISING FROM THIS SECOND A&amp;R AGREEMENT, WHETHER IN CONTRACT, TORT (INCLUDING NEGLIGENCE) OR OTHERWISE; (B) IN NO EVENT SHALL THE TOTAL LIABILITY OF TRADEWEB OR THE REFINITIV PARTIES FOR ANY CLAIM OR CAUSE OF ACTION ARISING HEREUNDER EXCEED THE AGGREGATE AMOUNT OF PAYMENTS ACTUALLY MADE BY THE REFINITIV PARTIES TO TRADEWEB HEREUNDER DURING THE TWELVE (12) MONTHS PRIOR TO THE OCCURRENCE OF THE EVENT OR EVENTS GIVING RISE TO SUCH CLAIM OR CAUSE OF ACTION; AND (C) ANY LIABILITY OF THE REFINITIV PARTIES TO TRADEWEB RELATING IN ANY MANNER TO THE RIGHTS AND OBLIGATIONS SET FORTH UNDER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(EXCEPT IN RELATION TO THE TRADEWEB VIEWER LICENSE) SHALL LIE SOLELY WITH TRM AND NOT WITH GRC.</w:t>
      </w:r>
    </w:p>
    <w:p>
      <w:pPr>
        <w:spacing w:after="0" w:line="19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7"/>
          <w:szCs w:val="17"/>
          <w:u w:val="single" w:color="auto"/>
          <w:color w:val="auto"/>
        </w:rPr>
        <w:t>Indemnification.</w:t>
      </w:r>
    </w:p>
    <w:p>
      <w:pPr>
        <w:spacing w:after="0" w:line="225" w:lineRule="exact"/>
        <w:rPr>
          <w:sz w:val="20"/>
          <w:szCs w:val="20"/>
          <w:color w:val="auto"/>
        </w:rPr>
      </w:pPr>
    </w:p>
    <w:p>
      <w:pPr>
        <w:jc w:val="both"/>
        <w:ind w:left="660" w:firstLine="644"/>
        <w:spacing w:after="0" w:line="270" w:lineRule="auto"/>
        <w:tabs>
          <w:tab w:leader="none" w:pos="158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Subject to the procedures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Tradeweb shall indemnify and hold harmless the Refinitiv Parties and their Affiliates from and against any and all loss, damage or expense, including reasonable attorneys’ fees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that the Refinitiv Parties or their Affiliates may owe to a third Person pursuant to a court judgment, injunction, order or decree, or a settlement agreement as a result of: (i) any infringement or alleged infringement by Licensed Data of any third Person’s Intellectual Property, unless such infringement or alleged infringement is caused by (A) any modifications to such Licensed Data by the Refinitiv Parties or a Refinitiv Subscriber, (B) any combination of such Licensed Data with other data by the Refinitiv Parties or a Refinitiv Subscriber, or (C) the use of such Licensed Data other than in accordance with the terms and conditions of this Second A&amp;R Agreement by the Refinitiv Parties; (ii) Tradeweb’s material breach of this Second A&amp;R Agreement to the extent such breach is caused by willful misconduct or gross negligence of Tradeweb; (iii) disclosure or use by Tradeweb of Confidential Information in violation of </w:t>
      </w:r>
      <w:r>
        <w:rPr>
          <w:rFonts w:ascii="Arial" w:cs="Arial" w:eastAsia="Arial" w:hAnsi="Arial"/>
          <w:sz w:val="17"/>
          <w:szCs w:val="17"/>
          <w:u w:val="single" w:color="auto"/>
          <w:color w:val="auto"/>
        </w:rPr>
        <w:t>ARTICLE VIII</w:t>
      </w:r>
      <w:r>
        <w:rPr>
          <w:rFonts w:ascii="Arial" w:cs="Arial" w:eastAsia="Arial" w:hAnsi="Arial"/>
          <w:sz w:val="17"/>
          <w:szCs w:val="17"/>
          <w:color w:val="auto"/>
        </w:rPr>
        <w:t>; and (iv) Tradeweb’s failure to comply with Law.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4" w:name="page265"/>
    <w:bookmarkEnd w:id="264"/>
    <w:p>
      <w:pPr>
        <w:jc w:val="both"/>
        <w:ind w:left="4" w:firstLine="644"/>
        <w:spacing w:after="0" w:line="253" w:lineRule="auto"/>
        <w:tabs>
          <w:tab w:leader="none" w:pos="91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In addition to </w:t>
      </w:r>
      <w:r>
        <w:rPr>
          <w:rFonts w:ascii="Arial" w:cs="Arial" w:eastAsia="Arial" w:hAnsi="Arial"/>
          <w:sz w:val="18"/>
          <w:szCs w:val="18"/>
          <w:u w:val="single" w:color="auto"/>
          <w:color w:val="auto"/>
        </w:rPr>
        <w:t>Section 7.4(a)</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below and the procedures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 Tradeweb shall, on behalf of GRC and its Affiliates, indemnify and hold harmless TP ICAP and its Affiliates, directors, employees, officers, managers and agents from and against any and all claims, loss, damage or expense, including reasonable attorneys’ fees and disbursements, costs of investigation, interest, fines, penalties, judgments and amounts paid in settlement (“</w:t>
      </w:r>
      <w:r>
        <w:rPr>
          <w:rFonts w:ascii="Arial" w:cs="Arial" w:eastAsia="Arial" w:hAnsi="Arial"/>
          <w:sz w:val="18"/>
          <w:szCs w:val="18"/>
          <w:u w:val="single" w:color="auto"/>
          <w:color w:val="auto"/>
        </w:rPr>
        <w:t>TP ICAP Losses</w:t>
      </w:r>
      <w:r>
        <w:rPr>
          <w:rFonts w:ascii="Arial" w:cs="Arial" w:eastAsia="Arial" w:hAnsi="Arial"/>
          <w:sz w:val="18"/>
          <w:szCs w:val="18"/>
          <w:color w:val="auto"/>
        </w:rPr>
        <w:t xml:space="preserve">”) that TP ICAP may owe to a third party arising out of any infringement or alleged infringement by the US Treasuries Actives Data of any third party’s intellectual property, unless such infringement or alleged infringement is caused by (i) any modifications to such US Treasuries Actives Data by TP ICAP or a TP ICAP Customer, (ii) any combination of such US Treasuries Actives Data with other data by TP ICAP or a TP ICAP Customer, or (iii) the use of such US Treasuries Actives Data other than in accordance with the UST Distribution Agreement. In relation to the foregoing, and for purpose of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below, the “Indemnified Party” shall be deemed to be TP ICAP and the “Indemnifying Party” shall be deemed to be Tradeweb and “Losses” shall be deemed to be “TP ICAP Losses”.</w:t>
      </w:r>
    </w:p>
    <w:p>
      <w:pPr>
        <w:spacing w:after="0" w:line="194" w:lineRule="exact"/>
        <w:rPr>
          <w:rFonts w:ascii="Arial" w:cs="Arial" w:eastAsia="Arial" w:hAnsi="Arial"/>
          <w:sz w:val="18"/>
          <w:szCs w:val="18"/>
          <w:color w:val="auto"/>
        </w:rPr>
      </w:pPr>
    </w:p>
    <w:p>
      <w:pPr>
        <w:jc w:val="both"/>
        <w:ind w:left="4" w:firstLine="644"/>
        <w:spacing w:after="0" w:line="269" w:lineRule="auto"/>
        <w:tabs>
          <w:tab w:leader="none" w:pos="94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With respect to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GRC warrants that the UST Distribution Agreement shall, during the term thereof, contain indemnification obligations on the part of GRC, or its Affiliate, identical to those set forth in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above, and procedures identical to those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Tradeweb shall, at GRC’s or its applicable Affiliate’s direction, directly indemnify TP ICAP in accordance with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The Parties acknowledge that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are not intended to mean that Tradeweb must, and Tradeweb is not obligated to, indemnify TP ICAP pursuant to this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for any amount or to any other extent exceeding the amount or extent that GRC or its Affiliates are required to indemnify TP ICAP pursuant to the UST Distribution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Tradeweb shall indemnify and hold harmless GRC and its Affiliates in accordance with the procedures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from and against any and all claims, loss, damage or expense, including reasonable attorneys’ fees and disbursements, costs of investigation, interest, fines, penalties, judgments and amounts paid in settlement incurred by GRC or its Affiliates arising out of or related to Tradeweb’s failure to comply with the indemnification obligations set forth in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7.5</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4" w:firstLine="644"/>
        <w:spacing w:after="0" w:line="287" w:lineRule="auto"/>
        <w:tabs>
          <w:tab w:leader="none" w:pos="91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Subject to the procedures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 the Refinitiv Parties shall indemnify and hold harmless Tradeweb and its Affiliates from and against any and all Losses that Tradeweb or its Affiliates may owe to a third Person pursuant to a court judgment, injunction, order or decree, or a settlement agreement as a result of: (i) any infringement or alleged infringement of any third Person’s Intellectual Property caused by</w:t>
      </w:r>
    </w:p>
    <w:p>
      <w:pPr>
        <w:spacing w:after="0" w:line="2" w:lineRule="exact"/>
        <w:rPr>
          <w:rFonts w:ascii="Arial" w:cs="Arial" w:eastAsia="Arial" w:hAnsi="Arial"/>
          <w:sz w:val="16"/>
          <w:szCs w:val="16"/>
          <w:color w:val="auto"/>
        </w:rPr>
      </w:pPr>
    </w:p>
    <w:p>
      <w:pPr>
        <w:jc w:val="both"/>
        <w:ind w:left="4" w:hanging="4"/>
        <w:spacing w:after="0" w:line="286" w:lineRule="auto"/>
        <w:tabs>
          <w:tab w:leader="none" w:pos="29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any modifications to Licensed Data by the Refinitiv Parties or a Refinitiv Subscriber, (B) any combination of Licensed Data with other data by the Refinitiv Parties or a Refinitiv Subscriber, or (C) the use of such Licensed Data other than in accordance with the terms and conditions of this Second A&amp;R Agreement by the Refinitiv Parties; (ii) a Refinitiv Party’s material breach of this Second A&amp;R Agreement to the extent such breach is caused by willful misconduct or gross negligence of such Refinitiv Party; (iii) disclosure or use by the Refinitiv Parties of Confidential Information in violation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(iv) either Refinitiv Party’s failure to comply with Law; and (v) any claim against Tradeweb by a Refinitiv Subscriber resulting from such Refinitiv Subscriber’s access via a Refinitiv Service to Licensed Data, except to the extent arising from any claim as to which Tradeweb has an indemnification obligation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to the extent caused by the gross negligence or willful misconduct of Tradeweb;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any such claim is caused by the negligence of Tradeweb, the Refinitiv Parties shall be entitled to contribution from Tradeweb for the portion of any Losses suffered by the Refinitiv Parties attributable to such negligence of Tradeweb.</w:t>
      </w:r>
    </w:p>
    <w:p>
      <w:pPr>
        <w:spacing w:after="0" w:line="38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5" w:name="page266"/>
    <w:bookmarkEnd w:id="265"/>
    <w:p>
      <w:pPr>
        <w:spacing w:after="0"/>
        <w:tabs>
          <w:tab w:leader="none" w:pos="12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3" w:lineRule="auto"/>
        <w:tabs>
          <w:tab w:leader="none" w:pos="90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that Tradeweb or the Refinitiv Parties, or their respective Affiliates shall incur or suffer any Losses (or shall reasonably anticipate that they shall suffer any Losses) in respect of which indemnification may be sought by such Party (such Party,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pursuant to the provisions of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from another Party (such Party, an “</w:t>
      </w:r>
      <w:r>
        <w:rPr>
          <w:rFonts w:ascii="Arial" w:cs="Arial" w:eastAsia="Arial" w:hAnsi="Arial"/>
          <w:sz w:val="18"/>
          <w:szCs w:val="18"/>
          <w:u w:val="single" w:color="auto"/>
          <w:color w:val="auto"/>
        </w:rPr>
        <w:t>Indemnifying Party</w:t>
      </w:r>
      <w:r>
        <w:rPr>
          <w:rFonts w:ascii="Arial" w:cs="Arial" w:eastAsia="Arial" w:hAnsi="Arial"/>
          <w:sz w:val="18"/>
          <w:szCs w:val="18"/>
          <w:color w:val="auto"/>
        </w:rPr>
        <w:t>”) (each, a “</w:t>
      </w:r>
      <w:r>
        <w:rPr>
          <w:rFonts w:ascii="Arial" w:cs="Arial" w:eastAsia="Arial" w:hAnsi="Arial"/>
          <w:sz w:val="18"/>
          <w:szCs w:val="18"/>
          <w:u w:val="single" w:color="auto"/>
          <w:color w:val="auto"/>
        </w:rPr>
        <w:t>Claim</w:t>
      </w:r>
      <w:r>
        <w:rPr>
          <w:rFonts w:ascii="Arial" w:cs="Arial" w:eastAsia="Arial" w:hAnsi="Arial"/>
          <w:sz w:val="18"/>
          <w:szCs w:val="18"/>
          <w:color w:val="auto"/>
        </w:rPr>
        <w:t>”), the Indemnified Party shall submit to the Indemnifying Party a written indemnification notice stating the nature and basis of the Claim in reasonable detail (the “</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xml:space="preserve">”). The Indemnification Notice shall be given within thirty (30) days of the actual knowledge of the Indemnified Party of the filing or other written assertion of any such Claim against the Indemnified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failure of the Indemnified Party to give the Indemnification Notice within such time period shall not relieve the Indemnifying Party of any liability that the Indemnifying Party may have to the Indemnified Party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except to the extent that the Indemnifying Party can demonstrate that it is actually materially prejudiced thereby.</w:t>
      </w:r>
    </w:p>
    <w:p>
      <w:pPr>
        <w:spacing w:after="0" w:line="196" w:lineRule="exact"/>
        <w:rPr>
          <w:rFonts w:ascii="Arial" w:cs="Arial" w:eastAsia="Arial" w:hAnsi="Arial"/>
          <w:sz w:val="18"/>
          <w:szCs w:val="18"/>
          <w:color w:val="auto"/>
        </w:rPr>
      </w:pPr>
    </w:p>
    <w:p>
      <w:pPr>
        <w:jc w:val="both"/>
        <w:ind w:firstLine="644"/>
        <w:spacing w:after="0" w:line="286" w:lineRule="auto"/>
        <w:tabs>
          <w:tab w:leader="none" w:pos="92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Indemnified Party shall provide to the Indemnifying Party, on request, reasonably detailed descriptions of all information and documentation in the Indemnified Party’s possession that, in its reasonable judgment, is not privileged, and is reasonably necessary to support and verify any Losses that the Indemnified Party believes give rise to a claim for indemnification hereunder.</w:t>
      </w:r>
    </w:p>
    <w:p>
      <w:pPr>
        <w:spacing w:after="0" w:line="165" w:lineRule="exact"/>
        <w:rPr>
          <w:rFonts w:ascii="Arial" w:cs="Arial" w:eastAsia="Arial" w:hAnsi="Arial"/>
          <w:sz w:val="17"/>
          <w:szCs w:val="17"/>
          <w:color w:val="auto"/>
        </w:rPr>
      </w:pPr>
    </w:p>
    <w:p>
      <w:pPr>
        <w:jc w:val="both"/>
        <w:ind w:firstLine="644"/>
        <w:spacing w:after="0" w:line="284" w:lineRule="auto"/>
        <w:tabs>
          <w:tab w:leader="none" w:pos="89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The Indemnifying Party shall have the right to: (i) conduct any proceedings or negotiations in connection with the Claim; (ii) take all other steps to settle or defend the Claim; and (iii) employ counsel of the Indemnifying Party’s choosing to contest the Claim in the name of the Indemnified Party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taking any of the actions described in the foregoing, the Indemnifying Party shall be deemed to have accepted any and all indemnification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settlement will obligate or impose liability on any Indemnified Party in any way without the prior written approval of the Indemnified Party, including without limitation, any determination or admission regarding the Indemnified Party’s interest;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the Indemnified Party, in its reasonable judgment, determines that the Indemnifying Party, after exercising its rights pursuant to this </w:t>
      </w:r>
      <w:r>
        <w:rPr>
          <w:rFonts w:ascii="Arial" w:cs="Arial" w:eastAsia="Arial" w:hAnsi="Arial"/>
          <w:sz w:val="16"/>
          <w:szCs w:val="16"/>
          <w:u w:val="single" w:color="auto"/>
          <w:color w:val="auto"/>
        </w:rPr>
        <w:t>Section 7.5(c)</w:t>
      </w:r>
      <w:r>
        <w:rPr>
          <w:rFonts w:ascii="Arial" w:cs="Arial" w:eastAsia="Arial" w:hAnsi="Arial"/>
          <w:sz w:val="16"/>
          <w:szCs w:val="16"/>
          <w:color w:val="auto"/>
        </w:rPr>
        <w:t xml:space="preserve">, has failed to conduct any proceedings or negotiations or manage the Claim with the same level of diligence as if such proceeding, negotiation or Claim were solely for the Indemnifying Party’s own account, the Indemnified Party may relieve the Indemnifying Party of its responsibility, or participate with the Indemnifying Party, with respect thereto, in each case at the reasonable expense of the Indemnifying Party. The Indemnified Party shall be entitled to participate at its own expense and by its own counsel in any proceedings relating to the Claim, and the Indemnified Party shall be entitled to participate with counsel of its own choice at the reasonable expense of the Indemnifying Party if, in the reasonable judgment of the Indemnified Party, representation of both Parties by the same counsel presents a conflict of interest or is otherwise inappropriate under applicable standards of professional conduct. Subject to the provisions of this </w:t>
      </w:r>
      <w:r>
        <w:rPr>
          <w:rFonts w:ascii="Arial" w:cs="Arial" w:eastAsia="Arial" w:hAnsi="Arial"/>
          <w:sz w:val="16"/>
          <w:szCs w:val="16"/>
          <w:u w:val="single" w:color="auto"/>
          <w:color w:val="auto"/>
        </w:rPr>
        <w:t>Section 7.5(c)</w:t>
      </w:r>
      <w:r>
        <w:rPr>
          <w:rFonts w:ascii="Arial" w:cs="Arial" w:eastAsia="Arial" w:hAnsi="Arial"/>
          <w:sz w:val="16"/>
          <w:szCs w:val="16"/>
          <w:color w:val="auto"/>
        </w:rPr>
        <w:t xml:space="preserve">, the Indemnifying Party shall, within thirty (30) days of receipt of the Indemnification Notice, notify the Indemnified Party of its intention to assume the defense of the Claim, which notification shall include the name of the counsel that the Indemnifying Party proposes to select as its counsel. Until the Indemnified Party has received notice of the Indemnifying Party’s election whether to defend the Claim, the Indemnified Party shall take reasonable steps to defend (but may not settle) such Claim. If the Indemnifying Party declines to assume the defense of the Claim in accordance with this </w:t>
      </w:r>
      <w:r>
        <w:rPr>
          <w:rFonts w:ascii="Arial" w:cs="Arial" w:eastAsia="Arial" w:hAnsi="Arial"/>
          <w:sz w:val="16"/>
          <w:szCs w:val="16"/>
          <w:u w:val="single" w:color="auto"/>
          <w:color w:val="auto"/>
        </w:rPr>
        <w:t>Section 7.5(c)</w:t>
      </w:r>
      <w:r>
        <w:rPr>
          <w:rFonts w:ascii="Arial" w:cs="Arial" w:eastAsia="Arial" w:hAnsi="Arial"/>
          <w:sz w:val="16"/>
          <w:szCs w:val="16"/>
          <w:color w:val="auto"/>
        </w:rPr>
        <w:t xml:space="preserve">, or shall fail to notify the Indemnified Party within thirty (30) days after receipt of the Indemnification Notice of the Indemnifying Party’s election to defend such Claim in accordance with this </w:t>
      </w:r>
      <w:r>
        <w:rPr>
          <w:rFonts w:ascii="Arial" w:cs="Arial" w:eastAsia="Arial" w:hAnsi="Arial"/>
          <w:sz w:val="16"/>
          <w:szCs w:val="16"/>
          <w:u w:val="single" w:color="auto"/>
          <w:color w:val="auto"/>
        </w:rPr>
        <w:t>Section 7.5(c)</w:t>
      </w:r>
      <w:r>
        <w:rPr>
          <w:rFonts w:ascii="Arial" w:cs="Arial" w:eastAsia="Arial" w:hAnsi="Arial"/>
          <w:sz w:val="16"/>
          <w:szCs w:val="16"/>
          <w:color w:val="auto"/>
        </w:rPr>
        <w:t xml:space="preserve">, the Indemnified Party may defend or settle such Claim. The expenses of all proceedings, contests or lawsuits in respect of the Claim (other than those incurred by the Indemnified Party that are referred to in the second sentence of this </w:t>
      </w:r>
      <w:r>
        <w:rPr>
          <w:rFonts w:ascii="Arial" w:cs="Arial" w:eastAsia="Arial" w:hAnsi="Arial"/>
          <w:sz w:val="16"/>
          <w:szCs w:val="16"/>
          <w:u w:val="single" w:color="auto"/>
          <w:color w:val="auto"/>
        </w:rPr>
        <w:t>Section 7.5(c)</w:t>
      </w:r>
      <w:r>
        <w:rPr>
          <w:rFonts w:ascii="Arial" w:cs="Arial" w:eastAsia="Arial" w:hAnsi="Arial"/>
          <w:sz w:val="16"/>
          <w:szCs w:val="16"/>
          <w:color w:val="auto"/>
        </w:rPr>
        <w:t xml:space="preserve">) shall be borne by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Indemnified Party shall be required to reimburse the Indemnifying Party for any such reasonable expenses if and to the extent that the Indemnifying Party is ultimately determined not to be liable to indemnify the Indemnified Party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with respect to any such proceeding, contest or lawsuit. Regardless of which Party shall assume the defense of the Claim, the Parties agree to cooperate fully with one another in connection therewith.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6" w:name="page267"/>
    <w:bookmarkEnd w:id="266"/>
    <w:p>
      <w:pPr>
        <w:jc w:val="both"/>
        <w:ind w:left="660" w:firstLine="644"/>
        <w:spacing w:after="0" w:line="286" w:lineRule="auto"/>
        <w:tabs>
          <w:tab w:leader="none" w:pos="157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Upon making any payment to a third Person for any indemnification claim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the Indemnifying Party shall be subrogated, to the extent of such payment, to any rights which the Indemnified Party may have against any third Persons with respect to the subject matter underlying such indemnification claim and the Indemnified Party shall assign any such rights to the Indemnifying Party.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CONFIDENTIALITY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Confidentiality Obligations</w:t>
      </w:r>
      <w:r>
        <w:rPr>
          <w:rFonts w:ascii="Arial" w:cs="Arial" w:eastAsia="Arial" w:hAnsi="Arial"/>
          <w:sz w:val="17"/>
          <w:szCs w:val="17"/>
          <w:color w:val="auto"/>
        </w:rPr>
        <w:t>. The Parties acknowledge and agree that proprietary or nonpublic information disclosed or licensed under this Second A&amp;R Agreement by one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to another Party (the “</w:t>
      </w:r>
      <w:r>
        <w:rPr>
          <w:rFonts w:ascii="Arial" w:cs="Arial" w:eastAsia="Arial" w:hAnsi="Arial"/>
          <w:sz w:val="17"/>
          <w:szCs w:val="17"/>
          <w:u w:val="single" w:color="auto"/>
          <w:color w:val="auto"/>
        </w:rPr>
        <w:t>Receiving Party</w:t>
      </w:r>
      <w:r>
        <w:rPr>
          <w:rFonts w:ascii="Arial" w:cs="Arial" w:eastAsia="Arial" w:hAnsi="Arial"/>
          <w:sz w:val="17"/>
          <w:szCs w:val="17"/>
          <w:color w:val="auto"/>
        </w:rPr>
        <w:t>”) directly or indirectly, which information is: (a) in the case of a Disclosing Party, if disclosed electronically or in writing, marked as “proprietary” or “confidential”; (b) in the case of a Disclosing Party, if disclosed orally, is designated as confidential or proprietary by the speaker at the time of disclosure; (c) in the case of a Disclosing Party, would by its nature be considered confidential information, constitutes the confidential and proprietary information; (d) in the case of Tradeweb, any Non-Trading User List, (e) any information provided by GRC or its Affiliates in connection with the Fee Calculation or by Tradeweb in connection with the NTU Fee Calculation, as applicable, or (f) information disclosed orally or in writing to Tradeweb by GRC or its Affiliates related to the TP ICAP Group’s use and distribution of US Treasuries Actives Data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The Receiving Party shall retain in confidence and not disclose to any third Person Confidential Information of the Disclosing Party without the Disclosing Party’s prior express written consent or as otherwise permitted under this Second A&amp;R Agreement, and the Receiving Party shall not use such Confidential Information for any reason other than to exercise its rights and perform its obligations under this Second A&amp;R Agreement (or rights or obligations still existing from the Amended Agreement and Original Agreement, as applicable). Without limiting the foregoing, with respect to the Confidential Information described in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TRM shall not disclose such Confidential Information to any employee or consultant of TRM or its Affiliates without the prior express written consent of Tradeweb, unless such employee or consultant is a member of a group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(such employee or consultant, “</w:t>
      </w:r>
      <w:r>
        <w:rPr>
          <w:rFonts w:ascii="Arial" w:cs="Arial" w:eastAsia="Arial" w:hAnsi="Arial"/>
          <w:sz w:val="17"/>
          <w:szCs w:val="17"/>
          <w:u w:val="single" w:color="auto"/>
          <w:color w:val="auto"/>
        </w:rPr>
        <w:t>Refinitiv Authorized Personnel</w:t>
      </w:r>
      <w:r>
        <w:rPr>
          <w:rFonts w:ascii="Arial" w:cs="Arial" w:eastAsia="Arial" w:hAnsi="Arial"/>
          <w:sz w:val="17"/>
          <w:szCs w:val="17"/>
          <w:color w:val="auto"/>
        </w:rPr>
        <w:t>”, such Schedule, the “</w:t>
      </w:r>
      <w:r>
        <w:rPr>
          <w:rFonts w:ascii="Arial" w:cs="Arial" w:eastAsia="Arial" w:hAnsi="Arial"/>
          <w:sz w:val="17"/>
          <w:szCs w:val="17"/>
          <w:u w:val="single" w:color="auto"/>
          <w:color w:val="auto"/>
        </w:rPr>
        <w:t>Refinitiv Limited Group</w:t>
      </w:r>
      <w:r>
        <w:rPr>
          <w:rFonts w:ascii="Arial" w:cs="Arial" w:eastAsia="Arial" w:hAnsi="Arial"/>
          <w:sz w:val="17"/>
          <w:szCs w:val="17"/>
          <w:color w:val="auto"/>
        </w:rPr>
        <w:t xml:space="preserve">”), each of whom shall have a reasonable “need to know” such Confidential Information in connection with their employment or engagement); </w:t>
      </w:r>
      <w:r>
        <w:rPr>
          <w:rFonts w:ascii="Arial" w:cs="Arial" w:eastAsia="Arial" w:hAnsi="Arial"/>
          <w:sz w:val="17"/>
          <w:szCs w:val="17"/>
          <w:u w:val="single" w:color="auto"/>
          <w:color w:val="auto"/>
        </w:rPr>
        <w:t>provided</w:t>
      </w:r>
      <w:r>
        <w:rPr>
          <w:rFonts w:ascii="Arial" w:cs="Arial" w:eastAsia="Arial" w:hAnsi="Arial"/>
          <w:sz w:val="17"/>
          <w:szCs w:val="17"/>
          <w:color w:val="auto"/>
        </w:rPr>
        <w:t>, that access to such Confidential Information by any Authorized Refinitiv Personnel shall be immediately terminated upon termination of his or her employment or engagement with the applicable Refinitiv Limited Group. Without limiting the foregoing, each Party shall use at least the same procedures and degree of care to protect the Confidential Information as it uses to protect its own Confidential Information of like importance, and in no event less than reasonable care. With respect to the type of Confidential Information set forth in subsection (f) herein, if Tradeweb becomes aware of an actual breach of confidentiality, unauthorized use or loss of such Confidential Information, it shall notify GRC, and GRC shall be permitted to notify TP ICAP in accordance with the UST Distribution Agreement. In the event that the Receiving Party is requested or required (by oral questions, interrogatories, requests for information or documents, subpoena, civil investigative demand or similar process) to disclose any Confidential Information (each, a “</w:t>
      </w:r>
      <w:r>
        <w:rPr>
          <w:rFonts w:ascii="Arial" w:cs="Arial" w:eastAsia="Arial" w:hAnsi="Arial"/>
          <w:sz w:val="17"/>
          <w:szCs w:val="17"/>
          <w:u w:val="single" w:color="auto"/>
          <w:color w:val="auto"/>
        </w:rPr>
        <w:t>Government Request</w:t>
      </w:r>
      <w:r>
        <w:rPr>
          <w:rFonts w:ascii="Arial" w:cs="Arial" w:eastAsia="Arial" w:hAnsi="Arial"/>
          <w:sz w:val="17"/>
          <w:szCs w:val="17"/>
          <w:color w:val="auto"/>
        </w:rPr>
        <w:t xml:space="preserve">”), it is agreed that the Receiving Party shall, to the extent permitted by applicable law, provide the Disclosing Party with prompt notice of the Government Request so that the Disclosing Party may seek an appropriate protective order or other appropriate remedy or waive the Receiving Party’s compliance with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and the Receiving Party shall cooperate with the Disclosing Party to obtain such protective order or other remedy sought by the Disclosing Party with respect to such Government Request. In the event that such protective order or other remedy is not obtained (either in whole or in part) or that the Disclosing Party grants a waiver hereunder, the Receiving Party shall use its commercially reasonable efforts to obtain reliable assurance that confidential treatment shall be accorded to any Confidential Information to be disclosed, and, to the extent permitted by applicable Law, shall only disclose the minimum amount of Confidential Information required to be responsive to such Government Request.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jc w:val="both"/>
        <w:ind w:firstLine="648"/>
        <w:spacing w:after="0" w:line="286"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Exceptions</w:t>
      </w:r>
      <w:r>
        <w:rPr>
          <w:rFonts w:ascii="Arial" w:cs="Arial" w:eastAsia="Arial" w:hAnsi="Arial"/>
          <w:sz w:val="17"/>
          <w:szCs w:val="17"/>
          <w:color w:val="auto"/>
        </w:rPr>
        <w:t>. Notwithstanding the foregoing, except with respect to any personally-identifiable or financial information regarding former, current or prospective clients or customers of Tradeweb, the Refinitiv Parties, or TP ICAP or their respective Affiliates that is subject to privacy Law, Confidential Information shall not include information to the extent demonstrated by the Receiving Party that such information:</w:t>
      </w:r>
    </w:p>
    <w:p>
      <w:pPr>
        <w:spacing w:after="0" w:line="165" w:lineRule="exact"/>
        <w:rPr>
          <w:sz w:val="20"/>
          <w:szCs w:val="20"/>
          <w:color w:val="auto"/>
        </w:rPr>
      </w:pPr>
    </w:p>
    <w:p>
      <w:pPr>
        <w:ind w:left="1540" w:hanging="236"/>
        <w:spacing w:after="0"/>
        <w:tabs>
          <w:tab w:leader="none" w:pos="1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was generally available to the public at the time of its disclosure to the Receiving Party;</w:t>
      </w:r>
    </w:p>
    <w:p>
      <w:pPr>
        <w:spacing w:after="0" w:line="225" w:lineRule="exact"/>
        <w:rPr>
          <w:rFonts w:ascii="Arial" w:cs="Arial" w:eastAsia="Arial" w:hAnsi="Arial"/>
          <w:sz w:val="18"/>
          <w:szCs w:val="18"/>
          <w:color w:val="auto"/>
        </w:rPr>
      </w:pPr>
    </w:p>
    <w:p>
      <w:pPr>
        <w:ind w:left="660" w:firstLine="644"/>
        <w:spacing w:after="0" w:line="277" w:lineRule="auto"/>
        <w:tabs>
          <w:tab w:leader="none" w:pos="158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became generally available to the public after its disclosure to the Receiving Party, other than through any act or omission of the Receiving Party in breach of this Second A&amp;R Agreement;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was subsequently disclosed to the Receiving Party by a Person other than a Party (that is not information originating from a Party) who is lawfully in possession of the Confidential Information and who is not bound by confidentiality obligations to the Disclosing Party, or developed by the Receiving Party without access or reference to, or use of, any Confidential Information.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color w:val="auto"/>
        </w:rPr>
        <w:t>ARTICLE IX. MISCELLANEOUS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given or made pursuant hereto shall be in writing and shall be deemed to have been duly given or made: (a) as of the date delivered, if delivered personally; (b) on the date the delivering Party receives confirmation, if delivered by facsimile; (c) three (3)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88" w:lineRule="exact"/>
        <w:rPr>
          <w:sz w:val="20"/>
          <w:szCs w:val="20"/>
          <w:color w:val="auto"/>
        </w:rPr>
      </w:pPr>
    </w:p>
    <w:p>
      <w:pPr>
        <w:ind w:left="1920" w:hanging="616"/>
        <w:spacing w:after="0"/>
        <w:tabs>
          <w:tab w:leader="none" w:pos="19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to GRC: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Thomson Reuters (GRC)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920" w:hanging="616"/>
        <w:spacing w:after="0"/>
        <w:tabs>
          <w:tab w:leader="none" w:pos="1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to TRM: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Thomson Reuters (Markets)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both"/>
        <w:ind w:left="1300" w:right="8200" w:firstLine="4"/>
        <w:spacing w:after="0" w:line="563" w:lineRule="auto"/>
        <w:tabs>
          <w:tab w:leader="none" w:pos="193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to Tradeweb: Tradeweb Markets LLC</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1177 Avenue of the Americas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Scott Zucker, Chief Administrative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646-430-6255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10022-4834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Louis Trotta,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212-906-1662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212-751-4864</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both"/>
        <w:ind w:firstLine="648"/>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reference purposes only and shall not affect in any way the meaning or interpretation of this Second A&amp;R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Second A&amp;R Agreement is invalid, illegal or incapable of being enforced by any rule of Law or public policy, all other conditions and provisions of this Second A&amp;R Agreement shall nevertheless remain in full force and effect so long as the economic or legal substance of the transactions contemplated hereby is not affected in any manner materially adverse to any Party. Upon a determination that any term or other provision is invalid, illegal or incapable of being enforced, the Parties shall negotiate in good faith to modify this Second A&amp;R Agreement so as to effect the original intent of the Parties as closely as possible in an acceptable manner to the end that the transactions contemplated hereby are fulfilled to the greatest extent possible.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Force Majeure</w:t>
      </w:r>
      <w:r>
        <w:rPr>
          <w:rFonts w:ascii="Arial" w:cs="Arial" w:eastAsia="Arial" w:hAnsi="Arial"/>
          <w:sz w:val="17"/>
          <w:szCs w:val="17"/>
          <w:color w:val="auto"/>
        </w:rPr>
        <w:t>. No Party shall be liable to the other for any failure to perform any of its obligation under this Second A&amp;R Agreement, including any failure or delay by Tradeweb to provide Licensed Data to GRC, resulting from any event or condition beyond the reasonable control of such Party, including acts of God, fire, labor or trade disturbance, war, civil commotion, compliance in good faith with any Law, any failure or delay of the internet, satellite, cable, supply of third party data, broadcast or telecommunications equipment or service, and unavailability of materials, or other event or condition outside the control of such Party whether similar or dissimilar to the foregoing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Any Party that is unable to perform an obligation under this Second A&amp;R Agreement due to a Force Majeure Event shall give prompt notice to the other Parties of the occurrence, nature and anticipated duration of such Force Majeure Event, including a Force Majeure Event that gives rise to any suspension of the provision of Licensed Data, and the Parties shall cooperate with each other to find alternative means and methods to perform such obligation, including to enable delivery to GRC of any suspended Licensed Data.</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Second A&amp;R Agreement (together with any Schedules, and any provisions in effect from the Amended Agreement and Original Agreement) constitutes the entire agreement of the Parties and supersedes all prior agreements and undertakings, both written and oral, among the Parties with respect to the subject matter hereof.</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Second A&amp;R Agreement shall not be assigned by (a) Tradeweb (except by operation of Law) without the prior written consent of the Refinitiv Parties, which may be withheld in either Refinitiv Party’s sole discretion, or (b) either Refinitiv Party (except by operation of Law) without the prior written consent of Tradeweb, which may be withheld in Tradeweb’s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Refinitiv Parties shall be entitled to assign this Second A&amp;R Agreement: (i) to any Affiliate of GRC or TRM; or (ii) to an entity that acquires all or substantially all of the business or assets of GRC or TRM. Any attempted assignment in violation of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be null and void.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Second A&amp;R Agreement shall be binding upon, inure solely to the benefit of, and be enforceable by each Party and their respective successors and permitted assigns hereto, and nothing in this Second A&amp;R Agreement, express or implied, is intended to or shall confer upon any other Person other than the Parties any right, benefit, or remedy of any nature whatsoever under or by reason of this Second A&amp;R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70" w:name="page271"/>
    <w:bookmarkEnd w:id="270"/>
    <w:p>
      <w:pPr>
        <w:jc w:val="both"/>
        <w:ind w:firstLine="648"/>
        <w:spacing w:after="0" w:line="263"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Second A&amp;R Agreement and the rights and obligations of the Parties hereto shall be interpreted and enforced in accordance with and governed by the laws of the State of New York applicable to agreements made and to be performed wholly within that jurisdiction.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This provision does not apply to any Dispute Resolution Matter. Each Party hereby irrevocably consents and agrees, for the benefit of each Party, to submit to the jurisdiction of any New York state court sitting in the borough of Manhattan in the City of New York or any federal court sitting in the borough of Manhattan in the City of New York in respect of any suit, action or proceeding arising out of or relating to this Second A&amp;R Agreement, and irrevocably accepts for its and in respect of its property, generally and unconditionally, jurisdiction of the aforesaid courts. Each Party irrevocably waives, to the fullest extent it may effectively do so under applicable Law, trial by jury and any objection that it may now or hereafter have to the laying of venue of any such suit, action or proceeding brought in any such court and any claim that any such suit, action or proceeding brought in any such court has been brought in an inconvenient forum. Each Party irrevocably consents, to the fullest extent it may effectively do so under applicable Law, to the service of process of any of the aforementioned courts in any such action or proceeding by the mailing of copies thereof by registered or certified mail, postage prepaid, to such Party at its address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such other address as it may specify from time to time by notice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such service to become effective thirty (30) days after such mailing. Nothing herein shall affect the right of any Party to serve process in any other manner permitted by Law or to commence legal proceedings or otherwise proceed against any other Party in any other jurisdiction.</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Second A&amp;R Agreement may be executed and delivered in one or more counterparts, and by the Parties in separate counterparts, each of which when executed and delivered shall be deemed to be an original but all of which taken together shall constitute one and the same agreement.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cooperate reasonably with each other and with their respective representatives in connection with any steps required to be taken as part of their respective obligations under this Second A&amp;R Agreement, and shall: (a) furnish upon request to each other such further information; (b) execute and deliver to each other such other documents; and (c) do such other acts and things, all as any other Party may reasonably request for the purpose of carrying out the transactions contemplated 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Amendments</w:t>
      </w:r>
      <w:r>
        <w:rPr>
          <w:rFonts w:ascii="Arial" w:cs="Arial" w:eastAsia="Arial" w:hAnsi="Arial"/>
          <w:sz w:val="18"/>
          <w:szCs w:val="18"/>
          <w:color w:val="auto"/>
        </w:rPr>
        <w:t>. The terms and provisions of this Second A&amp;R Agreement may not be modified or amended at any time without the written agreement of the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to assert any of its rights under this Second A&amp;R Agreement or otherwise shall not constitute a waiver of such rights.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in the event that any material provision of this Second A&amp;R Agreement was not materially performed in accordance with the terms hereof and that the Parties shall be entitled to seek specific performance of such terms hereof, in addition to any other remedy at Law or equity.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ind w:left="660"/>
        <w:spacing w:after="0"/>
        <w:rPr>
          <w:sz w:val="20"/>
          <w:szCs w:val="20"/>
          <w:color w:val="auto"/>
        </w:rPr>
      </w:pPr>
      <w:r>
        <w:rPr>
          <w:rFonts w:ascii="Arial" w:cs="Arial" w:eastAsia="Arial" w:hAnsi="Arial"/>
          <w:sz w:val="18"/>
          <w:szCs w:val="18"/>
          <w:color w:val="auto"/>
        </w:rPr>
        <w:t>IN WITNESS WHEREOF, the Parties have executed this Second A&amp;R Agreement as of the date first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THOMSON REUTERS (GRC)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Andrews</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Sarah Andrews</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Global Head of Partner Marketplace Proposition</w:t>
            </w:r>
          </w:p>
        </w:tc>
      </w:tr>
      <w:tr>
        <w:trPr>
          <w:trHeight w:val="432"/>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THOMSON REUTERS (MARKETS) LLC</w:t>
            </w:r>
          </w:p>
        </w:tc>
      </w:tr>
      <w:tr>
        <w:trPr>
          <w:trHeight w:val="432"/>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Andrews</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Sarah Andrews</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Global Head of Partner Marketplace Proposition</w:t>
            </w:r>
          </w:p>
        </w:tc>
      </w:tr>
      <w:tr>
        <w:trPr>
          <w:trHeight w:val="432"/>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TRADEWEB MARKETS LLC</w:t>
            </w:r>
          </w:p>
        </w:tc>
      </w:tr>
      <w:tr>
        <w:trPr>
          <w:trHeight w:val="432"/>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Lee Olesky</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CEO</w:t>
            </w:r>
          </w:p>
        </w:tc>
      </w:tr>
      <w:tr>
        <w:trPr>
          <w:trHeight w:val="67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7"/>
          <w:szCs w:val="17"/>
          <w:b w:val="1"/>
          <w:bCs w:val="1"/>
          <w:u w:val="single" w:color="auto"/>
          <w:color w:val="auto"/>
        </w:rPr>
        <w:t>SCHEDULE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List</w:t>
      </w:r>
    </w:p>
    <w:p>
      <w:pPr>
        <w:sectPr>
          <w:pgSz w:w="11900" w:h="16838" w:orient="portrait"/>
          <w:cols w:equalWidth="0" w:num="1">
            <w:col w:w="11240"/>
          </w:cols>
          <w:pgMar w:left="320" w:top="1147" w:right="339" w:bottom="1440" w:gutter="0" w:footer="0" w:header="0"/>
        </w:sect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820" w:type="dxa"/>
            <w:vAlign w:val="bottom"/>
            <w:tcBorders>
              <w:top w:val="single" w:sz="8" w:color="auto"/>
              <w:left w:val="single" w:sz="8" w:color="auto"/>
            </w:tcBorders>
            <w:shd w:val="clear" w:color="auto" w:fill="D9D9D9"/>
          </w:tcPr>
          <w:p>
            <w:pPr>
              <w:spacing w:after="0"/>
              <w:rPr>
                <w:sz w:val="24"/>
                <w:szCs w:val="24"/>
                <w:color w:val="auto"/>
              </w:rPr>
            </w:pPr>
          </w:p>
        </w:tc>
        <w:tc>
          <w:tcPr>
            <w:tcW w:w="2460" w:type="dxa"/>
            <w:vAlign w:val="bottom"/>
            <w:tcBorders>
              <w:top w:val="single" w:sz="8" w:color="auto"/>
              <w:right w:val="single" w:sz="8" w:color="auto"/>
            </w:tcBorders>
            <w:vMerge w:val="restart"/>
            <w:shd w:val="clear" w:color="auto" w:fill="D9D9D9"/>
          </w:tcPr>
          <w:p>
            <w:pPr>
              <w:ind w:left="320"/>
              <w:spacing w:after="0"/>
              <w:rPr>
                <w:sz w:val="20"/>
                <w:szCs w:val="20"/>
                <w:color w:val="auto"/>
              </w:rPr>
            </w:pPr>
            <w:r>
              <w:rPr>
                <w:rFonts w:ascii="Arial" w:cs="Arial" w:eastAsia="Arial" w:hAnsi="Arial"/>
                <w:sz w:val="18"/>
                <w:szCs w:val="18"/>
                <w:color w:val="auto"/>
              </w:rPr>
              <w:t>FIRM NAME</w:t>
            </w:r>
          </w:p>
        </w:tc>
        <w:tc>
          <w:tcPr>
            <w:tcW w:w="1800" w:type="dxa"/>
            <w:vAlign w:val="bottom"/>
            <w:tcBorders>
              <w:top w:val="single" w:sz="8" w:color="auto"/>
              <w:right w:val="single" w:sz="8" w:color="auto"/>
            </w:tcBorders>
            <w:gridSpan w:val="5"/>
            <w:shd w:val="clear" w:color="auto" w:fill="D9D9D9"/>
          </w:tcPr>
          <w:p>
            <w:pPr>
              <w:jc w:val="center"/>
              <w:spacing w:after="0"/>
              <w:rPr>
                <w:sz w:val="20"/>
                <w:szCs w:val="20"/>
                <w:color w:val="auto"/>
              </w:rPr>
            </w:pPr>
            <w:r>
              <w:rPr>
                <w:rFonts w:ascii="Arial" w:cs="Arial" w:eastAsia="Arial" w:hAnsi="Arial"/>
                <w:sz w:val="18"/>
                <w:szCs w:val="18"/>
                <w:color w:val="auto"/>
                <w:w w:val="95"/>
              </w:rPr>
              <w:t>RESTRICTED</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shd w:val="clear" w:color="auto" w:fill="D9D9D9"/>
          </w:tcPr>
          <w:p>
            <w:pPr>
              <w:spacing w:after="0"/>
              <w:rPr>
                <w:sz w:val="9"/>
                <w:szCs w:val="9"/>
                <w:color w:val="auto"/>
              </w:rPr>
            </w:pPr>
          </w:p>
        </w:tc>
        <w:tc>
          <w:tcPr>
            <w:tcW w:w="2460" w:type="dxa"/>
            <w:vAlign w:val="bottom"/>
            <w:tcBorders>
              <w:right w:val="single" w:sz="8" w:color="auto"/>
            </w:tcBorders>
            <w:vMerge w:val="continue"/>
            <w:shd w:val="clear" w:color="auto" w:fill="D9D9D9"/>
          </w:tcPr>
          <w:p>
            <w:pPr>
              <w:spacing w:after="0"/>
              <w:rPr>
                <w:sz w:val="9"/>
                <w:szCs w:val="9"/>
                <w:color w:val="auto"/>
              </w:rPr>
            </w:pPr>
          </w:p>
        </w:tc>
        <w:tc>
          <w:tcPr>
            <w:tcW w:w="5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TWI</w:t>
            </w:r>
          </w:p>
        </w:tc>
        <w:tc>
          <w:tcPr>
            <w:tcW w:w="20" w:type="dxa"/>
            <w:vAlign w:val="bottom"/>
            <w:shd w:val="clear" w:color="auto" w:fill="D9D9D9"/>
          </w:tcPr>
          <w:p>
            <w:pPr>
              <w:spacing w:after="0"/>
              <w:rPr>
                <w:sz w:val="9"/>
                <w:szCs w:val="9"/>
                <w:color w:val="auto"/>
              </w:rPr>
            </w:pPr>
          </w:p>
        </w:tc>
        <w:tc>
          <w:tcPr>
            <w:tcW w:w="6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TWD</w:t>
            </w:r>
          </w:p>
        </w:tc>
        <w:tc>
          <w:tcPr>
            <w:tcW w:w="20" w:type="dxa"/>
            <w:vAlign w:val="bottom"/>
            <w:shd w:val="clear" w:color="auto" w:fill="D9D9D9"/>
          </w:tcPr>
          <w:p>
            <w:pPr>
              <w:spacing w:after="0"/>
              <w:rPr>
                <w:sz w:val="9"/>
                <w:szCs w:val="9"/>
                <w:color w:val="auto"/>
              </w:rPr>
            </w:pPr>
          </w:p>
        </w:tc>
        <w:tc>
          <w:tcPr>
            <w:tcW w:w="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DW</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shd w:val="clear" w:color="auto" w:fill="D9D9D9"/>
          </w:tcPr>
          <w:p>
            <w:pPr>
              <w:spacing w:after="0"/>
              <w:rPr>
                <w:sz w:val="18"/>
                <w:szCs w:val="18"/>
                <w:color w:val="auto"/>
              </w:rPr>
            </w:pPr>
          </w:p>
        </w:tc>
        <w:tc>
          <w:tcPr>
            <w:tcW w:w="2460" w:type="dxa"/>
            <w:vAlign w:val="bottom"/>
            <w:tcBorders>
              <w:bottom w:val="single" w:sz="8" w:color="auto"/>
              <w:right w:val="single" w:sz="8" w:color="auto"/>
            </w:tcBorders>
            <w:shd w:val="clear" w:color="auto" w:fill="D9D9D9"/>
          </w:tcPr>
          <w:p>
            <w:pPr>
              <w:spacing w:after="0"/>
              <w:rPr>
                <w:sz w:val="18"/>
                <w:szCs w:val="18"/>
                <w:color w:val="auto"/>
              </w:rPr>
            </w:pPr>
          </w:p>
        </w:tc>
        <w:tc>
          <w:tcPr>
            <w:tcW w:w="54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38"/>
        </w:trPr>
        <w:tc>
          <w:tcPr>
            <w:tcW w:w="1020" w:type="dxa"/>
            <w:vAlign w:val="bottom"/>
            <w:tcBorders>
              <w:top w:val="single" w:sz="8" w:color="auto"/>
              <w:left w:val="single" w:sz="8" w:color="auto"/>
            </w:tcBorders>
            <w:shd w:val="clear" w:color="auto" w:fill="D9D9D9"/>
          </w:tcPr>
          <w:p>
            <w:pPr>
              <w:spacing w:after="0"/>
              <w:rPr>
                <w:sz w:val="24"/>
                <w:szCs w:val="24"/>
                <w:color w:val="auto"/>
              </w:rPr>
            </w:pPr>
          </w:p>
        </w:tc>
        <w:tc>
          <w:tcPr>
            <w:tcW w:w="3140" w:type="dxa"/>
            <w:vAlign w:val="bottom"/>
            <w:tcBorders>
              <w:top w:val="single" w:sz="8" w:color="auto"/>
              <w:right w:val="single" w:sz="8" w:color="auto"/>
            </w:tcBorders>
            <w:vMerge w:val="restart"/>
            <w:shd w:val="clear" w:color="auto" w:fill="D9D9D9"/>
          </w:tcPr>
          <w:p>
            <w:pPr>
              <w:ind w:left="540"/>
              <w:spacing w:after="0"/>
              <w:rPr>
                <w:sz w:val="20"/>
                <w:szCs w:val="20"/>
                <w:color w:val="auto"/>
              </w:rPr>
            </w:pPr>
            <w:r>
              <w:rPr>
                <w:rFonts w:ascii="Arial" w:cs="Arial" w:eastAsia="Arial" w:hAnsi="Arial"/>
                <w:sz w:val="18"/>
                <w:szCs w:val="18"/>
                <w:color w:val="auto"/>
              </w:rPr>
              <w:t>FIRM NAME</w:t>
            </w:r>
          </w:p>
        </w:tc>
        <w:tc>
          <w:tcPr>
            <w:tcW w:w="1760" w:type="dxa"/>
            <w:vAlign w:val="bottom"/>
            <w:tcBorders>
              <w:top w:val="single" w:sz="8" w:color="auto"/>
              <w:right w:val="single" w:sz="8" w:color="auto"/>
            </w:tcBorders>
            <w:gridSpan w:val="5"/>
            <w:shd w:val="clear" w:color="auto" w:fill="D9D9D9"/>
          </w:tcPr>
          <w:p>
            <w:pPr>
              <w:jc w:val="center"/>
              <w:spacing w:after="0"/>
              <w:rPr>
                <w:sz w:val="20"/>
                <w:szCs w:val="20"/>
                <w:color w:val="auto"/>
              </w:rPr>
            </w:pPr>
            <w:r>
              <w:rPr>
                <w:rFonts w:ascii="Arial" w:cs="Arial" w:eastAsia="Arial" w:hAnsi="Arial"/>
                <w:sz w:val="18"/>
                <w:szCs w:val="18"/>
                <w:color w:val="auto"/>
                <w:w w:val="95"/>
              </w:rPr>
              <w:t>RESTRICTED</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tcBorders>
            <w:shd w:val="clear" w:color="auto" w:fill="D9D9D9"/>
          </w:tcPr>
          <w:p>
            <w:pPr>
              <w:spacing w:after="0"/>
              <w:rPr>
                <w:sz w:val="9"/>
                <w:szCs w:val="9"/>
                <w:color w:val="auto"/>
              </w:rPr>
            </w:pPr>
          </w:p>
        </w:tc>
        <w:tc>
          <w:tcPr>
            <w:tcW w:w="3140" w:type="dxa"/>
            <w:vAlign w:val="bottom"/>
            <w:tcBorders>
              <w:right w:val="single" w:sz="8" w:color="auto"/>
            </w:tcBorders>
            <w:vMerge w:val="continue"/>
            <w:shd w:val="clear" w:color="auto" w:fill="D9D9D9"/>
          </w:tcPr>
          <w:p>
            <w:pPr>
              <w:spacing w:after="0"/>
              <w:rPr>
                <w:sz w:val="9"/>
                <w:szCs w:val="9"/>
                <w:color w:val="auto"/>
              </w:rPr>
            </w:pPr>
          </w:p>
        </w:tc>
        <w:tc>
          <w:tcPr>
            <w:tcW w:w="5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TWI</w:t>
            </w:r>
          </w:p>
        </w:tc>
        <w:tc>
          <w:tcPr>
            <w:tcW w:w="20" w:type="dxa"/>
            <w:vAlign w:val="bottom"/>
            <w:shd w:val="clear" w:color="auto" w:fill="D9D9D9"/>
          </w:tcPr>
          <w:p>
            <w:pPr>
              <w:spacing w:after="0"/>
              <w:rPr>
                <w:sz w:val="9"/>
                <w:szCs w:val="9"/>
                <w:color w:val="auto"/>
              </w:rPr>
            </w:pP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TWD</w:t>
            </w:r>
          </w:p>
        </w:tc>
        <w:tc>
          <w:tcPr>
            <w:tcW w:w="20" w:type="dxa"/>
            <w:vAlign w:val="bottom"/>
            <w:shd w:val="clear" w:color="auto" w:fill="D9D9D9"/>
          </w:tcPr>
          <w:p>
            <w:pPr>
              <w:spacing w:after="0"/>
              <w:rPr>
                <w:sz w:val="9"/>
                <w:szCs w:val="9"/>
                <w:color w:val="auto"/>
              </w:rPr>
            </w:pPr>
          </w:p>
        </w:tc>
        <w:tc>
          <w:tcPr>
            <w:tcW w:w="5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DW</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bottom w:val="single" w:sz="8" w:color="auto"/>
            </w:tcBorders>
            <w:shd w:val="clear" w:color="auto" w:fill="D9D9D9"/>
          </w:tcPr>
          <w:p>
            <w:pPr>
              <w:spacing w:after="0"/>
              <w:rPr>
                <w:sz w:val="18"/>
                <w:szCs w:val="18"/>
                <w:color w:val="auto"/>
              </w:rPr>
            </w:pPr>
          </w:p>
        </w:tc>
        <w:tc>
          <w:tcPr>
            <w:tcW w:w="3140" w:type="dxa"/>
            <w:vAlign w:val="bottom"/>
            <w:tcBorders>
              <w:bottom w:val="single" w:sz="8" w:color="auto"/>
              <w:right w:val="single" w:sz="8" w:color="auto"/>
            </w:tcBorders>
            <w:shd w:val="clear" w:color="auto" w:fill="D9D9D9"/>
          </w:tcPr>
          <w:p>
            <w:pPr>
              <w:spacing w:after="0"/>
              <w:rPr>
                <w:sz w:val="18"/>
                <w:szCs w:val="18"/>
                <w:color w:val="auto"/>
              </w:rPr>
            </w:pPr>
          </w:p>
        </w:tc>
        <w:tc>
          <w:tcPr>
            <w:tcW w:w="54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0" w:type="dxa"/>
            <w:vAlign w:val="bottom"/>
            <w:tcBorders>
              <w:bottom w:val="single" w:sz="8" w:color="auto"/>
            </w:tcBorders>
            <w:shd w:val="clear" w:color="auto" w:fill="000000"/>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565785</wp:posOffset>
            </wp:positionV>
            <wp:extent cx="713232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080" w:space="240"/>
            <w:col w:w="5920"/>
          </w:cols>
          <w:pgMar w:left="320" w:top="1147" w:right="339" w:bottom="1440" w:gutter="0" w:footer="0" w:header="0"/>
          <w:type w:val="continuous"/>
        </w:sectPr>
      </w:pPr>
    </w:p>
    <w:bookmarkStart w:id="273" w:name="page274"/>
    <w:bookmarkEnd w:id="273"/>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b w:val="1"/>
                <w:bCs w:val="1"/>
                <w:color w:val="auto"/>
              </w:rPr>
              <w:t>SCHEDULE B</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b w:val="1"/>
                <w:bCs w:val="1"/>
                <w:color w:val="auto"/>
              </w:rPr>
              <w:t>Exclusive Licensed Market Data</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00" w:type="dxa"/>
            <w:vAlign w:val="bottom"/>
            <w:shd w:val="clear" w:color="auto" w:fill="EEECE1"/>
          </w:tcPr>
          <w:p>
            <w:pPr>
              <w:ind w:left="60"/>
              <w:spacing w:after="0" w:line="126" w:lineRule="exact"/>
              <w:rPr>
                <w:sz w:val="20"/>
                <w:szCs w:val="20"/>
                <w:color w:val="auto"/>
              </w:rPr>
            </w:pPr>
            <w:r>
              <w:rPr>
                <w:rFonts w:ascii="Arial" w:cs="Arial" w:eastAsia="Arial" w:hAnsi="Arial"/>
                <w:sz w:val="14"/>
                <w:szCs w:val="14"/>
                <w:b w:val="1"/>
                <w:bCs w:val="1"/>
                <w:color w:val="auto"/>
              </w:rPr>
              <w:t>1</w:t>
            </w:r>
          </w:p>
        </w:tc>
        <w:tc>
          <w:tcPr>
            <w:tcW w:w="580" w:type="dxa"/>
            <w:vAlign w:val="bottom"/>
            <w:shd w:val="clear" w:color="auto" w:fill="EEECE1"/>
          </w:tcPr>
          <w:p>
            <w:pPr>
              <w:ind w:left="40"/>
              <w:spacing w:after="0" w:line="126" w:lineRule="exact"/>
              <w:rPr>
                <w:sz w:val="20"/>
                <w:szCs w:val="20"/>
                <w:color w:val="auto"/>
              </w:rPr>
            </w:pPr>
            <w:r>
              <w:rPr>
                <w:rFonts w:ascii="Arial" w:cs="Arial" w:eastAsia="Arial" w:hAnsi="Arial"/>
                <w:sz w:val="14"/>
                <w:szCs w:val="14"/>
                <w:b w:val="1"/>
                <w:bCs w:val="1"/>
                <w:color w:val="auto"/>
              </w:rPr>
              <w:t>2</w:t>
            </w:r>
          </w:p>
        </w:tc>
        <w:tc>
          <w:tcPr>
            <w:tcW w:w="820" w:type="dxa"/>
            <w:vAlign w:val="bottom"/>
            <w:shd w:val="clear" w:color="auto" w:fill="EEECE1"/>
          </w:tcPr>
          <w:p>
            <w:pPr>
              <w:ind w:left="40"/>
              <w:spacing w:after="0" w:line="126" w:lineRule="exact"/>
              <w:rPr>
                <w:sz w:val="20"/>
                <w:szCs w:val="20"/>
                <w:color w:val="auto"/>
              </w:rPr>
            </w:pPr>
            <w:r>
              <w:rPr>
                <w:rFonts w:ascii="Arial" w:cs="Arial" w:eastAsia="Arial" w:hAnsi="Arial"/>
                <w:sz w:val="14"/>
                <w:szCs w:val="14"/>
                <w:b w:val="1"/>
                <w:bCs w:val="1"/>
                <w:color w:val="auto"/>
              </w:rPr>
              <w:t>3</w:t>
            </w:r>
          </w:p>
        </w:tc>
        <w:tc>
          <w:tcPr>
            <w:tcW w:w="1240" w:type="dxa"/>
            <w:vAlign w:val="bottom"/>
            <w:shd w:val="clear" w:color="auto" w:fill="EEECE1"/>
          </w:tcPr>
          <w:p>
            <w:pPr>
              <w:ind w:left="60"/>
              <w:spacing w:after="0" w:line="126" w:lineRule="exact"/>
              <w:rPr>
                <w:sz w:val="20"/>
                <w:szCs w:val="20"/>
                <w:color w:val="auto"/>
              </w:rPr>
            </w:pPr>
            <w:r>
              <w:rPr>
                <w:rFonts w:ascii="Arial" w:cs="Arial" w:eastAsia="Arial" w:hAnsi="Arial"/>
                <w:sz w:val="14"/>
                <w:szCs w:val="14"/>
                <w:b w:val="1"/>
                <w:bCs w:val="1"/>
                <w:color w:val="auto"/>
              </w:rPr>
              <w:t>4</w:t>
            </w:r>
          </w:p>
        </w:tc>
        <w:tc>
          <w:tcPr>
            <w:tcW w:w="1160" w:type="dxa"/>
            <w:vAlign w:val="bottom"/>
            <w:shd w:val="clear" w:color="auto" w:fill="EEECE1"/>
          </w:tcPr>
          <w:p>
            <w:pPr>
              <w:ind w:left="40"/>
              <w:spacing w:after="0" w:line="126" w:lineRule="exact"/>
              <w:rPr>
                <w:sz w:val="20"/>
                <w:szCs w:val="20"/>
                <w:color w:val="auto"/>
              </w:rPr>
            </w:pPr>
            <w:r>
              <w:rPr>
                <w:rFonts w:ascii="Arial" w:cs="Arial" w:eastAsia="Arial" w:hAnsi="Arial"/>
                <w:sz w:val="14"/>
                <w:szCs w:val="14"/>
                <w:b w:val="1"/>
                <w:bCs w:val="1"/>
                <w:color w:val="auto"/>
              </w:rPr>
              <w:t>5</w:t>
            </w:r>
          </w:p>
        </w:tc>
        <w:tc>
          <w:tcPr>
            <w:tcW w:w="5880" w:type="dxa"/>
            <w:vAlign w:val="bottom"/>
            <w:shd w:val="clear" w:color="auto" w:fill="EEECE1"/>
          </w:tcPr>
          <w:p>
            <w:pPr>
              <w:ind w:left="240"/>
              <w:spacing w:after="0" w:line="126" w:lineRule="exact"/>
              <w:rPr>
                <w:sz w:val="20"/>
                <w:szCs w:val="20"/>
                <w:color w:val="auto"/>
              </w:rPr>
            </w:pPr>
            <w:r>
              <w:rPr>
                <w:rFonts w:ascii="Arial" w:cs="Arial" w:eastAsia="Arial" w:hAnsi="Arial"/>
                <w:sz w:val="14"/>
                <w:szCs w:val="14"/>
                <w:color w:val="auto"/>
              </w:rPr>
              <w:t>6</w:t>
            </w:r>
          </w:p>
        </w:tc>
        <w:tc>
          <w:tcPr>
            <w:tcW w:w="1260" w:type="dxa"/>
            <w:vAlign w:val="bottom"/>
            <w:shd w:val="clear" w:color="auto" w:fill="EEECE1"/>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240" w:type="dxa"/>
            <w:vAlign w:val="bottom"/>
            <w:shd w:val="clear" w:color="auto" w:fill="EEECE1"/>
          </w:tcPr>
          <w:p>
            <w:pPr>
              <w:spacing w:after="0"/>
              <w:rPr>
                <w:sz w:val="12"/>
                <w:szCs w:val="12"/>
                <w:color w:val="auto"/>
              </w:rPr>
            </w:pPr>
          </w:p>
        </w:tc>
        <w:tc>
          <w:tcPr>
            <w:tcW w:w="1160" w:type="dxa"/>
            <w:vAlign w:val="bottom"/>
            <w:shd w:val="clear" w:color="auto" w:fill="EEECE1"/>
          </w:tcPr>
          <w:p>
            <w:pPr>
              <w:spacing w:after="0"/>
              <w:rPr>
                <w:sz w:val="12"/>
                <w:szCs w:val="12"/>
                <w:color w:val="auto"/>
              </w:rPr>
            </w:pPr>
          </w:p>
        </w:tc>
        <w:tc>
          <w:tcPr>
            <w:tcW w:w="5880" w:type="dxa"/>
            <w:vAlign w:val="bottom"/>
            <w:shd w:val="clear" w:color="auto" w:fill="EEECE1"/>
          </w:tcPr>
          <w:p>
            <w:pPr>
              <w:spacing w:after="0"/>
              <w:rPr>
                <w:sz w:val="12"/>
                <w:szCs w:val="12"/>
                <w:color w:val="auto"/>
              </w:rPr>
            </w:pPr>
          </w:p>
        </w:tc>
        <w:tc>
          <w:tcPr>
            <w:tcW w:w="126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shd w:val="clear" w:color="auto" w:fill="EEECE1"/>
          </w:tcPr>
          <w:p>
            <w:pPr>
              <w:spacing w:after="0"/>
              <w:rPr>
                <w:sz w:val="14"/>
                <w:szCs w:val="14"/>
                <w:color w:val="auto"/>
              </w:rPr>
            </w:pPr>
          </w:p>
        </w:tc>
        <w:tc>
          <w:tcPr>
            <w:tcW w:w="1400" w:type="dxa"/>
            <w:vAlign w:val="bottom"/>
            <w:gridSpan w:val="2"/>
            <w:shd w:val="clear" w:color="auto" w:fill="EEECE1"/>
          </w:tcPr>
          <w:p>
            <w:pPr>
              <w:ind w:left="40"/>
              <w:spacing w:after="0"/>
              <w:rPr>
                <w:sz w:val="20"/>
                <w:szCs w:val="20"/>
                <w:color w:val="auto"/>
              </w:rPr>
            </w:pPr>
            <w:r>
              <w:rPr>
                <w:rFonts w:ascii="Arial" w:cs="Arial" w:eastAsia="Arial" w:hAnsi="Arial"/>
                <w:sz w:val="14"/>
                <w:szCs w:val="14"/>
                <w:b w:val="1"/>
                <w:bCs w:val="1"/>
                <w:color w:val="auto"/>
                <w:w w:val="97"/>
              </w:rPr>
              <w:t>Global Governments</w:t>
            </w:r>
          </w:p>
        </w:tc>
        <w:tc>
          <w:tcPr>
            <w:tcW w:w="1240" w:type="dxa"/>
            <w:vAlign w:val="bottom"/>
            <w:shd w:val="clear" w:color="auto" w:fill="EEECE1"/>
          </w:tcPr>
          <w:p>
            <w:pPr>
              <w:spacing w:after="0"/>
              <w:rPr>
                <w:sz w:val="14"/>
                <w:szCs w:val="14"/>
                <w:color w:val="auto"/>
              </w:rPr>
            </w:pPr>
          </w:p>
        </w:tc>
        <w:tc>
          <w:tcPr>
            <w:tcW w:w="1160" w:type="dxa"/>
            <w:vAlign w:val="bottom"/>
            <w:shd w:val="clear" w:color="auto" w:fill="EEECE1"/>
          </w:tcPr>
          <w:p>
            <w:pPr>
              <w:spacing w:after="0"/>
              <w:rPr>
                <w:sz w:val="14"/>
                <w:szCs w:val="14"/>
                <w:color w:val="auto"/>
              </w:rPr>
            </w:pPr>
          </w:p>
        </w:tc>
        <w:tc>
          <w:tcPr>
            <w:tcW w:w="5880" w:type="dxa"/>
            <w:vAlign w:val="bottom"/>
            <w:shd w:val="clear" w:color="auto" w:fill="EEECE1"/>
          </w:tcPr>
          <w:p>
            <w:pPr>
              <w:spacing w:after="0"/>
              <w:rPr>
                <w:sz w:val="14"/>
                <w:szCs w:val="14"/>
                <w:color w:val="auto"/>
              </w:rPr>
            </w:pP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64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North America Governments</w:t>
            </w:r>
          </w:p>
        </w:tc>
        <w:tc>
          <w:tcPr>
            <w:tcW w:w="1160" w:type="dxa"/>
            <w:vAlign w:val="bottom"/>
            <w:shd w:val="clear" w:color="auto" w:fill="C00000"/>
          </w:tcPr>
          <w:p>
            <w:pPr>
              <w:spacing w:after="0"/>
              <w:rPr>
                <w:sz w:val="12"/>
                <w:szCs w:val="12"/>
                <w:color w:val="auto"/>
              </w:rPr>
            </w:pPr>
          </w:p>
        </w:tc>
        <w:tc>
          <w:tcPr>
            <w:tcW w:w="5880" w:type="dxa"/>
            <w:vAlign w:val="bottom"/>
            <w:shd w:val="clear" w:color="auto" w:fill="C00000"/>
          </w:tcPr>
          <w:p>
            <w:pPr>
              <w:spacing w:after="0"/>
              <w:rPr>
                <w:sz w:val="12"/>
                <w:szCs w:val="12"/>
                <w:color w:val="auto"/>
              </w:rPr>
            </w:pPr>
          </w:p>
        </w:tc>
        <w:tc>
          <w:tcPr>
            <w:tcW w:w="126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6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United States (US)</w:t>
            </w:r>
          </w:p>
        </w:tc>
        <w:tc>
          <w:tcPr>
            <w:tcW w:w="1160" w:type="dxa"/>
            <w:vAlign w:val="bottom"/>
            <w:shd w:val="clear" w:color="auto" w:fill="1F497D"/>
          </w:tcPr>
          <w:p>
            <w:pPr>
              <w:spacing w:after="0"/>
              <w:rPr>
                <w:sz w:val="12"/>
                <w:szCs w:val="12"/>
                <w:color w:val="auto"/>
              </w:rPr>
            </w:pPr>
          </w:p>
        </w:tc>
        <w:tc>
          <w:tcPr>
            <w:tcW w:w="5880" w:type="dxa"/>
            <w:vAlign w:val="bottom"/>
            <w:shd w:val="clear" w:color="auto" w:fill="1F497D"/>
          </w:tcPr>
          <w:p>
            <w:pPr>
              <w:spacing w:after="0"/>
              <w:rPr>
                <w:sz w:val="12"/>
                <w:szCs w:val="12"/>
                <w:color w:val="auto"/>
              </w:rPr>
            </w:pPr>
          </w:p>
        </w:tc>
        <w:tc>
          <w:tcPr>
            <w:tcW w:w="12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auto"/>
              </w:rPr>
              <w:t>USD</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Bills</w:t>
            </w:r>
          </w:p>
        </w:tc>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REGBILL, On The Run Treasury Bills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REGBILL, Off the Run Treasury Bills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CMBBILL, Cash Management Bills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Notes</w:t>
            </w:r>
          </w:p>
        </w:tc>
        <w:tc>
          <w:tcPr>
            <w:tcW w:w="5880" w:type="dxa"/>
            <w:vAlign w:val="bottom"/>
          </w:tcPr>
          <w:p>
            <w:pPr>
              <w:ind w:left="240"/>
              <w:spacing w:after="0"/>
              <w:rPr>
                <w:sz w:val="20"/>
                <w:szCs w:val="20"/>
                <w:color w:val="auto"/>
              </w:rPr>
            </w:pPr>
            <w:r>
              <w:rPr>
                <w:rFonts w:ascii="Arial" w:cs="Arial" w:eastAsia="Arial" w:hAnsi="Arial"/>
                <w:sz w:val="14"/>
                <w:szCs w:val="14"/>
                <w:color w:val="auto"/>
              </w:rPr>
              <w:t>TRSYROLLSWAP, Treasury Bill Rolls (REG/WI)</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REGNOTE, On The Run Treasury Notes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Bonds</w:t>
            </w:r>
          </w:p>
        </w:tc>
        <w:tc>
          <w:tcPr>
            <w:tcW w:w="5880" w:type="dxa"/>
            <w:vAlign w:val="bottom"/>
          </w:tcPr>
          <w:p>
            <w:pPr>
              <w:ind w:left="240"/>
              <w:spacing w:after="0"/>
              <w:rPr>
                <w:sz w:val="20"/>
                <w:szCs w:val="20"/>
                <w:color w:val="auto"/>
              </w:rPr>
            </w:pPr>
            <w:r>
              <w:rPr>
                <w:rFonts w:ascii="Arial" w:cs="Arial" w:eastAsia="Arial" w:hAnsi="Arial"/>
                <w:sz w:val="14"/>
                <w:szCs w:val="14"/>
                <w:color w:val="auto"/>
              </w:rPr>
              <w:t>REGNOTE, Off The Run Treasury Notes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REGNOTE, On The Run Treasury 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TIPS</w:t>
            </w:r>
          </w:p>
        </w:tc>
        <w:tc>
          <w:tcPr>
            <w:tcW w:w="5880" w:type="dxa"/>
            <w:vAlign w:val="bottom"/>
          </w:tcPr>
          <w:p>
            <w:pPr>
              <w:ind w:left="240"/>
              <w:spacing w:after="0"/>
              <w:rPr>
                <w:sz w:val="20"/>
                <w:szCs w:val="20"/>
                <w:color w:val="auto"/>
              </w:rPr>
            </w:pPr>
            <w:r>
              <w:rPr>
                <w:rFonts w:ascii="Arial" w:cs="Arial" w:eastAsia="Arial" w:hAnsi="Arial"/>
                <w:sz w:val="14"/>
                <w:szCs w:val="14"/>
                <w:color w:val="auto"/>
              </w:rPr>
              <w:t>REGNOTE, Off The Run Treasury Bonds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REGTIPS, On The Run Treasury Inflation Protected Securities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FRNs</w:t>
            </w:r>
          </w:p>
        </w:tc>
        <w:tc>
          <w:tcPr>
            <w:tcW w:w="5880" w:type="dxa"/>
            <w:vAlign w:val="bottom"/>
          </w:tcPr>
          <w:p>
            <w:pPr>
              <w:ind w:left="240"/>
              <w:spacing w:after="0"/>
              <w:rPr>
                <w:sz w:val="20"/>
                <w:szCs w:val="20"/>
                <w:color w:val="auto"/>
              </w:rPr>
            </w:pPr>
            <w:r>
              <w:rPr>
                <w:rFonts w:ascii="Arial" w:cs="Arial" w:eastAsia="Arial" w:hAnsi="Arial"/>
                <w:sz w:val="14"/>
                <w:szCs w:val="14"/>
                <w:color w:val="auto"/>
              </w:rPr>
              <w:t>REGTIPS, Off the Run Treasury Inflation Protected Securities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REGTRSYFRN, On The Run Treasury Floating Rate Notes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880" w:type="dxa"/>
            <w:vAlign w:val="bottom"/>
          </w:tcPr>
          <w:p>
            <w:pPr>
              <w:ind w:left="240"/>
              <w:spacing w:after="0"/>
              <w:rPr>
                <w:sz w:val="20"/>
                <w:szCs w:val="20"/>
                <w:color w:val="auto"/>
              </w:rPr>
            </w:pPr>
            <w:r>
              <w:rPr>
                <w:rFonts w:ascii="Arial" w:cs="Arial" w:eastAsia="Arial" w:hAnsi="Arial"/>
                <w:sz w:val="14"/>
                <w:szCs w:val="14"/>
                <w:color w:val="auto"/>
              </w:rPr>
              <w:t>REGTRSYFRN, Off the Run Treasury Floating Rate Notes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STRIPPRIN, Principal Strips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Basis</w:t>
            </w:r>
          </w:p>
        </w:tc>
        <w:tc>
          <w:tcPr>
            <w:tcW w:w="5880" w:type="dxa"/>
            <w:vAlign w:val="bottom"/>
          </w:tcPr>
          <w:p>
            <w:pPr>
              <w:ind w:left="240"/>
              <w:spacing w:after="0"/>
              <w:rPr>
                <w:sz w:val="20"/>
                <w:szCs w:val="20"/>
                <w:color w:val="auto"/>
              </w:rPr>
            </w:pPr>
            <w:r>
              <w:rPr>
                <w:rFonts w:ascii="Arial" w:cs="Arial" w:eastAsia="Arial" w:hAnsi="Arial"/>
                <w:sz w:val="14"/>
                <w:szCs w:val="14"/>
                <w:color w:val="auto"/>
              </w:rPr>
              <w:t>STRIPINT, Interest Strips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TRSYBASISSWAP, Current Quarter Treasury Basis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80" w:type="dxa"/>
            <w:vAlign w:val="bottom"/>
          </w:tcPr>
          <w:p>
            <w:pPr>
              <w:ind w:left="240"/>
              <w:spacing w:after="0"/>
              <w:rPr>
                <w:sz w:val="20"/>
                <w:szCs w:val="20"/>
                <w:color w:val="auto"/>
              </w:rPr>
            </w:pPr>
            <w:r>
              <w:rPr>
                <w:rFonts w:ascii="Arial" w:cs="Arial" w:eastAsia="Arial" w:hAnsi="Arial"/>
                <w:sz w:val="14"/>
                <w:szCs w:val="14"/>
                <w:color w:val="auto"/>
              </w:rPr>
              <w:t>TRSYBASISSWAP, Forward Quarter Treasury Basis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64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Non-North American Governments</w:t>
            </w:r>
          </w:p>
        </w:tc>
        <w:tc>
          <w:tcPr>
            <w:tcW w:w="1160" w:type="dxa"/>
            <w:vAlign w:val="bottom"/>
            <w:shd w:val="clear" w:color="auto" w:fill="C00000"/>
          </w:tcPr>
          <w:p>
            <w:pPr>
              <w:spacing w:after="0"/>
              <w:rPr>
                <w:sz w:val="12"/>
                <w:szCs w:val="12"/>
                <w:color w:val="auto"/>
              </w:rPr>
            </w:pPr>
          </w:p>
        </w:tc>
        <w:tc>
          <w:tcPr>
            <w:tcW w:w="5880" w:type="dxa"/>
            <w:vAlign w:val="bottom"/>
            <w:shd w:val="clear" w:color="auto" w:fill="C00000"/>
          </w:tcPr>
          <w:p>
            <w:pPr>
              <w:spacing w:after="0"/>
              <w:rPr>
                <w:sz w:val="12"/>
                <w:szCs w:val="12"/>
                <w:color w:val="auto"/>
              </w:rPr>
            </w:pPr>
          </w:p>
        </w:tc>
        <w:tc>
          <w:tcPr>
            <w:tcW w:w="126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Germany</w:t>
            </w:r>
          </w:p>
        </w:tc>
        <w:tc>
          <w:tcPr>
            <w:tcW w:w="1240" w:type="dxa"/>
            <w:vAlign w:val="bottom"/>
            <w:shd w:val="clear" w:color="auto" w:fill="1F497D"/>
          </w:tcPr>
          <w:p>
            <w:pPr>
              <w:spacing w:after="0"/>
              <w:rPr>
                <w:sz w:val="12"/>
                <w:szCs w:val="12"/>
                <w:color w:val="auto"/>
              </w:rPr>
            </w:pPr>
          </w:p>
        </w:tc>
        <w:tc>
          <w:tcPr>
            <w:tcW w:w="1160" w:type="dxa"/>
            <w:vAlign w:val="bottom"/>
            <w:shd w:val="clear" w:color="auto" w:fill="1F497D"/>
          </w:tcPr>
          <w:p>
            <w:pPr>
              <w:spacing w:after="0"/>
              <w:rPr>
                <w:sz w:val="12"/>
                <w:szCs w:val="12"/>
                <w:color w:val="auto"/>
              </w:rPr>
            </w:pPr>
          </w:p>
        </w:tc>
        <w:tc>
          <w:tcPr>
            <w:tcW w:w="5880" w:type="dxa"/>
            <w:vAlign w:val="bottom"/>
            <w:shd w:val="clear" w:color="auto" w:fill="1F497D"/>
          </w:tcPr>
          <w:p>
            <w:pPr>
              <w:spacing w:after="0"/>
              <w:rPr>
                <w:sz w:val="12"/>
                <w:szCs w:val="12"/>
                <w:color w:val="auto"/>
              </w:rPr>
            </w:pPr>
          </w:p>
        </w:tc>
        <w:tc>
          <w:tcPr>
            <w:tcW w:w="12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auto"/>
              </w:rPr>
              <w:t>EUR</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Bill</w:t>
            </w:r>
          </w:p>
        </w:tc>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REGBUD, Government Bill</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Bonds &amp; Notes</w:t>
            </w:r>
          </w:p>
        </w:tc>
        <w:tc>
          <w:tcPr>
            <w:tcW w:w="58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REGOBL, 5Yr Federal Notes Bundesobligationen</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REGBKO, Federal Notes Bundesschatzanweisungen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ILBs</w:t>
            </w:r>
          </w:p>
        </w:tc>
        <w:tc>
          <w:tcPr>
            <w:tcW w:w="5880" w:type="dxa"/>
            <w:vAlign w:val="bottom"/>
          </w:tcPr>
          <w:p>
            <w:pPr>
              <w:ind w:left="240"/>
              <w:spacing w:after="0"/>
              <w:rPr>
                <w:sz w:val="20"/>
                <w:szCs w:val="20"/>
                <w:color w:val="auto"/>
              </w:rPr>
            </w:pPr>
            <w:r>
              <w:rPr>
                <w:rFonts w:ascii="Arial" w:cs="Arial" w:eastAsia="Arial" w:hAnsi="Arial"/>
                <w:sz w:val="14"/>
                <w:szCs w:val="14"/>
                <w:color w:val="auto"/>
              </w:rPr>
              <w:t>REGDBR, Federal Bund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REGDBRei, Inflation Linked Notes/Bonds – HICP Index</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880" w:type="dxa"/>
            <w:vAlign w:val="bottom"/>
          </w:tcPr>
          <w:p>
            <w:pPr>
              <w:ind w:left="240"/>
              <w:spacing w:after="0"/>
              <w:rPr>
                <w:sz w:val="20"/>
                <w:szCs w:val="20"/>
                <w:color w:val="auto"/>
              </w:rPr>
            </w:pPr>
            <w:r>
              <w:rPr>
                <w:rFonts w:ascii="Arial" w:cs="Arial" w:eastAsia="Arial" w:hAnsi="Arial"/>
                <w:sz w:val="14"/>
                <w:szCs w:val="14"/>
                <w:color w:val="auto"/>
              </w:rPr>
              <w:t>REGOBLEI, Bundesobligation I/L</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REGDBRD, Fungible Strip</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REGDBRR, Principal Strips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80" w:type="dxa"/>
            <w:vAlign w:val="bottom"/>
          </w:tcPr>
          <w:p>
            <w:pPr>
              <w:ind w:left="240"/>
              <w:spacing w:after="0"/>
              <w:rPr>
                <w:sz w:val="20"/>
                <w:szCs w:val="20"/>
                <w:color w:val="auto"/>
              </w:rPr>
            </w:pPr>
            <w:r>
              <w:rPr>
                <w:rFonts w:ascii="Arial" w:cs="Arial" w:eastAsia="Arial" w:hAnsi="Arial"/>
                <w:sz w:val="14"/>
                <w:szCs w:val="14"/>
                <w:color w:val="auto"/>
              </w:rPr>
              <w:t>REGDBRS, Interest Strips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France</w:t>
            </w:r>
          </w:p>
        </w:tc>
        <w:tc>
          <w:tcPr>
            <w:tcW w:w="1240" w:type="dxa"/>
            <w:vAlign w:val="bottom"/>
            <w:shd w:val="clear" w:color="auto" w:fill="1F497D"/>
          </w:tcPr>
          <w:p>
            <w:pPr>
              <w:spacing w:after="0"/>
              <w:rPr>
                <w:sz w:val="12"/>
                <w:szCs w:val="12"/>
                <w:color w:val="auto"/>
              </w:rPr>
            </w:pPr>
          </w:p>
        </w:tc>
        <w:tc>
          <w:tcPr>
            <w:tcW w:w="1160" w:type="dxa"/>
            <w:vAlign w:val="bottom"/>
            <w:shd w:val="clear" w:color="auto" w:fill="1F497D"/>
          </w:tcPr>
          <w:p>
            <w:pPr>
              <w:spacing w:after="0"/>
              <w:rPr>
                <w:sz w:val="12"/>
                <w:szCs w:val="12"/>
                <w:color w:val="auto"/>
              </w:rPr>
            </w:pPr>
          </w:p>
        </w:tc>
        <w:tc>
          <w:tcPr>
            <w:tcW w:w="5880" w:type="dxa"/>
            <w:vAlign w:val="bottom"/>
            <w:shd w:val="clear" w:color="auto" w:fill="1F497D"/>
          </w:tcPr>
          <w:p>
            <w:pPr>
              <w:spacing w:after="0"/>
              <w:rPr>
                <w:sz w:val="12"/>
                <w:szCs w:val="12"/>
                <w:color w:val="auto"/>
              </w:rPr>
            </w:pPr>
          </w:p>
        </w:tc>
        <w:tc>
          <w:tcPr>
            <w:tcW w:w="12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auto"/>
              </w:rPr>
              <w:t>EUR</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Bills</w:t>
            </w:r>
          </w:p>
        </w:tc>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REGBTF, France Tresor Negotiable Fixed Rate Discount Bill</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Notes &amp; Bonds</w:t>
            </w:r>
          </w:p>
        </w:tc>
        <w:tc>
          <w:tcPr>
            <w:tcW w:w="58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REGBTNS, Tresor Medium Term (2-5Yr) Treasury Note</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ILBs</w:t>
            </w:r>
          </w:p>
        </w:tc>
        <w:tc>
          <w:tcPr>
            <w:tcW w:w="5880" w:type="dxa"/>
            <w:vAlign w:val="bottom"/>
          </w:tcPr>
          <w:p>
            <w:pPr>
              <w:ind w:left="240"/>
              <w:spacing w:after="0"/>
              <w:rPr>
                <w:sz w:val="20"/>
                <w:szCs w:val="20"/>
                <w:color w:val="auto"/>
              </w:rPr>
            </w:pPr>
            <w:r>
              <w:rPr>
                <w:rFonts w:ascii="Arial" w:cs="Arial" w:eastAsia="Arial" w:hAnsi="Arial"/>
                <w:sz w:val="14"/>
                <w:szCs w:val="14"/>
                <w:color w:val="auto"/>
              </w:rPr>
              <w:t>REGFRTR, Tresor Government 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REGBTNEI, Tresor Medium Term (2-5Yr) Inflation Indexed Note – HICP Index</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REGOATEI, France Tresor Long Term (7-50Yr) Inflation Indexed Note/Bond – HICP Index</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REGBTNI, Tresor Medium Term (2-5Yr) Inflation Indexed Note/Bond – French CPI Index</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880" w:type="dxa"/>
            <w:vAlign w:val="bottom"/>
          </w:tcPr>
          <w:p>
            <w:pPr>
              <w:ind w:left="240"/>
              <w:spacing w:after="0"/>
              <w:rPr>
                <w:sz w:val="20"/>
                <w:szCs w:val="20"/>
                <w:color w:val="auto"/>
              </w:rPr>
            </w:pPr>
            <w:r>
              <w:rPr>
                <w:rFonts w:ascii="Arial" w:cs="Arial" w:eastAsia="Arial" w:hAnsi="Arial"/>
                <w:sz w:val="14"/>
                <w:szCs w:val="14"/>
                <w:color w:val="auto"/>
                <w:w w:val="95"/>
              </w:rPr>
              <w:t>REGOATI, France Tresor Long Term (7-50Yr) Inflation Indexed Note/Bond – French CPI Index</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REGFRTRD, Fungible Strips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REGFRTRR, Principal Strips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80" w:type="dxa"/>
            <w:vAlign w:val="bottom"/>
          </w:tcPr>
          <w:p>
            <w:pPr>
              <w:ind w:left="240"/>
              <w:spacing w:after="0"/>
              <w:rPr>
                <w:sz w:val="20"/>
                <w:szCs w:val="20"/>
                <w:color w:val="auto"/>
              </w:rPr>
            </w:pPr>
            <w:r>
              <w:rPr>
                <w:rFonts w:ascii="Arial" w:cs="Arial" w:eastAsia="Arial" w:hAnsi="Arial"/>
                <w:sz w:val="14"/>
                <w:szCs w:val="14"/>
                <w:color w:val="auto"/>
              </w:rPr>
              <w:t>REGFRTRS, Interest Strips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Italy</w:t>
            </w:r>
          </w:p>
        </w:tc>
        <w:tc>
          <w:tcPr>
            <w:tcW w:w="1240" w:type="dxa"/>
            <w:vAlign w:val="bottom"/>
            <w:shd w:val="clear" w:color="auto" w:fill="1F497D"/>
          </w:tcPr>
          <w:p>
            <w:pPr>
              <w:spacing w:after="0"/>
              <w:rPr>
                <w:sz w:val="12"/>
                <w:szCs w:val="12"/>
                <w:color w:val="auto"/>
              </w:rPr>
            </w:pPr>
          </w:p>
        </w:tc>
        <w:tc>
          <w:tcPr>
            <w:tcW w:w="1160" w:type="dxa"/>
            <w:vAlign w:val="bottom"/>
            <w:shd w:val="clear" w:color="auto" w:fill="1F497D"/>
          </w:tcPr>
          <w:p>
            <w:pPr>
              <w:spacing w:after="0"/>
              <w:rPr>
                <w:sz w:val="12"/>
                <w:szCs w:val="12"/>
                <w:color w:val="auto"/>
              </w:rPr>
            </w:pPr>
          </w:p>
        </w:tc>
        <w:tc>
          <w:tcPr>
            <w:tcW w:w="5880" w:type="dxa"/>
            <w:vAlign w:val="bottom"/>
            <w:shd w:val="clear" w:color="auto" w:fill="1F497D"/>
          </w:tcPr>
          <w:p>
            <w:pPr>
              <w:spacing w:after="0"/>
              <w:rPr>
                <w:sz w:val="12"/>
                <w:szCs w:val="12"/>
                <w:color w:val="auto"/>
              </w:rPr>
            </w:pPr>
          </w:p>
        </w:tc>
        <w:tc>
          <w:tcPr>
            <w:tcW w:w="12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auto"/>
              </w:rPr>
              <w:t>EUR</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Bills</w:t>
            </w:r>
          </w:p>
        </w:tc>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REGCTZ, Italy Certificati del Tesoro Zero Coupon Bond</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Notes &amp; Bonds</w:t>
            </w:r>
          </w:p>
        </w:tc>
        <w:tc>
          <w:tcPr>
            <w:tcW w:w="58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REGBOT, Italy Buoni Ordinari del Tesoro</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FRNs/CCTs</w:t>
            </w:r>
          </w:p>
        </w:tc>
        <w:tc>
          <w:tcPr>
            <w:tcW w:w="5880" w:type="dxa"/>
            <w:vAlign w:val="bottom"/>
          </w:tcPr>
          <w:p>
            <w:pPr>
              <w:ind w:left="240"/>
              <w:spacing w:after="0"/>
              <w:rPr>
                <w:sz w:val="20"/>
                <w:szCs w:val="20"/>
                <w:color w:val="auto"/>
              </w:rPr>
            </w:pPr>
            <w:r>
              <w:rPr>
                <w:rFonts w:ascii="Arial" w:cs="Arial" w:eastAsia="Arial" w:hAnsi="Arial"/>
                <w:sz w:val="14"/>
                <w:szCs w:val="14"/>
                <w:color w:val="auto"/>
              </w:rPr>
              <w:t>REGBTPS, Italy Busoni Poliennali del TES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REGCCT, Italy Certificati di Credito del Tesoro (CCT)</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ILBs</w:t>
            </w:r>
          </w:p>
        </w:tc>
        <w:tc>
          <w:tcPr>
            <w:tcW w:w="5880" w:type="dxa"/>
            <w:vAlign w:val="bottom"/>
          </w:tcPr>
          <w:p>
            <w:pPr>
              <w:ind w:left="240"/>
              <w:spacing w:after="0"/>
              <w:rPr>
                <w:sz w:val="20"/>
                <w:szCs w:val="20"/>
                <w:color w:val="auto"/>
              </w:rPr>
            </w:pPr>
            <w:r>
              <w:rPr>
                <w:rFonts w:ascii="Arial" w:cs="Arial" w:eastAsia="Arial" w:hAnsi="Arial"/>
                <w:sz w:val="14"/>
                <w:szCs w:val="14"/>
                <w:color w:val="auto"/>
              </w:rPr>
              <w:t>REGCCT, Italy Certificati di Credito del Tesoro (CCTeu)</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REGBTPEI, Italy Inflation Indexed Note/Bond – HICP Index</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880" w:type="dxa"/>
            <w:vAlign w:val="bottom"/>
          </w:tcPr>
          <w:p>
            <w:pPr>
              <w:ind w:left="240"/>
              <w:spacing w:after="0"/>
              <w:rPr>
                <w:sz w:val="20"/>
                <w:szCs w:val="20"/>
                <w:color w:val="auto"/>
              </w:rPr>
            </w:pPr>
            <w:r>
              <w:rPr>
                <w:rFonts w:ascii="Arial" w:cs="Arial" w:eastAsia="Arial" w:hAnsi="Arial"/>
                <w:sz w:val="14"/>
                <w:szCs w:val="14"/>
                <w:color w:val="auto"/>
              </w:rPr>
              <w:t>REGBPIT, Italy Domestic Inflation Indexed Notes/Bonds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80" w:type="dxa"/>
            <w:vAlign w:val="bottom"/>
            <w:vMerge w:val="restart"/>
          </w:tcPr>
          <w:p>
            <w:pPr>
              <w:ind w:left="240"/>
              <w:spacing w:after="0"/>
              <w:rPr>
                <w:sz w:val="20"/>
                <w:szCs w:val="20"/>
                <w:color w:val="auto"/>
              </w:rPr>
            </w:pPr>
            <w:r>
              <w:rPr>
                <w:rFonts w:ascii="Arial" w:cs="Arial" w:eastAsia="Arial" w:hAnsi="Arial"/>
                <w:sz w:val="14"/>
                <w:szCs w:val="14"/>
                <w:color w:val="auto"/>
              </w:rPr>
              <w:t>REGBTPSD, Italian Fungible Strips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80" w:type="dxa"/>
            <w:vAlign w:val="bottom"/>
          </w:tcPr>
          <w:p>
            <w:pPr>
              <w:ind w:left="240"/>
              <w:spacing w:after="0" w:line="149" w:lineRule="exact"/>
              <w:rPr>
                <w:sz w:val="20"/>
                <w:szCs w:val="20"/>
                <w:color w:val="auto"/>
              </w:rPr>
            </w:pPr>
            <w:r>
              <w:rPr>
                <w:rFonts w:ascii="Arial" w:cs="Arial" w:eastAsia="Arial" w:hAnsi="Arial"/>
                <w:sz w:val="14"/>
                <w:szCs w:val="14"/>
                <w:color w:val="auto"/>
              </w:rPr>
              <w:t>REGBTPSR, Italian Principal Strips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80" w:type="dxa"/>
            <w:vAlign w:val="bottom"/>
          </w:tcPr>
          <w:p>
            <w:pPr>
              <w:ind w:left="240"/>
              <w:spacing w:after="0"/>
              <w:rPr>
                <w:sz w:val="20"/>
                <w:szCs w:val="20"/>
                <w:color w:val="auto"/>
              </w:rPr>
            </w:pPr>
            <w:r>
              <w:rPr>
                <w:rFonts w:ascii="Arial" w:cs="Arial" w:eastAsia="Arial" w:hAnsi="Arial"/>
                <w:sz w:val="14"/>
                <w:szCs w:val="14"/>
                <w:color w:val="auto"/>
              </w:rPr>
              <w:t>REGBTPSS, Italian Interest Strips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jc w:val="right"/>
              <w:ind w:right="388"/>
              <w:spacing w:after="0"/>
              <w:rPr>
                <w:sz w:val="20"/>
                <w:szCs w:val="20"/>
                <w:color w:val="auto"/>
              </w:rPr>
            </w:pPr>
            <w:r>
              <w:rPr>
                <w:rFonts w:ascii="Arial" w:cs="Arial" w:eastAsia="Arial" w:hAnsi="Arial"/>
                <w:sz w:val="14"/>
                <w:szCs w:val="14"/>
                <w:b w:val="1"/>
                <w:bCs w:val="1"/>
                <w:color w:val="auto"/>
              </w:rPr>
              <w:t>2</w:t>
            </w:r>
          </w:p>
        </w:tc>
        <w:tc>
          <w:tcPr>
            <w:tcW w:w="8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8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520"/>
              <w:spacing w:after="0"/>
              <w:rPr>
                <w:sz w:val="20"/>
                <w:szCs w:val="20"/>
                <w:color w:val="auto"/>
              </w:rPr>
            </w:pPr>
            <w:r>
              <w:rPr>
                <w:rFonts w:ascii="Arial" w:cs="Arial" w:eastAsia="Arial" w:hAnsi="Arial"/>
                <w:sz w:val="14"/>
                <w:szCs w:val="14"/>
                <w:b w:val="1"/>
                <w:bCs w:val="1"/>
                <w:color w:val="auto"/>
              </w:rPr>
              <w:t>5</w:t>
            </w:r>
          </w:p>
        </w:tc>
        <w:tc>
          <w:tcPr>
            <w:tcW w:w="4020" w:type="dxa"/>
            <w:vAlign w:val="bottom"/>
            <w:shd w:val="clear" w:color="auto" w:fill="EEECE1"/>
          </w:tcPr>
          <w:p>
            <w:pPr>
              <w:ind w:left="500"/>
              <w:spacing w:after="0"/>
              <w:rPr>
                <w:sz w:val="20"/>
                <w:szCs w:val="20"/>
                <w:color w:val="auto"/>
              </w:rPr>
            </w:pPr>
            <w:r>
              <w:rPr>
                <w:rFonts w:ascii="Arial" w:cs="Arial" w:eastAsia="Arial" w:hAnsi="Arial"/>
                <w:sz w:val="14"/>
                <w:szCs w:val="14"/>
                <w:color w:val="auto"/>
              </w:rPr>
              <w:t>6</w:t>
            </w:r>
          </w:p>
        </w:tc>
        <w:tc>
          <w:tcPr>
            <w:tcW w:w="26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gridSpan w:val="3"/>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6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4020" w:type="dxa"/>
            <w:vAlign w:val="bottom"/>
            <w:shd w:val="clear" w:color="auto" w:fill="EEECE1"/>
          </w:tcPr>
          <w:p>
            <w:pPr>
              <w:spacing w:after="0"/>
              <w:rPr>
                <w:sz w:val="14"/>
                <w:szCs w:val="14"/>
                <w:color w:val="auto"/>
              </w:rPr>
            </w:pPr>
          </w:p>
        </w:tc>
        <w:tc>
          <w:tcPr>
            <w:tcW w:w="26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1"/>
              </w:rPr>
              <w:t>Netherlands</w:t>
            </w:r>
          </w:p>
        </w:tc>
        <w:tc>
          <w:tcPr>
            <w:tcW w:w="86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4020" w:type="dxa"/>
            <w:vAlign w:val="bottom"/>
            <w:shd w:val="clear" w:color="auto" w:fill="1F497D"/>
          </w:tcPr>
          <w:p>
            <w:pPr>
              <w:spacing w:after="0"/>
              <w:rPr>
                <w:sz w:val="12"/>
                <w:szCs w:val="12"/>
                <w:color w:val="auto"/>
              </w:rPr>
            </w:pPr>
          </w:p>
        </w:tc>
        <w:tc>
          <w:tcPr>
            <w:tcW w:w="26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EUR</w:t>
            </w:r>
          </w:p>
        </w:tc>
        <w:tc>
          <w:tcPr>
            <w:tcW w:w="1920" w:type="dxa"/>
            <w:vAlign w:val="bottom"/>
            <w:vMerge w:val="restart"/>
          </w:tcPr>
          <w:p>
            <w:pPr>
              <w:ind w:left="520"/>
              <w:spacing w:after="0"/>
              <w:rPr>
                <w:sz w:val="20"/>
                <w:szCs w:val="20"/>
                <w:color w:val="auto"/>
              </w:rPr>
            </w:pPr>
            <w:r>
              <w:rPr>
                <w:rFonts w:ascii="Arial" w:cs="Arial" w:eastAsia="Arial" w:hAnsi="Arial"/>
                <w:sz w:val="14"/>
                <w:szCs w:val="14"/>
                <w:color w:val="auto"/>
              </w:rPr>
              <w:t>Bills</w:t>
            </w:r>
          </w:p>
        </w:tc>
        <w:tc>
          <w:tcPr>
            <w:tcW w:w="4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4020" w:type="dxa"/>
            <w:vAlign w:val="bottom"/>
            <w:vMerge w:val="restart"/>
          </w:tcPr>
          <w:p>
            <w:pPr>
              <w:ind w:left="500"/>
              <w:spacing w:after="0"/>
              <w:rPr>
                <w:sz w:val="20"/>
                <w:szCs w:val="20"/>
                <w:color w:val="auto"/>
              </w:rPr>
            </w:pPr>
            <w:r>
              <w:rPr>
                <w:rFonts w:ascii="Arial" w:cs="Arial" w:eastAsia="Arial" w:hAnsi="Arial"/>
                <w:sz w:val="14"/>
                <w:szCs w:val="14"/>
                <w:color w:val="auto"/>
              </w:rPr>
              <w:t>REGDTC, Government Bill</w:t>
            </w:r>
          </w:p>
        </w:tc>
        <w:tc>
          <w:tcPr>
            <w:tcW w:w="2600" w:type="dxa"/>
            <w:vAlign w:val="bottom"/>
            <w:vMerge w:val="restart"/>
          </w:tcPr>
          <w:p>
            <w:pPr>
              <w:ind w:left="1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restart"/>
          </w:tcPr>
          <w:p>
            <w:pPr>
              <w:ind w:left="520"/>
              <w:spacing w:after="0"/>
              <w:rPr>
                <w:sz w:val="20"/>
                <w:szCs w:val="20"/>
                <w:color w:val="auto"/>
              </w:rPr>
            </w:pPr>
            <w:r>
              <w:rPr>
                <w:rFonts w:ascii="Arial" w:cs="Arial" w:eastAsia="Arial" w:hAnsi="Arial"/>
                <w:sz w:val="14"/>
                <w:szCs w:val="14"/>
                <w:color w:val="auto"/>
              </w:rPr>
              <w:t>Notes &amp; Bonds</w:t>
            </w:r>
          </w:p>
        </w:tc>
        <w:tc>
          <w:tcPr>
            <w:tcW w:w="402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4020" w:type="dxa"/>
            <w:vAlign w:val="bottom"/>
            <w:vMerge w:val="restart"/>
          </w:tcPr>
          <w:p>
            <w:pPr>
              <w:ind w:left="500"/>
              <w:spacing w:after="0"/>
              <w:rPr>
                <w:sz w:val="20"/>
                <w:szCs w:val="20"/>
                <w:color w:val="auto"/>
              </w:rPr>
            </w:pPr>
            <w:r>
              <w:rPr>
                <w:rFonts w:ascii="Arial" w:cs="Arial" w:eastAsia="Arial" w:hAnsi="Arial"/>
                <w:sz w:val="14"/>
                <w:szCs w:val="14"/>
                <w:color w:val="auto"/>
              </w:rPr>
              <w:t>REGNETHR, Government Bond/Note</w:t>
            </w:r>
          </w:p>
        </w:tc>
        <w:tc>
          <w:tcPr>
            <w:tcW w:w="2600" w:type="dxa"/>
            <w:vAlign w:val="bottom"/>
            <w:vMerge w:val="restart"/>
          </w:tcPr>
          <w:p>
            <w:pPr>
              <w:ind w:left="1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restart"/>
          </w:tcPr>
          <w:p>
            <w:pPr>
              <w:ind w:left="520"/>
              <w:spacing w:after="0"/>
              <w:rPr>
                <w:sz w:val="20"/>
                <w:szCs w:val="20"/>
                <w:color w:val="auto"/>
              </w:rPr>
            </w:pPr>
            <w:r>
              <w:rPr>
                <w:rFonts w:ascii="Arial" w:cs="Arial" w:eastAsia="Arial" w:hAnsi="Arial"/>
                <w:sz w:val="14"/>
                <w:szCs w:val="14"/>
                <w:color w:val="auto"/>
              </w:rPr>
              <w:t>Strips</w:t>
            </w:r>
          </w:p>
        </w:tc>
        <w:tc>
          <w:tcPr>
            <w:tcW w:w="402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4020" w:type="dxa"/>
            <w:vAlign w:val="bottom"/>
            <w:vMerge w:val="restart"/>
          </w:tcPr>
          <w:p>
            <w:pPr>
              <w:ind w:left="500"/>
              <w:spacing w:after="0"/>
              <w:rPr>
                <w:sz w:val="20"/>
                <w:szCs w:val="20"/>
                <w:color w:val="auto"/>
              </w:rPr>
            </w:pPr>
            <w:r>
              <w:rPr>
                <w:rFonts w:ascii="Arial" w:cs="Arial" w:eastAsia="Arial" w:hAnsi="Arial"/>
                <w:sz w:val="14"/>
                <w:szCs w:val="14"/>
                <w:color w:val="auto"/>
              </w:rPr>
              <w:t>REGNETHRD, Fungible Strips</w:t>
            </w:r>
          </w:p>
        </w:tc>
        <w:tc>
          <w:tcPr>
            <w:tcW w:w="2600" w:type="dxa"/>
            <w:vAlign w:val="bottom"/>
            <w:vMerge w:val="restart"/>
          </w:tcPr>
          <w:p>
            <w:pPr>
              <w:ind w:left="1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20" w:type="dxa"/>
            <w:vAlign w:val="bottom"/>
          </w:tcPr>
          <w:p>
            <w:pPr>
              <w:ind w:left="500"/>
              <w:spacing w:after="0" w:line="149" w:lineRule="exact"/>
              <w:rPr>
                <w:sz w:val="20"/>
                <w:szCs w:val="20"/>
                <w:color w:val="auto"/>
              </w:rPr>
            </w:pPr>
            <w:r>
              <w:rPr>
                <w:rFonts w:ascii="Arial" w:cs="Arial" w:eastAsia="Arial" w:hAnsi="Arial"/>
                <w:sz w:val="14"/>
                <w:szCs w:val="14"/>
                <w:color w:val="auto"/>
              </w:rPr>
              <w:t>REGNETHRR, Principal Strips</w:t>
            </w:r>
          </w:p>
        </w:tc>
        <w:tc>
          <w:tcPr>
            <w:tcW w:w="2600" w:type="dxa"/>
            <w:vAlign w:val="bottom"/>
          </w:tcPr>
          <w:p>
            <w:pPr>
              <w:ind w:left="1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020" w:type="dxa"/>
            <w:vAlign w:val="bottom"/>
          </w:tcPr>
          <w:p>
            <w:pPr>
              <w:ind w:left="500"/>
              <w:spacing w:after="0"/>
              <w:rPr>
                <w:sz w:val="20"/>
                <w:szCs w:val="20"/>
                <w:color w:val="auto"/>
              </w:rPr>
            </w:pPr>
            <w:r>
              <w:rPr>
                <w:rFonts w:ascii="Arial" w:cs="Arial" w:eastAsia="Arial" w:hAnsi="Arial"/>
                <w:sz w:val="14"/>
                <w:szCs w:val="14"/>
                <w:color w:val="auto"/>
              </w:rPr>
              <w:t>REGNETHRS, Interest Strips</w:t>
            </w:r>
          </w:p>
        </w:tc>
        <w:tc>
          <w:tcPr>
            <w:tcW w:w="2600" w:type="dxa"/>
            <w:vAlign w:val="bottom"/>
          </w:tcPr>
          <w:p>
            <w:pPr>
              <w:ind w:left="1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7560" w:type="dxa"/>
            <w:vAlign w:val="bottom"/>
            <w:shd w:val="clear" w:color="auto" w:fill="1F497D"/>
          </w:tcPr>
          <w:p>
            <w:pPr>
              <w:ind w:left="40"/>
              <w:spacing w:after="0"/>
              <w:rPr>
                <w:sz w:val="20"/>
                <w:szCs w:val="20"/>
                <w:color w:val="auto"/>
              </w:rPr>
            </w:pPr>
            <w:r>
              <w:rPr>
                <w:rFonts w:ascii="Arial" w:cs="Arial" w:eastAsia="Arial" w:hAnsi="Arial"/>
                <w:sz w:val="14"/>
                <w:szCs w:val="14"/>
                <w:b w:val="1"/>
                <w:bCs w:val="1"/>
                <w:color w:val="FFFFFF"/>
              </w:rPr>
              <w:t>Spain</w:t>
            </w:r>
          </w:p>
        </w:tc>
        <w:tc>
          <w:tcPr>
            <w:tcW w:w="2640" w:type="dxa"/>
            <w:vAlign w:val="bottom"/>
            <w:shd w:val="clear" w:color="auto" w:fill="1F497D"/>
          </w:tcPr>
          <w:p>
            <w:pPr>
              <w:spacing w:after="0"/>
              <w:rPr>
                <w:sz w:val="14"/>
                <w:szCs w:val="14"/>
                <w:color w:val="auto"/>
              </w:rPr>
            </w:pPr>
          </w:p>
        </w:tc>
      </w:tr>
      <w:tr>
        <w:trPr>
          <w:trHeight w:val="130"/>
        </w:trPr>
        <w:tc>
          <w:tcPr>
            <w:tcW w:w="1040" w:type="dxa"/>
            <w:vAlign w:val="bottom"/>
          </w:tcPr>
          <w:p>
            <w:pPr>
              <w:spacing w:after="0"/>
              <w:rPr>
                <w:sz w:val="11"/>
                <w:szCs w:val="11"/>
                <w:color w:val="auto"/>
              </w:rPr>
            </w:pPr>
          </w:p>
        </w:tc>
        <w:tc>
          <w:tcPr>
            <w:tcW w:w="756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264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Bills</w:t>
            </w:r>
          </w:p>
        </w:tc>
        <w:tc>
          <w:tcPr>
            <w:tcW w:w="264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REGLET, Government Bill</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REGSPGB, Government Bond/Note</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Strips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REGSPGBD, Fungible Strips</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REGSPGBR, Principal Strips</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7560" w:type="dxa"/>
            <w:vAlign w:val="bottom"/>
          </w:tcPr>
          <w:p>
            <w:pPr>
              <w:ind w:left="4080"/>
              <w:spacing w:after="0"/>
              <w:rPr>
                <w:sz w:val="20"/>
                <w:szCs w:val="20"/>
                <w:color w:val="auto"/>
              </w:rPr>
            </w:pPr>
            <w:r>
              <w:rPr>
                <w:rFonts w:ascii="Arial" w:cs="Arial" w:eastAsia="Arial" w:hAnsi="Arial"/>
                <w:sz w:val="14"/>
                <w:szCs w:val="14"/>
                <w:color w:val="auto"/>
              </w:rPr>
              <w:t>REGSPGBS, Interest Strips</w:t>
            </w:r>
          </w:p>
        </w:tc>
        <w:tc>
          <w:tcPr>
            <w:tcW w:w="2640" w:type="dxa"/>
            <w:vAlign w:val="bottom"/>
          </w:tcPr>
          <w:p>
            <w:pPr>
              <w:ind w:left="134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75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Belgium</w:t>
            </w:r>
          </w:p>
        </w:tc>
        <w:tc>
          <w:tcPr>
            <w:tcW w:w="264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56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264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Bills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REGBTC, Government Bill</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REGOLO, Government Note/Bond</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Strips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REGOLOD, Fungible Strips</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REGOLOR, Principal Strips</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7560" w:type="dxa"/>
            <w:vAlign w:val="bottom"/>
          </w:tcPr>
          <w:p>
            <w:pPr>
              <w:ind w:left="4080"/>
              <w:spacing w:after="0"/>
              <w:rPr>
                <w:sz w:val="20"/>
                <w:szCs w:val="20"/>
                <w:color w:val="auto"/>
              </w:rPr>
            </w:pPr>
            <w:r>
              <w:rPr>
                <w:rFonts w:ascii="Arial" w:cs="Arial" w:eastAsia="Arial" w:hAnsi="Arial"/>
                <w:sz w:val="14"/>
                <w:szCs w:val="14"/>
                <w:color w:val="auto"/>
              </w:rPr>
              <w:t>REGOLOS, Interest Strips</w:t>
            </w:r>
          </w:p>
        </w:tc>
        <w:tc>
          <w:tcPr>
            <w:tcW w:w="2640" w:type="dxa"/>
            <w:vAlign w:val="bottom"/>
          </w:tcPr>
          <w:p>
            <w:pPr>
              <w:ind w:left="134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75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Austria</w:t>
            </w:r>
          </w:p>
        </w:tc>
        <w:tc>
          <w:tcPr>
            <w:tcW w:w="264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56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264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REGRAGB, Government Note/Bond</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Strips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REGRAGBR, Principal Strips</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7560" w:type="dxa"/>
            <w:vAlign w:val="bottom"/>
          </w:tcPr>
          <w:p>
            <w:pPr>
              <w:ind w:left="4080"/>
              <w:spacing w:after="0"/>
              <w:rPr>
                <w:sz w:val="20"/>
                <w:szCs w:val="20"/>
                <w:color w:val="auto"/>
              </w:rPr>
            </w:pPr>
            <w:r>
              <w:rPr>
                <w:rFonts w:ascii="Arial" w:cs="Arial" w:eastAsia="Arial" w:hAnsi="Arial"/>
                <w:sz w:val="14"/>
                <w:szCs w:val="14"/>
                <w:color w:val="auto"/>
              </w:rPr>
              <w:t>REGRAGBS, Interest Strips</w:t>
            </w:r>
          </w:p>
        </w:tc>
        <w:tc>
          <w:tcPr>
            <w:tcW w:w="2640" w:type="dxa"/>
            <w:vAlign w:val="bottom"/>
          </w:tcPr>
          <w:p>
            <w:pPr>
              <w:ind w:left="134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5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Finland</w:t>
            </w:r>
          </w:p>
        </w:tc>
        <w:tc>
          <w:tcPr>
            <w:tcW w:w="264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56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264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264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7560" w:type="dxa"/>
            <w:vAlign w:val="bottom"/>
          </w:tcPr>
          <w:p>
            <w:pPr>
              <w:ind w:left="4080"/>
              <w:spacing w:after="0"/>
              <w:rPr>
                <w:sz w:val="20"/>
                <w:szCs w:val="20"/>
                <w:color w:val="auto"/>
              </w:rPr>
            </w:pPr>
            <w:r>
              <w:rPr>
                <w:rFonts w:ascii="Arial" w:cs="Arial" w:eastAsia="Arial" w:hAnsi="Arial"/>
                <w:sz w:val="14"/>
                <w:szCs w:val="14"/>
                <w:color w:val="auto"/>
              </w:rPr>
              <w:t>REGRFGB, Government Bond/Note</w:t>
            </w:r>
          </w:p>
        </w:tc>
        <w:tc>
          <w:tcPr>
            <w:tcW w:w="2640" w:type="dxa"/>
            <w:vAlign w:val="bottom"/>
          </w:tcPr>
          <w:p>
            <w:pPr>
              <w:ind w:left="134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5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Portugal</w:t>
            </w:r>
          </w:p>
        </w:tc>
        <w:tc>
          <w:tcPr>
            <w:tcW w:w="264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56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264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Bills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REGPTC, Bilhetes Do Tesouro</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264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7560" w:type="dxa"/>
            <w:vAlign w:val="bottom"/>
          </w:tcPr>
          <w:p>
            <w:pPr>
              <w:ind w:left="4080"/>
              <w:spacing w:after="0"/>
              <w:rPr>
                <w:sz w:val="20"/>
                <w:szCs w:val="20"/>
                <w:color w:val="auto"/>
              </w:rPr>
            </w:pPr>
            <w:r>
              <w:rPr>
                <w:rFonts w:ascii="Arial" w:cs="Arial" w:eastAsia="Arial" w:hAnsi="Arial"/>
                <w:sz w:val="14"/>
                <w:szCs w:val="14"/>
                <w:color w:val="auto"/>
              </w:rPr>
              <w:t>REGPGB, Government Note/Bond</w:t>
            </w:r>
          </w:p>
        </w:tc>
        <w:tc>
          <w:tcPr>
            <w:tcW w:w="2640" w:type="dxa"/>
            <w:vAlign w:val="bottom"/>
          </w:tcPr>
          <w:p>
            <w:pPr>
              <w:ind w:left="134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75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Ireland</w:t>
            </w:r>
          </w:p>
        </w:tc>
        <w:tc>
          <w:tcPr>
            <w:tcW w:w="264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56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264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Bills</w:t>
            </w:r>
          </w:p>
        </w:tc>
        <w:tc>
          <w:tcPr>
            <w:tcW w:w="26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7560" w:type="dxa"/>
            <w:vAlign w:val="bottom"/>
          </w:tcPr>
          <w:p>
            <w:pPr>
              <w:ind w:left="4080"/>
              <w:spacing w:after="0" w:line="149" w:lineRule="exact"/>
              <w:rPr>
                <w:sz w:val="20"/>
                <w:szCs w:val="20"/>
                <w:color w:val="auto"/>
              </w:rPr>
            </w:pPr>
            <w:r>
              <w:rPr>
                <w:rFonts w:ascii="Arial" w:cs="Arial" w:eastAsia="Arial" w:hAnsi="Arial"/>
                <w:sz w:val="14"/>
                <w:szCs w:val="14"/>
                <w:color w:val="auto"/>
              </w:rPr>
              <w:t>REGITC, Government Bill</w:t>
            </w:r>
          </w:p>
        </w:tc>
        <w:tc>
          <w:tcPr>
            <w:tcW w:w="264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756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264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7560" w:type="dxa"/>
            <w:vAlign w:val="bottom"/>
          </w:tcPr>
          <w:p>
            <w:pPr>
              <w:ind w:left="4080"/>
              <w:spacing w:after="0"/>
              <w:rPr>
                <w:sz w:val="20"/>
                <w:szCs w:val="20"/>
                <w:color w:val="auto"/>
              </w:rPr>
            </w:pPr>
            <w:r>
              <w:rPr>
                <w:rFonts w:ascii="Arial" w:cs="Arial" w:eastAsia="Arial" w:hAnsi="Arial"/>
                <w:sz w:val="14"/>
                <w:szCs w:val="14"/>
                <w:color w:val="auto"/>
              </w:rPr>
              <w:t>REGIRISH, Government Note/Bond</w:t>
            </w:r>
          </w:p>
        </w:tc>
        <w:tc>
          <w:tcPr>
            <w:tcW w:w="2640" w:type="dxa"/>
            <w:vAlign w:val="bottom"/>
          </w:tcPr>
          <w:p>
            <w:pPr>
              <w:ind w:left="1340"/>
              <w:spacing w:after="0"/>
              <w:rPr>
                <w:sz w:val="20"/>
                <w:szCs w:val="20"/>
                <w:color w:val="auto"/>
              </w:rPr>
            </w:pPr>
            <w:r>
              <w:rPr>
                <w:rFonts w:ascii="Arial" w:cs="Arial" w:eastAsia="Arial" w:hAnsi="Arial"/>
                <w:sz w:val="14"/>
                <w:szCs w:val="14"/>
                <w:color w:val="auto"/>
              </w:rPr>
              <w:t>Composite Quote</w:t>
            </w:r>
          </w:p>
        </w:tc>
      </w:tr>
      <w:tr>
        <w:trPr>
          <w:trHeight w:val="633"/>
        </w:trPr>
        <w:tc>
          <w:tcPr>
            <w:tcW w:w="10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jc w:val="right"/>
              <w:ind w:right="388"/>
              <w:spacing w:after="0"/>
              <w:rPr>
                <w:sz w:val="20"/>
                <w:szCs w:val="20"/>
                <w:color w:val="auto"/>
              </w:rPr>
            </w:pPr>
            <w:r>
              <w:rPr>
                <w:rFonts w:ascii="Arial" w:cs="Arial" w:eastAsia="Arial" w:hAnsi="Arial"/>
                <w:sz w:val="14"/>
                <w:szCs w:val="14"/>
                <w:b w:val="1"/>
                <w:bCs w:val="1"/>
                <w:color w:val="auto"/>
              </w:rPr>
              <w:t>2</w:t>
            </w:r>
          </w:p>
        </w:tc>
        <w:tc>
          <w:tcPr>
            <w:tcW w:w="8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8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520"/>
              <w:spacing w:after="0"/>
              <w:rPr>
                <w:sz w:val="20"/>
                <w:szCs w:val="20"/>
                <w:color w:val="auto"/>
              </w:rPr>
            </w:pPr>
            <w:r>
              <w:rPr>
                <w:rFonts w:ascii="Arial" w:cs="Arial" w:eastAsia="Arial" w:hAnsi="Arial"/>
                <w:sz w:val="14"/>
                <w:szCs w:val="14"/>
                <w:b w:val="1"/>
                <w:bCs w:val="1"/>
                <w:color w:val="auto"/>
              </w:rPr>
              <w:t>5</w:t>
            </w:r>
          </w:p>
        </w:tc>
        <w:tc>
          <w:tcPr>
            <w:tcW w:w="4560" w:type="dxa"/>
            <w:vAlign w:val="bottom"/>
            <w:shd w:val="clear" w:color="auto" w:fill="EEECE1"/>
          </w:tcPr>
          <w:p>
            <w:pPr>
              <w:ind w:left="500"/>
              <w:spacing w:after="0"/>
              <w:rPr>
                <w:sz w:val="20"/>
                <w:szCs w:val="20"/>
                <w:color w:val="auto"/>
              </w:rPr>
            </w:pPr>
            <w:r>
              <w:rPr>
                <w:rFonts w:ascii="Arial" w:cs="Arial" w:eastAsia="Arial" w:hAnsi="Arial"/>
                <w:sz w:val="14"/>
                <w:szCs w:val="14"/>
                <w:color w:val="auto"/>
              </w:rPr>
              <w:t>6</w:t>
            </w:r>
          </w:p>
        </w:tc>
        <w:tc>
          <w:tcPr>
            <w:tcW w:w="20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gridSpan w:val="3"/>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6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4560" w:type="dxa"/>
            <w:vAlign w:val="bottom"/>
            <w:shd w:val="clear" w:color="auto" w:fill="EEECE1"/>
          </w:tcPr>
          <w:p>
            <w:pPr>
              <w:spacing w:after="0"/>
              <w:rPr>
                <w:sz w:val="14"/>
                <w:szCs w:val="14"/>
                <w:color w:val="auto"/>
              </w:rPr>
            </w:pPr>
          </w:p>
        </w:tc>
        <w:tc>
          <w:tcPr>
            <w:tcW w:w="20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Greece</w:t>
            </w:r>
          </w:p>
        </w:tc>
        <w:tc>
          <w:tcPr>
            <w:tcW w:w="86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4560" w:type="dxa"/>
            <w:vAlign w:val="bottom"/>
            <w:shd w:val="clear" w:color="auto" w:fill="1F497D"/>
          </w:tcPr>
          <w:p>
            <w:pPr>
              <w:spacing w:after="0"/>
              <w:rPr>
                <w:sz w:val="12"/>
                <w:szCs w:val="12"/>
                <w:color w:val="auto"/>
              </w:rPr>
            </w:pPr>
          </w:p>
        </w:tc>
        <w:tc>
          <w:tcPr>
            <w:tcW w:w="20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EUR</w:t>
            </w:r>
          </w:p>
        </w:tc>
        <w:tc>
          <w:tcPr>
            <w:tcW w:w="1920" w:type="dxa"/>
            <w:vAlign w:val="bottom"/>
            <w:vMerge w:val="restart"/>
          </w:tcPr>
          <w:p>
            <w:pPr>
              <w:ind w:left="520"/>
              <w:spacing w:after="0"/>
              <w:rPr>
                <w:sz w:val="20"/>
                <w:szCs w:val="20"/>
                <w:color w:val="auto"/>
              </w:rPr>
            </w:pPr>
            <w:r>
              <w:rPr>
                <w:rFonts w:ascii="Arial" w:cs="Arial" w:eastAsia="Arial" w:hAnsi="Arial"/>
                <w:sz w:val="14"/>
                <w:szCs w:val="14"/>
                <w:color w:val="auto"/>
              </w:rPr>
              <w:t>Bills</w:t>
            </w:r>
          </w:p>
        </w:tc>
        <w:tc>
          <w:tcPr>
            <w:tcW w:w="4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4560" w:type="dxa"/>
            <w:vAlign w:val="bottom"/>
            <w:vMerge w:val="restart"/>
          </w:tcPr>
          <w:p>
            <w:pPr>
              <w:ind w:left="500"/>
              <w:spacing w:after="0"/>
              <w:rPr>
                <w:sz w:val="20"/>
                <w:szCs w:val="20"/>
                <w:color w:val="auto"/>
              </w:rPr>
            </w:pPr>
            <w:r>
              <w:rPr>
                <w:rFonts w:ascii="Arial" w:cs="Arial" w:eastAsia="Arial" w:hAnsi="Arial"/>
                <w:sz w:val="14"/>
                <w:szCs w:val="14"/>
                <w:color w:val="auto"/>
              </w:rPr>
              <w:t>REGGTB, Hellenic Treasury Bill</w:t>
            </w:r>
          </w:p>
        </w:tc>
        <w:tc>
          <w:tcPr>
            <w:tcW w:w="2060" w:type="dxa"/>
            <w:vAlign w:val="bottom"/>
            <w:vMerge w:val="restart"/>
          </w:tcPr>
          <w:p>
            <w:pPr>
              <w:ind w:left="7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restart"/>
          </w:tcPr>
          <w:p>
            <w:pPr>
              <w:ind w:left="520"/>
              <w:spacing w:after="0"/>
              <w:rPr>
                <w:sz w:val="20"/>
                <w:szCs w:val="20"/>
                <w:color w:val="auto"/>
              </w:rPr>
            </w:pPr>
            <w:r>
              <w:rPr>
                <w:rFonts w:ascii="Arial" w:cs="Arial" w:eastAsia="Arial" w:hAnsi="Arial"/>
                <w:sz w:val="14"/>
                <w:szCs w:val="14"/>
                <w:color w:val="auto"/>
              </w:rPr>
              <w:t>Notes &amp; Bonds</w:t>
            </w:r>
          </w:p>
        </w:tc>
        <w:tc>
          <w:tcPr>
            <w:tcW w:w="456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4560" w:type="dxa"/>
            <w:vAlign w:val="bottom"/>
            <w:vMerge w:val="restart"/>
          </w:tcPr>
          <w:p>
            <w:pPr>
              <w:ind w:left="500"/>
              <w:spacing w:after="0"/>
              <w:rPr>
                <w:sz w:val="20"/>
                <w:szCs w:val="20"/>
                <w:color w:val="auto"/>
              </w:rPr>
            </w:pPr>
            <w:r>
              <w:rPr>
                <w:rFonts w:ascii="Arial" w:cs="Arial" w:eastAsia="Arial" w:hAnsi="Arial"/>
                <w:sz w:val="14"/>
                <w:szCs w:val="14"/>
                <w:color w:val="auto"/>
              </w:rPr>
              <w:t>REGGGB, Government Note/Bond</w:t>
            </w:r>
          </w:p>
        </w:tc>
        <w:tc>
          <w:tcPr>
            <w:tcW w:w="2060" w:type="dxa"/>
            <w:vAlign w:val="bottom"/>
            <w:vMerge w:val="restart"/>
          </w:tcPr>
          <w:p>
            <w:pPr>
              <w:ind w:left="7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restart"/>
          </w:tcPr>
          <w:p>
            <w:pPr>
              <w:ind w:left="520"/>
              <w:spacing w:after="0"/>
              <w:rPr>
                <w:sz w:val="20"/>
                <w:szCs w:val="20"/>
                <w:color w:val="auto"/>
              </w:rPr>
            </w:pPr>
            <w:r>
              <w:rPr>
                <w:rFonts w:ascii="Arial" w:cs="Arial" w:eastAsia="Arial" w:hAnsi="Arial"/>
                <w:sz w:val="14"/>
                <w:szCs w:val="14"/>
                <w:color w:val="auto"/>
              </w:rPr>
              <w:t>ILBs</w:t>
            </w:r>
          </w:p>
        </w:tc>
        <w:tc>
          <w:tcPr>
            <w:tcW w:w="456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4560" w:type="dxa"/>
            <w:vAlign w:val="bottom"/>
            <w:vMerge w:val="restart"/>
          </w:tcPr>
          <w:p>
            <w:pPr>
              <w:ind w:left="500"/>
              <w:spacing w:after="0"/>
              <w:rPr>
                <w:sz w:val="20"/>
                <w:szCs w:val="20"/>
                <w:color w:val="auto"/>
              </w:rPr>
            </w:pPr>
            <w:r>
              <w:rPr>
                <w:rFonts w:ascii="Arial" w:cs="Arial" w:eastAsia="Arial" w:hAnsi="Arial"/>
                <w:sz w:val="14"/>
                <w:szCs w:val="14"/>
                <w:color w:val="auto"/>
              </w:rPr>
              <w:t>REGGGBEI, Inflation Indexed Note/Bond – HICP Index</w:t>
            </w:r>
          </w:p>
        </w:tc>
        <w:tc>
          <w:tcPr>
            <w:tcW w:w="2060" w:type="dxa"/>
            <w:vAlign w:val="bottom"/>
            <w:vMerge w:val="restart"/>
          </w:tcPr>
          <w:p>
            <w:pPr>
              <w:ind w:left="7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280" w:type="dxa"/>
            <w:vAlign w:val="bottom"/>
            <w:shd w:val="clear" w:color="auto" w:fill="1F497D"/>
          </w:tcPr>
          <w:p>
            <w:pPr>
              <w:ind w:left="40"/>
              <w:spacing w:after="0"/>
              <w:rPr>
                <w:sz w:val="20"/>
                <w:szCs w:val="20"/>
                <w:color w:val="auto"/>
              </w:rPr>
            </w:pPr>
            <w:r>
              <w:rPr>
                <w:rFonts w:ascii="Arial" w:cs="Arial" w:eastAsia="Arial" w:hAnsi="Arial"/>
                <w:sz w:val="14"/>
                <w:szCs w:val="14"/>
                <w:b w:val="1"/>
                <w:bCs w:val="1"/>
                <w:color w:val="FFFFFF"/>
              </w:rPr>
              <w:t>Denmark</w:t>
            </w:r>
          </w:p>
        </w:tc>
        <w:tc>
          <w:tcPr>
            <w:tcW w:w="1920" w:type="dxa"/>
            <w:vAlign w:val="bottom"/>
            <w:shd w:val="clear" w:color="auto" w:fill="1F497D"/>
          </w:tcPr>
          <w:p>
            <w:pPr>
              <w:spacing w:after="0"/>
              <w:rPr>
                <w:sz w:val="14"/>
                <w:szCs w:val="14"/>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4080"/>
              <w:spacing w:after="0" w:line="149" w:lineRule="exact"/>
              <w:rPr>
                <w:sz w:val="20"/>
                <w:szCs w:val="20"/>
                <w:color w:val="auto"/>
              </w:rPr>
            </w:pPr>
            <w:r>
              <w:rPr>
                <w:rFonts w:ascii="Arial" w:cs="Arial" w:eastAsia="Arial" w:hAnsi="Arial"/>
                <w:sz w:val="14"/>
                <w:szCs w:val="14"/>
                <w:color w:val="auto"/>
              </w:rPr>
              <w:t>REGDGB, Government Bond/Note</w:t>
            </w:r>
          </w:p>
        </w:tc>
        <w:tc>
          <w:tcPr>
            <w:tcW w:w="1920" w:type="dxa"/>
            <w:vAlign w:val="bottom"/>
          </w:tcPr>
          <w:p>
            <w:pPr>
              <w:ind w:left="62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ILBs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REGDBGI, Index Linked Bonds</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Norway</w:t>
            </w:r>
          </w:p>
        </w:tc>
        <w:tc>
          <w:tcPr>
            <w:tcW w:w="192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REGNGB, Government Bonds</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Slovenia</w:t>
            </w:r>
          </w:p>
        </w:tc>
        <w:tc>
          <w:tcPr>
            <w:tcW w:w="192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REGSVN, Government Bond</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Slovakia</w:t>
            </w:r>
          </w:p>
        </w:tc>
        <w:tc>
          <w:tcPr>
            <w:tcW w:w="192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REGSLO, Government Note/Bond</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United Kingdom</w:t>
            </w:r>
          </w:p>
        </w:tc>
        <w:tc>
          <w:tcPr>
            <w:tcW w:w="192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GBP</w:t>
            </w: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Bills</w:t>
            </w:r>
          </w:p>
        </w:tc>
        <w:tc>
          <w:tcPr>
            <w:tcW w:w="19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4080"/>
              <w:spacing w:after="0" w:line="149" w:lineRule="exact"/>
              <w:rPr>
                <w:sz w:val="20"/>
                <w:szCs w:val="20"/>
                <w:color w:val="auto"/>
              </w:rPr>
            </w:pPr>
            <w:r>
              <w:rPr>
                <w:rFonts w:ascii="Arial" w:cs="Arial" w:eastAsia="Arial" w:hAnsi="Arial"/>
                <w:sz w:val="14"/>
                <w:szCs w:val="14"/>
                <w:color w:val="auto"/>
              </w:rPr>
              <w:t>REGUKTB, Gilt Bills</w:t>
            </w:r>
          </w:p>
        </w:tc>
        <w:tc>
          <w:tcPr>
            <w:tcW w:w="1920" w:type="dxa"/>
            <w:vAlign w:val="bottom"/>
          </w:tcPr>
          <w:p>
            <w:pPr>
              <w:ind w:left="62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4080"/>
              <w:spacing w:after="0" w:line="149" w:lineRule="exact"/>
              <w:rPr>
                <w:sz w:val="20"/>
                <w:szCs w:val="20"/>
                <w:color w:val="auto"/>
              </w:rPr>
            </w:pPr>
            <w:r>
              <w:rPr>
                <w:rFonts w:ascii="Arial" w:cs="Arial" w:eastAsia="Arial" w:hAnsi="Arial"/>
                <w:sz w:val="14"/>
                <w:szCs w:val="14"/>
                <w:color w:val="auto"/>
              </w:rPr>
              <w:t>REGUKT, Gilts</w:t>
            </w:r>
          </w:p>
        </w:tc>
        <w:tc>
          <w:tcPr>
            <w:tcW w:w="1920" w:type="dxa"/>
            <w:vAlign w:val="bottom"/>
          </w:tcPr>
          <w:p>
            <w:pPr>
              <w:ind w:left="6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ILBs</w:t>
            </w:r>
          </w:p>
        </w:tc>
        <w:tc>
          <w:tcPr>
            <w:tcW w:w="19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4080"/>
              <w:spacing w:after="0" w:line="149" w:lineRule="exact"/>
              <w:rPr>
                <w:sz w:val="20"/>
                <w:szCs w:val="20"/>
                <w:color w:val="auto"/>
              </w:rPr>
            </w:pPr>
            <w:r>
              <w:rPr>
                <w:rFonts w:ascii="Arial" w:cs="Arial" w:eastAsia="Arial" w:hAnsi="Arial"/>
                <w:sz w:val="14"/>
                <w:szCs w:val="14"/>
                <w:color w:val="auto"/>
              </w:rPr>
              <w:t>REGUKTI, Inflation Indexed Note/Bond – UK All RPI Index</w:t>
            </w:r>
          </w:p>
        </w:tc>
        <w:tc>
          <w:tcPr>
            <w:tcW w:w="1920" w:type="dxa"/>
            <w:vAlign w:val="bottom"/>
          </w:tcPr>
          <w:p>
            <w:pPr>
              <w:ind w:left="62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REGUKGI, Inflation Indexed Note/Bond – UK All RPI Index</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2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Sweden</w:t>
            </w:r>
          </w:p>
        </w:tc>
        <w:tc>
          <w:tcPr>
            <w:tcW w:w="192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SEK</w:t>
            </w: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280" w:type="dxa"/>
            <w:vAlign w:val="bottom"/>
          </w:tcPr>
          <w:p>
            <w:pPr>
              <w:ind w:left="4080"/>
              <w:spacing w:after="0" w:line="149" w:lineRule="exact"/>
              <w:rPr>
                <w:sz w:val="20"/>
                <w:szCs w:val="20"/>
                <w:color w:val="auto"/>
              </w:rPr>
            </w:pPr>
            <w:r>
              <w:rPr>
                <w:rFonts w:ascii="Arial" w:cs="Arial" w:eastAsia="Arial" w:hAnsi="Arial"/>
                <w:sz w:val="14"/>
                <w:szCs w:val="14"/>
                <w:color w:val="auto"/>
              </w:rPr>
              <w:t>REGSGB, Government Note/Bond</w:t>
            </w:r>
          </w:p>
        </w:tc>
        <w:tc>
          <w:tcPr>
            <w:tcW w:w="1920" w:type="dxa"/>
            <w:vAlign w:val="bottom"/>
          </w:tcPr>
          <w:p>
            <w:pPr>
              <w:ind w:left="6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ILBs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REGSEI, Index Linked Notes/Bonds</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Switzerland</w:t>
            </w:r>
          </w:p>
        </w:tc>
        <w:tc>
          <w:tcPr>
            <w:tcW w:w="192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CHF</w:t>
            </w:r>
          </w:p>
        </w:tc>
        <w:tc>
          <w:tcPr>
            <w:tcW w:w="192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REGSWISS, Government Bond</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2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Hungary</w:t>
            </w:r>
          </w:p>
        </w:tc>
        <w:tc>
          <w:tcPr>
            <w:tcW w:w="192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28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192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REGHUN, Government Note/Bond</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263"/>
        </w:trPr>
        <w:tc>
          <w:tcPr>
            <w:tcW w:w="1040" w:type="dxa"/>
            <w:vAlign w:val="bottom"/>
          </w:tcPr>
          <w:p>
            <w:pPr>
              <w:spacing w:after="0"/>
              <w:rPr>
                <w:sz w:val="22"/>
                <w:szCs w:val="22"/>
                <w:color w:val="auto"/>
              </w:rPr>
            </w:pPr>
          </w:p>
        </w:tc>
        <w:tc>
          <w:tcPr>
            <w:tcW w:w="8280" w:type="dxa"/>
            <w:vAlign w:val="bottom"/>
          </w:tcPr>
          <w:p>
            <w:pPr>
              <w:ind w:left="840"/>
              <w:spacing w:after="0"/>
              <w:rPr>
                <w:sz w:val="20"/>
                <w:szCs w:val="20"/>
                <w:color w:val="auto"/>
              </w:rPr>
            </w:pPr>
            <w:r>
              <w:rPr>
                <w:rFonts w:ascii="Arial" w:cs="Arial" w:eastAsia="Arial" w:hAnsi="Arial"/>
                <w:sz w:val="14"/>
                <w:szCs w:val="14"/>
                <w:color w:val="auto"/>
              </w:rPr>
              <w:t>HUF</w:t>
            </w:r>
          </w:p>
        </w:tc>
        <w:tc>
          <w:tcPr>
            <w:tcW w:w="1920" w:type="dxa"/>
            <w:vAlign w:val="bottom"/>
          </w:tcPr>
          <w:p>
            <w:pPr>
              <w:spacing w:after="0"/>
              <w:rPr>
                <w:sz w:val="22"/>
                <w:szCs w:val="22"/>
                <w:color w:val="auto"/>
              </w:rPr>
            </w:pPr>
          </w:p>
        </w:tc>
      </w:tr>
      <w:tr>
        <w:trPr>
          <w:trHeight w:val="148"/>
        </w:trPr>
        <w:tc>
          <w:tcPr>
            <w:tcW w:w="1040" w:type="dxa"/>
            <w:vAlign w:val="bottom"/>
          </w:tcPr>
          <w:p>
            <w:pPr>
              <w:spacing w:after="0"/>
              <w:rPr>
                <w:sz w:val="12"/>
                <w:szCs w:val="12"/>
                <w:color w:val="auto"/>
              </w:rPr>
            </w:pPr>
          </w:p>
        </w:tc>
        <w:tc>
          <w:tcPr>
            <w:tcW w:w="828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92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280" w:type="dxa"/>
            <w:vAlign w:val="bottom"/>
          </w:tcPr>
          <w:p>
            <w:pPr>
              <w:ind w:left="4080"/>
              <w:spacing w:after="0"/>
              <w:rPr>
                <w:sz w:val="20"/>
                <w:szCs w:val="20"/>
                <w:color w:val="auto"/>
              </w:rPr>
            </w:pPr>
            <w:r>
              <w:rPr>
                <w:rFonts w:ascii="Arial" w:cs="Arial" w:eastAsia="Arial" w:hAnsi="Arial"/>
                <w:sz w:val="14"/>
                <w:szCs w:val="14"/>
                <w:color w:val="auto"/>
              </w:rPr>
              <w:t>REGHGB, Government Note/Bond</w:t>
            </w:r>
          </w:p>
        </w:tc>
        <w:tc>
          <w:tcPr>
            <w:tcW w:w="1920" w:type="dxa"/>
            <w:vAlign w:val="bottom"/>
          </w:tcPr>
          <w:p>
            <w:pPr>
              <w:ind w:left="620"/>
              <w:spacing w:after="0"/>
              <w:rPr>
                <w:sz w:val="20"/>
                <w:szCs w:val="20"/>
                <w:color w:val="auto"/>
              </w:rPr>
            </w:pPr>
            <w:r>
              <w:rPr>
                <w:rFonts w:ascii="Arial" w:cs="Arial" w:eastAsia="Arial" w:hAnsi="Arial"/>
                <w:sz w:val="14"/>
                <w:szCs w:val="14"/>
                <w:color w:val="auto"/>
              </w:rPr>
              <w:t>Composite Quote</w:t>
            </w:r>
          </w:p>
        </w:tc>
      </w:tr>
      <w:tr>
        <w:trPr>
          <w:trHeight w:val="633"/>
        </w:trPr>
        <w:tc>
          <w:tcPr>
            <w:tcW w:w="10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276" w:name="page277"/>
    <w:bookmarkEnd w:id="2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jc w:val="right"/>
              <w:ind w:right="388"/>
              <w:spacing w:after="0"/>
              <w:rPr>
                <w:sz w:val="20"/>
                <w:szCs w:val="20"/>
                <w:color w:val="auto"/>
              </w:rPr>
            </w:pPr>
            <w:r>
              <w:rPr>
                <w:rFonts w:ascii="Arial" w:cs="Arial" w:eastAsia="Arial" w:hAnsi="Arial"/>
                <w:sz w:val="14"/>
                <w:szCs w:val="14"/>
                <w:b w:val="1"/>
                <w:bCs w:val="1"/>
                <w:color w:val="auto"/>
              </w:rPr>
              <w:t>2</w:t>
            </w:r>
          </w:p>
        </w:tc>
        <w:tc>
          <w:tcPr>
            <w:tcW w:w="8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8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8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4020" w:type="dxa"/>
            <w:vAlign w:val="bottom"/>
            <w:shd w:val="clear" w:color="auto" w:fill="EEECE1"/>
          </w:tcPr>
          <w:p>
            <w:pPr>
              <w:ind w:left="480"/>
              <w:spacing w:after="0"/>
              <w:rPr>
                <w:sz w:val="20"/>
                <w:szCs w:val="20"/>
                <w:color w:val="auto"/>
              </w:rPr>
            </w:pPr>
            <w:r>
              <w:rPr>
                <w:rFonts w:ascii="Arial" w:cs="Arial" w:eastAsia="Arial" w:hAnsi="Arial"/>
                <w:sz w:val="14"/>
                <w:szCs w:val="14"/>
                <w:color w:val="auto"/>
              </w:rPr>
              <w:t>6</w:t>
            </w:r>
          </w:p>
        </w:tc>
        <w:tc>
          <w:tcPr>
            <w:tcW w:w="25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gridSpan w:val="3"/>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20" w:type="dxa"/>
            <w:vAlign w:val="bottom"/>
            <w:shd w:val="clear" w:color="auto" w:fill="EEECE1"/>
          </w:tcPr>
          <w:p>
            <w:pPr>
              <w:spacing w:after="0"/>
              <w:rPr>
                <w:sz w:val="14"/>
                <w:szCs w:val="14"/>
                <w:color w:val="auto"/>
              </w:rPr>
            </w:pPr>
          </w:p>
        </w:tc>
        <w:tc>
          <w:tcPr>
            <w:tcW w:w="1980" w:type="dxa"/>
            <w:vAlign w:val="bottom"/>
            <w:shd w:val="clear" w:color="auto" w:fill="EEECE1"/>
          </w:tcPr>
          <w:p>
            <w:pPr>
              <w:spacing w:after="0"/>
              <w:rPr>
                <w:sz w:val="14"/>
                <w:szCs w:val="14"/>
                <w:color w:val="auto"/>
              </w:rPr>
            </w:pPr>
          </w:p>
        </w:tc>
        <w:tc>
          <w:tcPr>
            <w:tcW w:w="4020" w:type="dxa"/>
            <w:vAlign w:val="bottom"/>
            <w:shd w:val="clear" w:color="auto" w:fill="EEECE1"/>
          </w:tcPr>
          <w:p>
            <w:pPr>
              <w:spacing w:after="0"/>
              <w:rPr>
                <w:sz w:val="14"/>
                <w:szCs w:val="14"/>
                <w:color w:val="auto"/>
              </w:rPr>
            </w:pPr>
          </w:p>
        </w:tc>
        <w:tc>
          <w:tcPr>
            <w:tcW w:w="25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Japan</w:t>
            </w:r>
          </w:p>
        </w:tc>
        <w:tc>
          <w:tcPr>
            <w:tcW w:w="820" w:type="dxa"/>
            <w:vAlign w:val="bottom"/>
            <w:shd w:val="clear" w:color="auto" w:fill="1F497D"/>
          </w:tcPr>
          <w:p>
            <w:pPr>
              <w:spacing w:after="0"/>
              <w:rPr>
                <w:sz w:val="12"/>
                <w:szCs w:val="12"/>
                <w:color w:val="auto"/>
              </w:rPr>
            </w:pPr>
          </w:p>
        </w:tc>
        <w:tc>
          <w:tcPr>
            <w:tcW w:w="1980" w:type="dxa"/>
            <w:vAlign w:val="bottom"/>
            <w:shd w:val="clear" w:color="auto" w:fill="1F497D"/>
          </w:tcPr>
          <w:p>
            <w:pPr>
              <w:spacing w:after="0"/>
              <w:rPr>
                <w:sz w:val="12"/>
                <w:szCs w:val="12"/>
                <w:color w:val="auto"/>
              </w:rPr>
            </w:pPr>
          </w:p>
        </w:tc>
        <w:tc>
          <w:tcPr>
            <w:tcW w:w="4020" w:type="dxa"/>
            <w:vAlign w:val="bottom"/>
            <w:shd w:val="clear" w:color="auto" w:fill="1F497D"/>
          </w:tcPr>
          <w:p>
            <w:pPr>
              <w:spacing w:after="0"/>
              <w:rPr>
                <w:sz w:val="12"/>
                <w:szCs w:val="12"/>
                <w:color w:val="auto"/>
              </w:rPr>
            </w:pPr>
          </w:p>
        </w:tc>
        <w:tc>
          <w:tcPr>
            <w:tcW w:w="25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rPr>
              <w:t>JPY</w:t>
            </w:r>
          </w:p>
        </w:tc>
        <w:tc>
          <w:tcPr>
            <w:tcW w:w="1980" w:type="dxa"/>
            <w:vAlign w:val="bottom"/>
            <w:vMerge w:val="restart"/>
          </w:tcPr>
          <w:p>
            <w:pPr>
              <w:ind w:left="560"/>
              <w:spacing w:after="0"/>
              <w:rPr>
                <w:sz w:val="20"/>
                <w:szCs w:val="20"/>
                <w:color w:val="auto"/>
              </w:rPr>
            </w:pPr>
            <w:r>
              <w:rPr>
                <w:rFonts w:ascii="Arial" w:cs="Arial" w:eastAsia="Arial" w:hAnsi="Arial"/>
                <w:sz w:val="14"/>
                <w:szCs w:val="14"/>
                <w:color w:val="auto"/>
              </w:rPr>
              <w:t>Bills</w:t>
            </w:r>
          </w:p>
        </w:tc>
        <w:tc>
          <w:tcPr>
            <w:tcW w:w="40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4020" w:type="dxa"/>
            <w:vAlign w:val="bottom"/>
            <w:vMerge w:val="restart"/>
          </w:tcPr>
          <w:p>
            <w:pPr>
              <w:ind w:left="480"/>
              <w:spacing w:after="0"/>
              <w:rPr>
                <w:sz w:val="20"/>
                <w:szCs w:val="20"/>
                <w:color w:val="auto"/>
              </w:rPr>
            </w:pPr>
            <w:r>
              <w:rPr>
                <w:rFonts w:ascii="Arial" w:cs="Arial" w:eastAsia="Arial" w:hAnsi="Arial"/>
                <w:sz w:val="14"/>
                <w:szCs w:val="14"/>
                <w:color w:val="auto"/>
              </w:rPr>
              <w:t>REGJBILL, On the Run</w:t>
            </w:r>
          </w:p>
        </w:tc>
        <w:tc>
          <w:tcPr>
            <w:tcW w:w="2580" w:type="dxa"/>
            <w:vAlign w:val="bottom"/>
            <w:vMerge w:val="restart"/>
          </w:tcPr>
          <w:p>
            <w:pPr>
              <w:ind w:left="12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80" w:type="dxa"/>
            <w:vAlign w:val="bottom"/>
            <w:vMerge w:val="restart"/>
          </w:tcPr>
          <w:p>
            <w:pPr>
              <w:ind w:left="560"/>
              <w:spacing w:after="0"/>
              <w:rPr>
                <w:sz w:val="20"/>
                <w:szCs w:val="20"/>
                <w:color w:val="auto"/>
              </w:rPr>
            </w:pPr>
            <w:r>
              <w:rPr>
                <w:rFonts w:ascii="Arial" w:cs="Arial" w:eastAsia="Arial" w:hAnsi="Arial"/>
                <w:sz w:val="14"/>
                <w:szCs w:val="14"/>
                <w:color w:val="auto"/>
              </w:rPr>
              <w:t>Notes &amp; Bonds</w:t>
            </w:r>
          </w:p>
        </w:tc>
        <w:tc>
          <w:tcPr>
            <w:tcW w:w="4020" w:type="dxa"/>
            <w:vAlign w:val="bottom"/>
          </w:tcPr>
          <w:p>
            <w:pPr>
              <w:ind w:left="480"/>
              <w:spacing w:after="0"/>
              <w:rPr>
                <w:sz w:val="20"/>
                <w:szCs w:val="20"/>
                <w:color w:val="auto"/>
              </w:rPr>
            </w:pPr>
            <w:r>
              <w:rPr>
                <w:rFonts w:ascii="Arial" w:cs="Arial" w:eastAsia="Arial" w:hAnsi="Arial"/>
                <w:sz w:val="14"/>
                <w:szCs w:val="14"/>
                <w:color w:val="auto"/>
              </w:rPr>
              <w:t>REGJBILL, Off the Run</w:t>
            </w:r>
          </w:p>
        </w:tc>
        <w:tc>
          <w:tcPr>
            <w:tcW w:w="2580" w:type="dxa"/>
            <w:vAlign w:val="bottom"/>
          </w:tcPr>
          <w:p>
            <w:pPr>
              <w:ind w:left="12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4020" w:type="dxa"/>
            <w:vAlign w:val="bottom"/>
            <w:vMerge w:val="restart"/>
          </w:tcPr>
          <w:p>
            <w:pPr>
              <w:ind w:left="480"/>
              <w:spacing w:after="0"/>
              <w:rPr>
                <w:sz w:val="20"/>
                <w:szCs w:val="20"/>
                <w:color w:val="auto"/>
              </w:rPr>
            </w:pPr>
            <w:r>
              <w:rPr>
                <w:rFonts w:ascii="Arial" w:cs="Arial" w:eastAsia="Arial" w:hAnsi="Arial"/>
                <w:sz w:val="14"/>
                <w:szCs w:val="14"/>
                <w:color w:val="auto"/>
              </w:rPr>
              <w:t>REGJNOTE, On the Run</w:t>
            </w:r>
          </w:p>
        </w:tc>
        <w:tc>
          <w:tcPr>
            <w:tcW w:w="2580" w:type="dxa"/>
            <w:vAlign w:val="bottom"/>
            <w:vMerge w:val="restart"/>
          </w:tcPr>
          <w:p>
            <w:pPr>
              <w:ind w:left="12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80" w:type="dxa"/>
            <w:vAlign w:val="bottom"/>
            <w:vMerge w:val="restart"/>
          </w:tcPr>
          <w:p>
            <w:pPr>
              <w:ind w:left="560"/>
              <w:spacing w:after="0"/>
              <w:rPr>
                <w:sz w:val="20"/>
                <w:szCs w:val="20"/>
                <w:color w:val="auto"/>
              </w:rPr>
            </w:pPr>
            <w:r>
              <w:rPr>
                <w:rFonts w:ascii="Arial" w:cs="Arial" w:eastAsia="Arial" w:hAnsi="Arial"/>
                <w:sz w:val="14"/>
                <w:szCs w:val="14"/>
                <w:color w:val="auto"/>
              </w:rPr>
              <w:t>ILBs</w:t>
            </w:r>
          </w:p>
        </w:tc>
        <w:tc>
          <w:tcPr>
            <w:tcW w:w="4020" w:type="dxa"/>
            <w:vAlign w:val="bottom"/>
          </w:tcPr>
          <w:p>
            <w:pPr>
              <w:ind w:left="480"/>
              <w:spacing w:after="0"/>
              <w:rPr>
                <w:sz w:val="20"/>
                <w:szCs w:val="20"/>
                <w:color w:val="auto"/>
              </w:rPr>
            </w:pPr>
            <w:r>
              <w:rPr>
                <w:rFonts w:ascii="Arial" w:cs="Arial" w:eastAsia="Arial" w:hAnsi="Arial"/>
                <w:sz w:val="14"/>
                <w:szCs w:val="14"/>
                <w:color w:val="auto"/>
              </w:rPr>
              <w:t>REGJNOTE, Off the Run</w:t>
            </w:r>
          </w:p>
        </w:tc>
        <w:tc>
          <w:tcPr>
            <w:tcW w:w="2580" w:type="dxa"/>
            <w:vAlign w:val="bottom"/>
          </w:tcPr>
          <w:p>
            <w:pPr>
              <w:ind w:left="12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4020" w:type="dxa"/>
            <w:vAlign w:val="bottom"/>
            <w:vMerge w:val="restart"/>
          </w:tcPr>
          <w:p>
            <w:pPr>
              <w:ind w:left="480"/>
              <w:spacing w:after="0"/>
              <w:rPr>
                <w:sz w:val="20"/>
                <w:szCs w:val="20"/>
                <w:color w:val="auto"/>
              </w:rPr>
            </w:pPr>
            <w:r>
              <w:rPr>
                <w:rFonts w:ascii="Arial" w:cs="Arial" w:eastAsia="Arial" w:hAnsi="Arial"/>
                <w:sz w:val="14"/>
                <w:szCs w:val="14"/>
                <w:color w:val="auto"/>
              </w:rPr>
              <w:t>REGJILB, Index Linked Bond &amp; Note</w:t>
            </w:r>
          </w:p>
        </w:tc>
        <w:tc>
          <w:tcPr>
            <w:tcW w:w="2580" w:type="dxa"/>
            <w:vAlign w:val="bottom"/>
            <w:vMerge w:val="restart"/>
          </w:tcPr>
          <w:p>
            <w:pPr>
              <w:ind w:left="12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500" w:type="dxa"/>
            <w:vAlign w:val="bottom"/>
            <w:shd w:val="clear" w:color="auto" w:fill="1F497D"/>
          </w:tcPr>
          <w:p>
            <w:pPr>
              <w:ind w:left="40"/>
              <w:spacing w:after="0"/>
              <w:rPr>
                <w:sz w:val="20"/>
                <w:szCs w:val="20"/>
                <w:color w:val="auto"/>
              </w:rPr>
            </w:pPr>
            <w:r>
              <w:rPr>
                <w:rFonts w:ascii="Arial" w:cs="Arial" w:eastAsia="Arial" w:hAnsi="Arial"/>
                <w:sz w:val="14"/>
                <w:szCs w:val="14"/>
                <w:b w:val="1"/>
                <w:bCs w:val="1"/>
                <w:color w:val="FFFFFF"/>
              </w:rPr>
              <w:t>Australia</w:t>
            </w:r>
          </w:p>
        </w:tc>
        <w:tc>
          <w:tcPr>
            <w:tcW w:w="1700" w:type="dxa"/>
            <w:vAlign w:val="bottom"/>
            <w:shd w:val="clear" w:color="auto" w:fill="1F497D"/>
          </w:tcPr>
          <w:p>
            <w:pPr>
              <w:spacing w:after="0"/>
              <w:rPr>
                <w:sz w:val="14"/>
                <w:szCs w:val="14"/>
                <w:color w:val="auto"/>
              </w:rPr>
            </w:pPr>
          </w:p>
        </w:tc>
      </w:tr>
      <w:tr>
        <w:trPr>
          <w:trHeight w:val="130"/>
        </w:trPr>
        <w:tc>
          <w:tcPr>
            <w:tcW w:w="1040" w:type="dxa"/>
            <w:vAlign w:val="bottom"/>
          </w:tcPr>
          <w:p>
            <w:pPr>
              <w:spacing w:after="0"/>
              <w:rPr>
                <w:sz w:val="11"/>
                <w:szCs w:val="11"/>
                <w:color w:val="auto"/>
              </w:rPr>
            </w:pPr>
          </w:p>
        </w:tc>
        <w:tc>
          <w:tcPr>
            <w:tcW w:w="8500" w:type="dxa"/>
            <w:vAlign w:val="bottom"/>
          </w:tcPr>
          <w:p>
            <w:pPr>
              <w:ind w:left="840"/>
              <w:spacing w:after="0" w:line="130" w:lineRule="exact"/>
              <w:rPr>
                <w:sz w:val="20"/>
                <w:szCs w:val="20"/>
                <w:color w:val="auto"/>
              </w:rPr>
            </w:pPr>
            <w:r>
              <w:rPr>
                <w:rFonts w:ascii="Arial" w:cs="Arial" w:eastAsia="Arial" w:hAnsi="Arial"/>
                <w:sz w:val="14"/>
                <w:szCs w:val="14"/>
                <w:color w:val="auto"/>
              </w:rPr>
              <w:t>AUD</w:t>
            </w:r>
          </w:p>
        </w:tc>
        <w:tc>
          <w:tcPr>
            <w:tcW w:w="1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Bills</w:t>
            </w:r>
          </w:p>
        </w:tc>
        <w:tc>
          <w:tcPr>
            <w:tcW w:w="170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REGAUBILL, Government Bills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70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REGAUBOND, On the Run Government Bonds and Notes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REGAUBOND, Off the Run Government Bonds and Notes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ILBs</w:t>
            </w:r>
          </w:p>
        </w:tc>
        <w:tc>
          <w:tcPr>
            <w:tcW w:w="1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REGAUAGCI, Australian Index Linked Bonds - ACGBi</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REGAUAGCI, Australian Index Linked Bonds - AUSCAPi</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REGAUAGCI, Australian Index Linked Bonds - NSWTCi</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REGAUAGCI, Australian Index Linked Bonds - QTCi</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REGAUAGCI, Australian Index Linked Bonds - TCVi</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Agencies (Semis)*</w:t>
            </w:r>
          </w:p>
        </w:tc>
        <w:tc>
          <w:tcPr>
            <w:tcW w:w="170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REGAUAGCY, Regional/Provincial Notes and Bonds - NSWTC</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REGAUAGCY, Regional/Provincial Notes and Bonds - NSWTC-GG</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REGAUAGCY, Regional/Provincial Notes and Bonds - NTTC</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REGAUAGCY, Regional/Provincial Notes and Bonds - QTC</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REGAUAGCY, Regional/Provincial Notes and Bonds - QTC-GG</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REGAUAGCY, Regional/Provincial Notes and Bonds - TASCOR</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REGAUAGCY, Regional/Provincial Notes and Bonds - TCV</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8500" w:type="dxa"/>
            <w:vAlign w:val="bottom"/>
          </w:tcPr>
          <w:p>
            <w:pPr>
              <w:ind w:left="4080"/>
              <w:spacing w:after="0"/>
              <w:rPr>
                <w:sz w:val="20"/>
                <w:szCs w:val="20"/>
                <w:color w:val="auto"/>
              </w:rPr>
            </w:pPr>
            <w:r>
              <w:rPr>
                <w:rFonts w:ascii="Arial" w:cs="Arial" w:eastAsia="Arial" w:hAnsi="Arial"/>
                <w:sz w:val="14"/>
                <w:szCs w:val="14"/>
                <w:color w:val="auto"/>
              </w:rPr>
              <w:t>REGAUAGCY, Regional/Provincial Notes and Bonds - WATC</w:t>
            </w:r>
          </w:p>
        </w:tc>
        <w:tc>
          <w:tcPr>
            <w:tcW w:w="1700" w:type="dxa"/>
            <w:vAlign w:val="bottom"/>
          </w:tcPr>
          <w:p>
            <w:pPr>
              <w:ind w:left="40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5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New Zealand</w:t>
            </w:r>
          </w:p>
        </w:tc>
        <w:tc>
          <w:tcPr>
            <w:tcW w:w="170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500" w:type="dxa"/>
            <w:vAlign w:val="bottom"/>
          </w:tcPr>
          <w:p>
            <w:pPr>
              <w:ind w:left="840"/>
              <w:spacing w:after="0" w:line="130" w:lineRule="exact"/>
              <w:rPr>
                <w:sz w:val="20"/>
                <w:szCs w:val="20"/>
                <w:color w:val="auto"/>
              </w:rPr>
            </w:pPr>
            <w:r>
              <w:rPr>
                <w:rFonts w:ascii="Arial" w:cs="Arial" w:eastAsia="Arial" w:hAnsi="Arial"/>
                <w:sz w:val="14"/>
                <w:szCs w:val="14"/>
                <w:color w:val="auto"/>
              </w:rPr>
              <w:t>NZD</w:t>
            </w:r>
          </w:p>
        </w:tc>
        <w:tc>
          <w:tcPr>
            <w:tcW w:w="170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Bills</w:t>
            </w:r>
          </w:p>
        </w:tc>
        <w:tc>
          <w:tcPr>
            <w:tcW w:w="170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8500" w:type="dxa"/>
            <w:vAlign w:val="bottom"/>
          </w:tcPr>
          <w:p>
            <w:pPr>
              <w:ind w:left="4080"/>
              <w:spacing w:after="0" w:line="149" w:lineRule="exact"/>
              <w:rPr>
                <w:sz w:val="20"/>
                <w:szCs w:val="20"/>
                <w:color w:val="auto"/>
              </w:rPr>
            </w:pPr>
            <w:r>
              <w:rPr>
                <w:rFonts w:ascii="Arial" w:cs="Arial" w:eastAsia="Arial" w:hAnsi="Arial"/>
                <w:sz w:val="14"/>
                <w:szCs w:val="14"/>
                <w:color w:val="auto"/>
              </w:rPr>
              <w:t>REGNZGTB, Government Bills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70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500" w:type="dxa"/>
            <w:vAlign w:val="bottom"/>
          </w:tcPr>
          <w:p>
            <w:pPr>
              <w:ind w:left="4080"/>
              <w:spacing w:after="0"/>
              <w:rPr>
                <w:sz w:val="20"/>
                <w:szCs w:val="20"/>
                <w:color w:val="auto"/>
              </w:rPr>
            </w:pPr>
            <w:r>
              <w:rPr>
                <w:rFonts w:ascii="Arial" w:cs="Arial" w:eastAsia="Arial" w:hAnsi="Arial"/>
                <w:sz w:val="14"/>
                <w:szCs w:val="14"/>
                <w:color w:val="auto"/>
              </w:rPr>
              <w:t>REGNZBG, Government Bonds</w:t>
            </w:r>
          </w:p>
        </w:tc>
        <w:tc>
          <w:tcPr>
            <w:tcW w:w="1700" w:type="dxa"/>
            <w:vAlign w:val="bottom"/>
          </w:tcPr>
          <w:p>
            <w:pPr>
              <w:ind w:left="400"/>
              <w:spacing w:after="0"/>
              <w:rPr>
                <w:sz w:val="20"/>
                <w:szCs w:val="20"/>
                <w:color w:val="auto"/>
              </w:rPr>
            </w:pPr>
            <w:r>
              <w:rPr>
                <w:rFonts w:ascii="Arial" w:cs="Arial" w:eastAsia="Arial" w:hAnsi="Arial"/>
                <w:sz w:val="14"/>
                <w:szCs w:val="14"/>
                <w:color w:val="auto"/>
              </w:rPr>
              <w:t>Composite Quote</w:t>
            </w:r>
          </w:p>
        </w:tc>
      </w:tr>
      <w:tr>
        <w:trPr>
          <w:trHeight w:val="263"/>
        </w:trPr>
        <w:tc>
          <w:tcPr>
            <w:tcW w:w="1040" w:type="dxa"/>
            <w:vAlign w:val="bottom"/>
          </w:tcPr>
          <w:p>
            <w:pPr>
              <w:spacing w:after="0"/>
              <w:rPr>
                <w:sz w:val="22"/>
                <w:szCs w:val="22"/>
                <w:color w:val="auto"/>
              </w:rPr>
            </w:pPr>
          </w:p>
        </w:tc>
        <w:tc>
          <w:tcPr>
            <w:tcW w:w="8500" w:type="dxa"/>
            <w:vAlign w:val="bottom"/>
          </w:tcPr>
          <w:p>
            <w:pPr>
              <w:ind w:left="840"/>
              <w:spacing w:after="0"/>
              <w:rPr>
                <w:sz w:val="20"/>
                <w:szCs w:val="20"/>
                <w:color w:val="auto"/>
              </w:rPr>
            </w:pPr>
            <w:r>
              <w:rPr>
                <w:rFonts w:ascii="Arial" w:cs="Arial" w:eastAsia="Arial" w:hAnsi="Arial"/>
                <w:sz w:val="14"/>
                <w:szCs w:val="14"/>
                <w:color w:val="auto"/>
              </w:rPr>
              <w:t>EUR</w:t>
            </w:r>
          </w:p>
        </w:tc>
        <w:tc>
          <w:tcPr>
            <w:tcW w:w="1700" w:type="dxa"/>
            <w:vAlign w:val="bottom"/>
          </w:tcPr>
          <w:p>
            <w:pPr>
              <w:spacing w:after="0"/>
              <w:rPr>
                <w:sz w:val="22"/>
                <w:szCs w:val="22"/>
                <w:color w:val="auto"/>
              </w:rPr>
            </w:pPr>
          </w:p>
        </w:tc>
      </w:tr>
      <w:tr>
        <w:trPr>
          <w:trHeight w:val="148"/>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Notes &amp; Bonds</w:t>
            </w:r>
          </w:p>
        </w:tc>
        <w:tc>
          <w:tcPr>
            <w:tcW w:w="170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500" w:type="dxa"/>
            <w:vAlign w:val="bottom"/>
          </w:tcPr>
          <w:p>
            <w:pPr>
              <w:ind w:left="4080"/>
              <w:spacing w:after="0"/>
              <w:rPr>
                <w:sz w:val="20"/>
                <w:szCs w:val="20"/>
                <w:color w:val="auto"/>
              </w:rPr>
            </w:pPr>
            <w:r>
              <w:rPr>
                <w:rFonts w:ascii="Arial" w:cs="Arial" w:eastAsia="Arial" w:hAnsi="Arial"/>
                <w:sz w:val="14"/>
                <w:szCs w:val="14"/>
                <w:color w:val="auto"/>
              </w:rPr>
              <w:t>REGCZE, Czech Republic Government Note/Bond</w:t>
            </w:r>
          </w:p>
        </w:tc>
        <w:tc>
          <w:tcPr>
            <w:tcW w:w="1700" w:type="dxa"/>
            <w:vAlign w:val="bottom"/>
          </w:tcPr>
          <w:p>
            <w:pPr>
              <w:ind w:left="400"/>
              <w:spacing w:after="0"/>
              <w:rPr>
                <w:sz w:val="20"/>
                <w:szCs w:val="20"/>
                <w:color w:val="auto"/>
              </w:rPr>
            </w:pPr>
            <w:r>
              <w:rPr>
                <w:rFonts w:ascii="Arial" w:cs="Arial" w:eastAsia="Arial" w:hAnsi="Arial"/>
                <w:sz w:val="14"/>
                <w:szCs w:val="14"/>
                <w:color w:val="auto"/>
              </w:rPr>
              <w:t>Composite Quote</w:t>
            </w:r>
          </w:p>
        </w:tc>
      </w:tr>
      <w:tr>
        <w:trPr>
          <w:trHeight w:val="133"/>
        </w:trPr>
        <w:tc>
          <w:tcPr>
            <w:tcW w:w="104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48"/>
        </w:trPr>
        <w:tc>
          <w:tcPr>
            <w:tcW w:w="1040" w:type="dxa"/>
            <w:vAlign w:val="bottom"/>
          </w:tcPr>
          <w:p>
            <w:pPr>
              <w:spacing w:after="0"/>
              <w:rPr>
                <w:sz w:val="12"/>
                <w:szCs w:val="12"/>
                <w:color w:val="auto"/>
              </w:rPr>
            </w:pPr>
          </w:p>
        </w:tc>
        <w:tc>
          <w:tcPr>
            <w:tcW w:w="85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CEE</w:t>
            </w:r>
          </w:p>
        </w:tc>
        <w:tc>
          <w:tcPr>
            <w:tcW w:w="170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500" w:type="dxa"/>
            <w:vAlign w:val="bottom"/>
          </w:tcPr>
          <w:p>
            <w:pPr>
              <w:ind w:left="840"/>
              <w:spacing w:after="0" w:line="130" w:lineRule="exact"/>
              <w:rPr>
                <w:sz w:val="20"/>
                <w:szCs w:val="20"/>
                <w:color w:val="auto"/>
              </w:rPr>
            </w:pPr>
            <w:r>
              <w:rPr>
                <w:rFonts w:ascii="Arial" w:cs="Arial" w:eastAsia="Arial" w:hAnsi="Arial"/>
                <w:sz w:val="14"/>
                <w:szCs w:val="14"/>
                <w:color w:val="auto"/>
              </w:rPr>
              <w:t>EUR</w:t>
            </w:r>
          </w:p>
        </w:tc>
        <w:tc>
          <w:tcPr>
            <w:tcW w:w="1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500" w:type="dxa"/>
            <w:vAlign w:val="bottom"/>
          </w:tcPr>
          <w:p>
            <w:pPr>
              <w:ind w:left="2180"/>
              <w:spacing w:after="0" w:line="149" w:lineRule="exact"/>
              <w:rPr>
                <w:sz w:val="20"/>
                <w:szCs w:val="20"/>
                <w:color w:val="auto"/>
              </w:rPr>
            </w:pPr>
            <w:r>
              <w:rPr>
                <w:rFonts w:ascii="Arial" w:cs="Arial" w:eastAsia="Arial" w:hAnsi="Arial"/>
                <w:sz w:val="14"/>
                <w:szCs w:val="14"/>
                <w:color w:val="auto"/>
              </w:rPr>
              <w:t>Bill</w:t>
            </w:r>
          </w:p>
        </w:tc>
        <w:tc>
          <w:tcPr>
            <w:tcW w:w="170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500" w:type="dxa"/>
            <w:vAlign w:val="bottom"/>
          </w:tcPr>
          <w:p>
            <w:pPr>
              <w:ind w:left="4080"/>
              <w:spacing w:after="0"/>
              <w:rPr>
                <w:sz w:val="20"/>
                <w:szCs w:val="20"/>
                <w:color w:val="auto"/>
              </w:rPr>
            </w:pPr>
            <w:r>
              <w:rPr>
                <w:rFonts w:ascii="Arial" w:cs="Arial" w:eastAsia="Arial" w:hAnsi="Arial"/>
                <w:sz w:val="14"/>
                <w:szCs w:val="14"/>
                <w:color w:val="auto"/>
              </w:rPr>
              <w:t>REGEFSFBILL, European Financial Stability Nill</w:t>
            </w:r>
          </w:p>
        </w:tc>
        <w:tc>
          <w:tcPr>
            <w:tcW w:w="1700" w:type="dxa"/>
            <w:vAlign w:val="bottom"/>
          </w:tcPr>
          <w:p>
            <w:pPr>
              <w:ind w:left="400"/>
              <w:spacing w:after="0"/>
              <w:rPr>
                <w:sz w:val="20"/>
                <w:szCs w:val="20"/>
                <w:color w:val="auto"/>
              </w:rPr>
            </w:pPr>
            <w:r>
              <w:rPr>
                <w:rFonts w:ascii="Arial" w:cs="Arial" w:eastAsia="Arial" w:hAnsi="Arial"/>
                <w:sz w:val="14"/>
                <w:szCs w:val="14"/>
                <w:color w:val="auto"/>
              </w:rPr>
              <w:t>Composite Quote</w:t>
            </w:r>
          </w:p>
        </w:tc>
      </w:tr>
      <w:tr>
        <w:trPr>
          <w:trHeight w:val="633"/>
        </w:trPr>
        <w:tc>
          <w:tcPr>
            <w:tcW w:w="10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5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2</w:t>
            </w:r>
          </w:p>
        </w:tc>
        <w:tc>
          <w:tcPr>
            <w:tcW w:w="8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3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1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4160" w:type="dxa"/>
            <w:vAlign w:val="bottom"/>
            <w:shd w:val="clear" w:color="auto" w:fill="EEECE1"/>
          </w:tcPr>
          <w:p>
            <w:pPr>
              <w:ind w:left="780"/>
              <w:spacing w:after="0"/>
              <w:rPr>
                <w:sz w:val="20"/>
                <w:szCs w:val="20"/>
                <w:color w:val="auto"/>
              </w:rPr>
            </w:pPr>
            <w:r>
              <w:rPr>
                <w:rFonts w:ascii="Arial" w:cs="Arial" w:eastAsia="Arial" w:hAnsi="Arial"/>
                <w:sz w:val="14"/>
                <w:szCs w:val="14"/>
                <w:color w:val="auto"/>
              </w:rPr>
              <w:t>6</w:t>
            </w:r>
          </w:p>
        </w:tc>
        <w:tc>
          <w:tcPr>
            <w:tcW w:w="27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340" w:type="dxa"/>
            <w:vAlign w:val="bottom"/>
            <w:shd w:val="clear" w:color="auto" w:fill="EEECE1"/>
          </w:tcPr>
          <w:p>
            <w:pPr>
              <w:spacing w:after="0"/>
              <w:rPr>
                <w:sz w:val="12"/>
                <w:szCs w:val="12"/>
                <w:color w:val="auto"/>
              </w:rPr>
            </w:pPr>
          </w:p>
        </w:tc>
        <w:tc>
          <w:tcPr>
            <w:tcW w:w="1160" w:type="dxa"/>
            <w:vAlign w:val="bottom"/>
            <w:shd w:val="clear" w:color="auto" w:fill="EEECE1"/>
          </w:tcPr>
          <w:p>
            <w:pPr>
              <w:spacing w:after="0"/>
              <w:rPr>
                <w:sz w:val="12"/>
                <w:szCs w:val="12"/>
                <w:color w:val="auto"/>
              </w:rPr>
            </w:pPr>
          </w:p>
        </w:tc>
        <w:tc>
          <w:tcPr>
            <w:tcW w:w="4160" w:type="dxa"/>
            <w:vAlign w:val="bottom"/>
            <w:shd w:val="clear" w:color="auto" w:fill="EEECE1"/>
          </w:tcPr>
          <w:p>
            <w:pPr>
              <w:spacing w:after="0"/>
              <w:rPr>
                <w:sz w:val="12"/>
                <w:szCs w:val="12"/>
                <w:color w:val="auto"/>
              </w:rPr>
            </w:pPr>
          </w:p>
        </w:tc>
        <w:tc>
          <w:tcPr>
            <w:tcW w:w="27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shd w:val="clear" w:color="auto" w:fill="EEECE1"/>
          </w:tcPr>
          <w:p>
            <w:pPr>
              <w:spacing w:after="0"/>
              <w:rPr>
                <w:sz w:val="14"/>
                <w:szCs w:val="14"/>
                <w:color w:val="auto"/>
              </w:rPr>
            </w:pPr>
          </w:p>
        </w:tc>
        <w:tc>
          <w:tcPr>
            <w:tcW w:w="138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Mortgages</w:t>
            </w:r>
          </w:p>
        </w:tc>
        <w:tc>
          <w:tcPr>
            <w:tcW w:w="1340" w:type="dxa"/>
            <w:vAlign w:val="bottom"/>
            <w:shd w:val="clear" w:color="auto" w:fill="EEECE1"/>
          </w:tcPr>
          <w:p>
            <w:pPr>
              <w:spacing w:after="0"/>
              <w:rPr>
                <w:sz w:val="14"/>
                <w:szCs w:val="14"/>
                <w:color w:val="auto"/>
              </w:rPr>
            </w:pPr>
          </w:p>
        </w:tc>
        <w:tc>
          <w:tcPr>
            <w:tcW w:w="1160" w:type="dxa"/>
            <w:vAlign w:val="bottom"/>
            <w:shd w:val="clear" w:color="auto" w:fill="EEECE1"/>
          </w:tcPr>
          <w:p>
            <w:pPr>
              <w:spacing w:after="0"/>
              <w:rPr>
                <w:sz w:val="14"/>
                <w:szCs w:val="14"/>
                <w:color w:val="auto"/>
              </w:rPr>
            </w:pPr>
          </w:p>
        </w:tc>
        <w:tc>
          <w:tcPr>
            <w:tcW w:w="4160" w:type="dxa"/>
            <w:vAlign w:val="bottom"/>
            <w:shd w:val="clear" w:color="auto" w:fill="EEECE1"/>
          </w:tcPr>
          <w:p>
            <w:pPr>
              <w:spacing w:after="0"/>
              <w:rPr>
                <w:sz w:val="14"/>
                <w:szCs w:val="14"/>
                <w:color w:val="auto"/>
              </w:rPr>
            </w:pPr>
          </w:p>
        </w:tc>
        <w:tc>
          <w:tcPr>
            <w:tcW w:w="27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380" w:type="dxa"/>
            <w:vAlign w:val="bottom"/>
            <w:gridSpan w:val="2"/>
            <w:shd w:val="clear" w:color="auto" w:fill="C00000"/>
          </w:tcPr>
          <w:p>
            <w:pPr>
              <w:ind w:left="60"/>
              <w:spacing w:after="0" w:line="149" w:lineRule="exact"/>
              <w:rPr>
                <w:sz w:val="20"/>
                <w:szCs w:val="20"/>
                <w:color w:val="auto"/>
              </w:rPr>
            </w:pPr>
            <w:r>
              <w:rPr>
                <w:rFonts w:ascii="Arial" w:cs="Arial" w:eastAsia="Arial" w:hAnsi="Arial"/>
                <w:sz w:val="14"/>
                <w:szCs w:val="14"/>
                <w:b w:val="1"/>
                <w:bCs w:val="1"/>
                <w:color w:val="FFFFFF"/>
              </w:rPr>
              <w:t>Agency MBS</w:t>
            </w:r>
          </w:p>
        </w:tc>
        <w:tc>
          <w:tcPr>
            <w:tcW w:w="1340" w:type="dxa"/>
            <w:vAlign w:val="bottom"/>
            <w:shd w:val="clear" w:color="auto" w:fill="C00000"/>
          </w:tcPr>
          <w:p>
            <w:pPr>
              <w:spacing w:after="0"/>
              <w:rPr>
                <w:sz w:val="12"/>
                <w:szCs w:val="12"/>
                <w:color w:val="auto"/>
              </w:rPr>
            </w:pPr>
          </w:p>
        </w:tc>
        <w:tc>
          <w:tcPr>
            <w:tcW w:w="1160" w:type="dxa"/>
            <w:vAlign w:val="bottom"/>
            <w:shd w:val="clear" w:color="auto" w:fill="C00000"/>
          </w:tcPr>
          <w:p>
            <w:pPr>
              <w:spacing w:after="0"/>
              <w:rPr>
                <w:sz w:val="12"/>
                <w:szCs w:val="12"/>
                <w:color w:val="auto"/>
              </w:rPr>
            </w:pPr>
          </w:p>
        </w:tc>
        <w:tc>
          <w:tcPr>
            <w:tcW w:w="4160" w:type="dxa"/>
            <w:vAlign w:val="bottom"/>
            <w:shd w:val="clear" w:color="auto" w:fill="C00000"/>
          </w:tcPr>
          <w:p>
            <w:pPr>
              <w:spacing w:after="0"/>
              <w:rPr>
                <w:sz w:val="12"/>
                <w:szCs w:val="12"/>
                <w:color w:val="auto"/>
              </w:rPr>
            </w:pPr>
          </w:p>
        </w:tc>
        <w:tc>
          <w:tcPr>
            <w:tcW w:w="274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TBA</w:t>
            </w:r>
          </w:p>
        </w:tc>
        <w:tc>
          <w:tcPr>
            <w:tcW w:w="1340" w:type="dxa"/>
            <w:vAlign w:val="bottom"/>
            <w:shd w:val="clear" w:color="auto" w:fill="1F497D"/>
          </w:tcPr>
          <w:p>
            <w:pPr>
              <w:spacing w:after="0"/>
              <w:rPr>
                <w:sz w:val="12"/>
                <w:szCs w:val="12"/>
                <w:color w:val="auto"/>
              </w:rPr>
            </w:pPr>
          </w:p>
        </w:tc>
        <w:tc>
          <w:tcPr>
            <w:tcW w:w="1160" w:type="dxa"/>
            <w:vAlign w:val="bottom"/>
            <w:shd w:val="clear" w:color="auto" w:fill="1F497D"/>
          </w:tcPr>
          <w:p>
            <w:pPr>
              <w:spacing w:after="0"/>
              <w:rPr>
                <w:sz w:val="12"/>
                <w:szCs w:val="12"/>
                <w:color w:val="auto"/>
              </w:rPr>
            </w:pPr>
          </w:p>
        </w:tc>
        <w:tc>
          <w:tcPr>
            <w:tcW w:w="4160" w:type="dxa"/>
            <w:vAlign w:val="bottom"/>
            <w:shd w:val="clear" w:color="auto" w:fill="1F497D"/>
          </w:tcPr>
          <w:p>
            <w:pPr>
              <w:spacing w:after="0"/>
              <w:rPr>
                <w:sz w:val="12"/>
                <w:szCs w:val="12"/>
                <w:color w:val="auto"/>
              </w:rPr>
            </w:pPr>
          </w:p>
        </w:tc>
        <w:tc>
          <w:tcPr>
            <w:tcW w:w="27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FNMA</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TBAFNMA,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TBAFNMA,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TBAFNMA,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15YR</w:t>
            </w: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TBAFNMA,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TBAFNMA,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TBAFNMA,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PCGLD</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TBAFHLMCG,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TBAFHLMCG,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TBAFHLMCG,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15YR</w:t>
            </w: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TBAFHLMCG,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TBAFHLMCG,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TBAFHLMCG,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GNMA I</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TBAGNMA1,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TBAGNMA1,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TBAGNMA1,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15YR</w:t>
            </w: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TBAGNMA1,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TBAGNMA1,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TBAGNMA1,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GNMA II</w:t>
            </w:r>
          </w:p>
        </w:tc>
        <w:tc>
          <w:tcPr>
            <w:tcW w:w="116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TBAGNMA2,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TBAGNMA2,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TBAGNMA2,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4"/>
                <w:szCs w:val="14"/>
                <w:color w:val="auto"/>
              </w:rPr>
              <w:t>15YR</w:t>
            </w:r>
          </w:p>
        </w:tc>
        <w:tc>
          <w:tcPr>
            <w:tcW w:w="4160" w:type="dxa"/>
            <w:vAlign w:val="bottom"/>
            <w:vMerge w:val="restart"/>
          </w:tcPr>
          <w:p>
            <w:pPr>
              <w:ind w:left="780"/>
              <w:spacing w:after="0"/>
              <w:rPr>
                <w:sz w:val="20"/>
                <w:szCs w:val="20"/>
                <w:color w:val="auto"/>
              </w:rPr>
            </w:pPr>
            <w:r>
              <w:rPr>
                <w:rFonts w:ascii="Arial" w:cs="Arial" w:eastAsia="Arial" w:hAnsi="Arial"/>
                <w:sz w:val="14"/>
                <w:szCs w:val="14"/>
                <w:color w:val="auto"/>
              </w:rPr>
              <w:t>TBAGNMA2, Front Month</w:t>
            </w:r>
          </w:p>
        </w:tc>
        <w:tc>
          <w:tcPr>
            <w:tcW w:w="2740" w:type="dxa"/>
            <w:vAlign w:val="bottom"/>
            <w:vMerge w:val="restart"/>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TBAGNMA2, 1st Back Mont</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160" w:type="dxa"/>
            <w:vAlign w:val="bottom"/>
          </w:tcPr>
          <w:p>
            <w:pPr>
              <w:ind w:left="780"/>
              <w:spacing w:after="0" w:line="149" w:lineRule="exact"/>
              <w:rPr>
                <w:sz w:val="20"/>
                <w:szCs w:val="20"/>
                <w:color w:val="auto"/>
              </w:rPr>
            </w:pPr>
            <w:r>
              <w:rPr>
                <w:rFonts w:ascii="Arial" w:cs="Arial" w:eastAsia="Arial" w:hAnsi="Arial"/>
                <w:sz w:val="14"/>
                <w:szCs w:val="14"/>
                <w:color w:val="auto"/>
              </w:rPr>
              <w:t>TBAGNMA2, 2nd Back Month</w:t>
            </w:r>
          </w:p>
        </w:tc>
        <w:tc>
          <w:tcPr>
            <w:tcW w:w="2740" w:type="dxa"/>
            <w:vAlign w:val="bottom"/>
          </w:tcPr>
          <w:p>
            <w:pPr>
              <w:ind w:left="14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60" w:type="dxa"/>
            <w:vAlign w:val="bottom"/>
          </w:tcPr>
          <w:p>
            <w:pPr>
              <w:ind w:left="780"/>
              <w:spacing w:after="0"/>
              <w:rPr>
                <w:sz w:val="20"/>
                <w:szCs w:val="20"/>
                <w:color w:val="auto"/>
              </w:rPr>
            </w:pPr>
            <w:r>
              <w:rPr>
                <w:rFonts w:ascii="Arial" w:cs="Arial" w:eastAsia="Arial" w:hAnsi="Arial"/>
                <w:sz w:val="14"/>
                <w:szCs w:val="14"/>
                <w:color w:val="auto"/>
              </w:rPr>
              <w:t>TBASWAP, Rolls</w:t>
            </w:r>
          </w:p>
        </w:tc>
        <w:tc>
          <w:tcPr>
            <w:tcW w:w="2740" w:type="dxa"/>
            <w:vAlign w:val="bottom"/>
          </w:tcPr>
          <w:p>
            <w:pPr>
              <w:ind w:left="14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6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780" w:type="dxa"/>
            <w:vAlign w:val="bottom"/>
            <w:shd w:val="clear" w:color="auto" w:fill="EEECE1"/>
          </w:tcPr>
          <w:p>
            <w:pPr>
              <w:ind w:left="300"/>
              <w:spacing w:after="0"/>
              <w:rPr>
                <w:sz w:val="20"/>
                <w:szCs w:val="20"/>
                <w:color w:val="auto"/>
              </w:rPr>
            </w:pPr>
            <w:r>
              <w:rPr>
                <w:rFonts w:ascii="Arial" w:cs="Arial" w:eastAsia="Arial" w:hAnsi="Arial"/>
                <w:sz w:val="14"/>
                <w:szCs w:val="14"/>
                <w:b w:val="1"/>
                <w:bCs w:val="1"/>
                <w:color w:val="auto"/>
              </w:rPr>
              <w:t>4</w:t>
            </w:r>
          </w:p>
        </w:tc>
        <w:tc>
          <w:tcPr>
            <w:tcW w:w="4420" w:type="dxa"/>
            <w:vAlign w:val="bottom"/>
            <w:shd w:val="clear" w:color="auto" w:fill="EEECE1"/>
          </w:tcPr>
          <w:p>
            <w:pPr>
              <w:ind w:left="80"/>
              <w:spacing w:after="0"/>
              <w:rPr>
                <w:sz w:val="20"/>
                <w:szCs w:val="20"/>
                <w:color w:val="auto"/>
              </w:rPr>
            </w:pPr>
            <w:r>
              <w:rPr>
                <w:rFonts w:ascii="Arial" w:cs="Arial" w:eastAsia="Arial" w:hAnsi="Arial"/>
                <w:sz w:val="14"/>
                <w:szCs w:val="14"/>
                <w:b w:val="1"/>
                <w:bCs w:val="1"/>
                <w:color w:val="auto"/>
              </w:rPr>
              <w:t>5</w:t>
            </w:r>
          </w:p>
        </w:tc>
        <w:tc>
          <w:tcPr>
            <w:tcW w:w="2240" w:type="dxa"/>
            <w:vAlign w:val="bottom"/>
            <w:shd w:val="clear" w:color="auto" w:fill="EEECE1"/>
          </w:tcPr>
          <w:p>
            <w:pPr>
              <w:ind w:left="9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40" w:type="dxa"/>
            <w:vAlign w:val="bottom"/>
            <w:shd w:val="clear" w:color="auto" w:fill="EEECE1"/>
          </w:tcPr>
          <w:p>
            <w:pPr>
              <w:spacing w:after="0"/>
              <w:rPr>
                <w:sz w:val="12"/>
                <w:szCs w:val="12"/>
                <w:color w:val="auto"/>
              </w:rPr>
            </w:pPr>
          </w:p>
        </w:tc>
        <w:tc>
          <w:tcPr>
            <w:tcW w:w="1780" w:type="dxa"/>
            <w:vAlign w:val="bottom"/>
            <w:shd w:val="clear" w:color="auto" w:fill="EEECE1"/>
          </w:tcPr>
          <w:p>
            <w:pPr>
              <w:spacing w:after="0"/>
              <w:rPr>
                <w:sz w:val="12"/>
                <w:szCs w:val="12"/>
                <w:color w:val="auto"/>
              </w:rPr>
            </w:pPr>
          </w:p>
        </w:tc>
        <w:tc>
          <w:tcPr>
            <w:tcW w:w="4420" w:type="dxa"/>
            <w:vAlign w:val="bottom"/>
            <w:shd w:val="clear" w:color="auto" w:fill="EEECE1"/>
          </w:tcPr>
          <w:p>
            <w:pPr>
              <w:spacing w:after="0"/>
              <w:rPr>
                <w:sz w:val="12"/>
                <w:szCs w:val="12"/>
                <w:color w:val="auto"/>
              </w:rPr>
            </w:pPr>
          </w:p>
        </w:tc>
        <w:tc>
          <w:tcPr>
            <w:tcW w:w="22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EEECE1"/>
          </w:tcPr>
          <w:p>
            <w:pPr>
              <w:spacing w:after="0"/>
              <w:rPr>
                <w:sz w:val="14"/>
                <w:szCs w:val="14"/>
                <w:color w:val="auto"/>
              </w:rPr>
            </w:pPr>
          </w:p>
        </w:tc>
        <w:tc>
          <w:tcPr>
            <w:tcW w:w="12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w w:val="96"/>
              </w:rPr>
              <w:t>Global Derivatives</w:t>
            </w:r>
          </w:p>
        </w:tc>
        <w:tc>
          <w:tcPr>
            <w:tcW w:w="640" w:type="dxa"/>
            <w:vAlign w:val="bottom"/>
            <w:shd w:val="clear" w:color="auto" w:fill="EEECE1"/>
          </w:tcPr>
          <w:p>
            <w:pPr>
              <w:spacing w:after="0"/>
              <w:rPr>
                <w:sz w:val="14"/>
                <w:szCs w:val="14"/>
                <w:color w:val="auto"/>
              </w:rPr>
            </w:pPr>
          </w:p>
        </w:tc>
        <w:tc>
          <w:tcPr>
            <w:tcW w:w="1780" w:type="dxa"/>
            <w:vAlign w:val="bottom"/>
            <w:shd w:val="clear" w:color="auto" w:fill="EEECE1"/>
          </w:tcPr>
          <w:p>
            <w:pPr>
              <w:spacing w:after="0"/>
              <w:rPr>
                <w:sz w:val="14"/>
                <w:szCs w:val="14"/>
                <w:color w:val="auto"/>
              </w:rPr>
            </w:pPr>
          </w:p>
        </w:tc>
        <w:tc>
          <w:tcPr>
            <w:tcW w:w="4420" w:type="dxa"/>
            <w:vAlign w:val="bottom"/>
            <w:shd w:val="clear" w:color="auto" w:fill="EEECE1"/>
          </w:tcPr>
          <w:p>
            <w:pPr>
              <w:spacing w:after="0"/>
              <w:rPr>
                <w:sz w:val="14"/>
                <w:szCs w:val="14"/>
                <w:color w:val="auto"/>
              </w:rPr>
            </w:pPr>
          </w:p>
        </w:tc>
        <w:tc>
          <w:tcPr>
            <w:tcW w:w="22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66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North American Interest Rate Swaps</w:t>
            </w:r>
          </w:p>
        </w:tc>
        <w:tc>
          <w:tcPr>
            <w:tcW w:w="4420" w:type="dxa"/>
            <w:vAlign w:val="bottom"/>
            <w:shd w:val="clear" w:color="auto" w:fill="C00000"/>
          </w:tcPr>
          <w:p>
            <w:pPr>
              <w:spacing w:after="0"/>
              <w:rPr>
                <w:sz w:val="12"/>
                <w:szCs w:val="12"/>
                <w:color w:val="auto"/>
              </w:rPr>
            </w:pPr>
          </w:p>
        </w:tc>
        <w:tc>
          <w:tcPr>
            <w:tcW w:w="224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1780" w:type="dxa"/>
            <w:vAlign w:val="bottom"/>
            <w:shd w:val="clear" w:color="auto" w:fill="1F497D"/>
          </w:tcPr>
          <w:p>
            <w:pPr>
              <w:spacing w:after="0"/>
              <w:rPr>
                <w:sz w:val="12"/>
                <w:szCs w:val="12"/>
                <w:color w:val="auto"/>
              </w:rPr>
            </w:pPr>
          </w:p>
        </w:tc>
        <w:tc>
          <w:tcPr>
            <w:tcW w:w="4420" w:type="dxa"/>
            <w:vAlign w:val="bottom"/>
            <w:shd w:val="clear" w:color="auto" w:fill="1F497D"/>
          </w:tcPr>
          <w:p>
            <w:pPr>
              <w:spacing w:after="0"/>
              <w:rPr>
                <w:sz w:val="12"/>
                <w:szCs w:val="12"/>
                <w:color w:val="auto"/>
              </w:rPr>
            </w:pPr>
          </w:p>
        </w:tc>
        <w:tc>
          <w:tcPr>
            <w:tcW w:w="22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Bond)</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IRSUSD, vs 1M Libor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IRSUSD, vs 3M Libor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IRSUSD, vs 6M Libor</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0" w:type="dxa"/>
            <w:vAlign w:val="bottom"/>
            <w:gridSpan w:val="2"/>
          </w:tcPr>
          <w:p>
            <w:pPr>
              <w:ind w:left="300"/>
              <w:spacing w:after="0"/>
              <w:rPr>
                <w:sz w:val="20"/>
                <w:szCs w:val="20"/>
                <w:color w:val="auto"/>
              </w:rPr>
            </w:pPr>
            <w:r>
              <w:rPr>
                <w:rFonts w:ascii="Arial" w:cs="Arial" w:eastAsia="Arial" w:hAnsi="Arial"/>
                <w:sz w:val="14"/>
                <w:szCs w:val="14"/>
                <w:color w:val="auto"/>
              </w:rPr>
              <w:t>Outright Swaps (Annual Money)</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IRSUSD, vs 1M Libor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IRSUSD, vs 3M Libor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IRSUSD, vs 6M Libor</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4"/>
                <w:szCs w:val="14"/>
                <w:color w:val="auto"/>
                <w:w w:val="97"/>
              </w:rPr>
              <w:t>Swap Spreads vs TRSY</w:t>
            </w:r>
          </w:p>
        </w:tc>
        <w:tc>
          <w:tcPr>
            <w:tcW w:w="4420" w:type="dxa"/>
            <w:vAlign w:val="bottom"/>
            <w:vMerge w:val="restart"/>
          </w:tcPr>
          <w:p>
            <w:pPr>
              <w:ind w:left="80"/>
              <w:spacing w:after="0"/>
              <w:rPr>
                <w:sz w:val="20"/>
                <w:szCs w:val="20"/>
                <w:color w:val="auto"/>
              </w:rPr>
            </w:pPr>
            <w:r>
              <w:rPr>
                <w:rFonts w:ascii="Arial" w:cs="Arial" w:eastAsia="Arial" w:hAnsi="Arial"/>
                <w:sz w:val="14"/>
                <w:szCs w:val="14"/>
                <w:color w:val="auto"/>
              </w:rPr>
              <w:t>IRSUSDBENCH, OTR vs 3M Libor</w:t>
            </w:r>
          </w:p>
        </w:tc>
        <w:tc>
          <w:tcPr>
            <w:tcW w:w="2240" w:type="dxa"/>
            <w:vAlign w:val="bottom"/>
            <w:vMerge w:val="restart"/>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IRSUSDOFFBENCH, Off the Run vs 3M Libor</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4"/>
                <w:szCs w:val="14"/>
                <w:color w:val="auto"/>
              </w:rPr>
              <w:t>IMM Swaps</w:t>
            </w:r>
          </w:p>
        </w:tc>
        <w:tc>
          <w:tcPr>
            <w:tcW w:w="4420" w:type="dxa"/>
            <w:vAlign w:val="bottom"/>
            <w:vMerge w:val="restart"/>
          </w:tcPr>
          <w:p>
            <w:pPr>
              <w:ind w:left="80"/>
              <w:spacing w:after="0"/>
              <w:rPr>
                <w:sz w:val="20"/>
                <w:szCs w:val="20"/>
                <w:color w:val="auto"/>
              </w:rPr>
            </w:pPr>
            <w:r>
              <w:rPr>
                <w:rFonts w:ascii="Arial" w:cs="Arial" w:eastAsia="Arial" w:hAnsi="Arial"/>
                <w:sz w:val="14"/>
                <w:szCs w:val="14"/>
                <w:color w:val="auto"/>
              </w:rPr>
              <w:t>IRSIMM, vs 3M Libor Current Quarter</w:t>
            </w:r>
          </w:p>
        </w:tc>
        <w:tc>
          <w:tcPr>
            <w:tcW w:w="2240" w:type="dxa"/>
            <w:vAlign w:val="bottom"/>
            <w:vMerge w:val="restart"/>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IRSIMM, vs 3M Libor 2nd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IRSIMM, vs 3M Libor 3rd Quarter</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4"/>
                <w:szCs w:val="14"/>
                <w:color w:val="auto"/>
              </w:rPr>
              <w:t>MAC Swaps</w:t>
            </w:r>
          </w:p>
        </w:tc>
        <w:tc>
          <w:tcPr>
            <w:tcW w:w="4420" w:type="dxa"/>
            <w:vAlign w:val="bottom"/>
            <w:vMerge w:val="restart"/>
          </w:tcPr>
          <w:p>
            <w:pPr>
              <w:ind w:left="80"/>
              <w:spacing w:after="0"/>
              <w:rPr>
                <w:sz w:val="20"/>
                <w:szCs w:val="20"/>
                <w:color w:val="auto"/>
              </w:rPr>
            </w:pPr>
            <w:r>
              <w:rPr>
                <w:rFonts w:ascii="Arial" w:cs="Arial" w:eastAsia="Arial" w:hAnsi="Arial"/>
                <w:sz w:val="14"/>
                <w:szCs w:val="14"/>
                <w:color w:val="auto"/>
              </w:rPr>
              <w:t>IRSMACUSD, CMECurrent Quarter</w:t>
            </w:r>
          </w:p>
        </w:tc>
        <w:tc>
          <w:tcPr>
            <w:tcW w:w="2240" w:type="dxa"/>
            <w:vAlign w:val="bottom"/>
            <w:vMerge w:val="restart"/>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IRSMACUSD, CME 2nd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IRSMACUSD, CME 3rd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IRSMACUSD, LCH Current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IRSMACUSD, LCH 2nd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IRSMACUSD, LCH 3rd Quarter</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4"/>
                <w:szCs w:val="14"/>
                <w:color w:val="auto"/>
              </w:rPr>
              <w:t>OIS</w:t>
            </w:r>
          </w:p>
        </w:tc>
        <w:tc>
          <w:tcPr>
            <w:tcW w:w="4420" w:type="dxa"/>
            <w:vAlign w:val="bottom"/>
            <w:vMerge w:val="restart"/>
          </w:tcPr>
          <w:p>
            <w:pPr>
              <w:ind w:left="80"/>
              <w:spacing w:after="0"/>
              <w:rPr>
                <w:sz w:val="20"/>
                <w:szCs w:val="20"/>
                <w:color w:val="auto"/>
              </w:rPr>
            </w:pPr>
            <w:r>
              <w:rPr>
                <w:rFonts w:ascii="Arial" w:cs="Arial" w:eastAsia="Arial" w:hAnsi="Arial"/>
                <w:sz w:val="14"/>
                <w:szCs w:val="14"/>
                <w:color w:val="auto"/>
              </w:rPr>
              <w:t>OISUSD, Fed Funds Short $OIS</w:t>
            </w:r>
          </w:p>
        </w:tc>
        <w:tc>
          <w:tcPr>
            <w:tcW w:w="2240" w:type="dxa"/>
            <w:vAlign w:val="bottom"/>
            <w:vMerge w:val="restart"/>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OISLUSD, Fed Funds Long $OIS</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4"/>
                <w:szCs w:val="14"/>
                <w:color w:val="auto"/>
              </w:rPr>
              <w:t>Swap Basis</w:t>
            </w:r>
          </w:p>
        </w:tc>
        <w:tc>
          <w:tcPr>
            <w:tcW w:w="4420" w:type="dxa"/>
            <w:vAlign w:val="bottom"/>
            <w:vMerge w:val="restart"/>
          </w:tcPr>
          <w:p>
            <w:pPr>
              <w:ind w:left="80"/>
              <w:spacing w:after="0"/>
              <w:rPr>
                <w:sz w:val="20"/>
                <w:szCs w:val="20"/>
                <w:color w:val="auto"/>
              </w:rPr>
            </w:pPr>
            <w:r>
              <w:rPr>
                <w:rFonts w:ascii="Arial" w:cs="Arial" w:eastAsia="Arial" w:hAnsi="Arial"/>
                <w:sz w:val="14"/>
                <w:szCs w:val="14"/>
                <w:color w:val="auto"/>
              </w:rPr>
              <w:t>IRSUSDBAS, 1M Libor vs 3M Libor</w:t>
            </w:r>
          </w:p>
        </w:tc>
        <w:tc>
          <w:tcPr>
            <w:tcW w:w="2240" w:type="dxa"/>
            <w:vAlign w:val="bottom"/>
            <w:vMerge w:val="restart"/>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IRSUSDBAS, 3M Libor vs 6M Libor</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0" w:type="dxa"/>
            <w:vAlign w:val="bottom"/>
            <w:gridSpan w:val="2"/>
          </w:tcPr>
          <w:p>
            <w:pPr>
              <w:ind w:left="300"/>
              <w:spacing w:after="0"/>
              <w:rPr>
                <w:sz w:val="20"/>
                <w:szCs w:val="20"/>
                <w:color w:val="auto"/>
              </w:rPr>
            </w:pPr>
            <w:r>
              <w:rPr>
                <w:rFonts w:ascii="Arial" w:cs="Arial" w:eastAsia="Arial" w:hAnsi="Arial"/>
                <w:sz w:val="14"/>
                <w:szCs w:val="14"/>
                <w:color w:val="auto"/>
              </w:rPr>
              <w:t>Forward Start Swaps (Semi Bond)</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IRSFWD, USD Forward Start Swaps</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CAD</w:t>
            </w:r>
          </w:p>
        </w:tc>
        <w:tc>
          <w:tcPr>
            <w:tcW w:w="1780" w:type="dxa"/>
            <w:vAlign w:val="bottom"/>
            <w:shd w:val="clear" w:color="auto" w:fill="1F497D"/>
          </w:tcPr>
          <w:p>
            <w:pPr>
              <w:spacing w:after="0"/>
              <w:rPr>
                <w:sz w:val="12"/>
                <w:szCs w:val="12"/>
                <w:color w:val="auto"/>
              </w:rPr>
            </w:pPr>
          </w:p>
        </w:tc>
        <w:tc>
          <w:tcPr>
            <w:tcW w:w="4420" w:type="dxa"/>
            <w:vAlign w:val="bottom"/>
            <w:shd w:val="clear" w:color="auto" w:fill="1F497D"/>
          </w:tcPr>
          <w:p>
            <w:pPr>
              <w:spacing w:after="0"/>
              <w:rPr>
                <w:sz w:val="12"/>
                <w:szCs w:val="12"/>
                <w:color w:val="auto"/>
              </w:rPr>
            </w:pPr>
          </w:p>
        </w:tc>
        <w:tc>
          <w:tcPr>
            <w:tcW w:w="22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Bond)</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IRSCAD, Outright Swaps (SA Actual/365F vs 3M CDOR)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Swap Spreads vs CAN Govt</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IRSCADBENCH, OTR vs GOC</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vMerge w:val="restart"/>
          </w:tcPr>
          <w:p>
            <w:pPr>
              <w:ind w:left="300"/>
              <w:spacing w:after="0"/>
              <w:rPr>
                <w:sz w:val="20"/>
                <w:szCs w:val="20"/>
                <w:color w:val="auto"/>
              </w:rPr>
            </w:pPr>
            <w:r>
              <w:rPr>
                <w:rFonts w:ascii="Arial" w:cs="Arial" w:eastAsia="Arial" w:hAnsi="Arial"/>
                <w:sz w:val="14"/>
                <w:szCs w:val="14"/>
                <w:color w:val="auto"/>
              </w:rPr>
              <w:t>MAC Swaps</w:t>
            </w:r>
          </w:p>
        </w:tc>
        <w:tc>
          <w:tcPr>
            <w:tcW w:w="4420" w:type="dxa"/>
            <w:vAlign w:val="bottom"/>
          </w:tcPr>
          <w:p>
            <w:pPr>
              <w:ind w:left="80"/>
              <w:spacing w:after="0"/>
              <w:rPr>
                <w:sz w:val="20"/>
                <w:szCs w:val="20"/>
                <w:color w:val="auto"/>
              </w:rPr>
            </w:pPr>
            <w:r>
              <w:rPr>
                <w:rFonts w:ascii="Arial" w:cs="Arial" w:eastAsia="Arial" w:hAnsi="Arial"/>
                <w:sz w:val="14"/>
                <w:szCs w:val="14"/>
                <w:color w:val="auto"/>
              </w:rPr>
              <w:t>IRSCADOFFBENCH, Off the Run vs GOC</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4420" w:type="dxa"/>
            <w:vAlign w:val="bottom"/>
            <w:vMerge w:val="restart"/>
          </w:tcPr>
          <w:p>
            <w:pPr>
              <w:ind w:left="80"/>
              <w:spacing w:after="0"/>
              <w:rPr>
                <w:sz w:val="20"/>
                <w:szCs w:val="20"/>
                <w:color w:val="auto"/>
              </w:rPr>
            </w:pPr>
            <w:r>
              <w:rPr>
                <w:rFonts w:ascii="Arial" w:cs="Arial" w:eastAsia="Arial" w:hAnsi="Arial"/>
                <w:sz w:val="14"/>
                <w:szCs w:val="14"/>
                <w:color w:val="auto"/>
              </w:rPr>
              <w:t>IRSMACCAD, CMECurrent Quarter</w:t>
            </w:r>
          </w:p>
        </w:tc>
        <w:tc>
          <w:tcPr>
            <w:tcW w:w="2240" w:type="dxa"/>
            <w:vAlign w:val="bottom"/>
            <w:vMerge w:val="restart"/>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IRSMACCAD, CME 2nd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IRSMACCAD, CME 3rd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IRSMACCAD, LCH Current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20" w:type="dxa"/>
            <w:vAlign w:val="bottom"/>
          </w:tcPr>
          <w:p>
            <w:pPr>
              <w:ind w:left="80"/>
              <w:spacing w:after="0" w:line="149" w:lineRule="exact"/>
              <w:rPr>
                <w:sz w:val="20"/>
                <w:szCs w:val="20"/>
                <w:color w:val="auto"/>
              </w:rPr>
            </w:pPr>
            <w:r>
              <w:rPr>
                <w:rFonts w:ascii="Arial" w:cs="Arial" w:eastAsia="Arial" w:hAnsi="Arial"/>
                <w:sz w:val="14"/>
                <w:szCs w:val="14"/>
                <w:color w:val="auto"/>
              </w:rPr>
              <w:t>IRSMACCAD, LCH 2nd Quarter</w:t>
            </w:r>
          </w:p>
        </w:tc>
        <w:tc>
          <w:tcPr>
            <w:tcW w:w="2240" w:type="dxa"/>
            <w:vAlign w:val="bottom"/>
          </w:tcPr>
          <w:p>
            <w:pPr>
              <w:ind w:left="9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20" w:type="dxa"/>
            <w:vAlign w:val="bottom"/>
          </w:tcPr>
          <w:p>
            <w:pPr>
              <w:ind w:left="80"/>
              <w:spacing w:after="0"/>
              <w:rPr>
                <w:sz w:val="20"/>
                <w:szCs w:val="20"/>
                <w:color w:val="auto"/>
              </w:rPr>
            </w:pPr>
            <w:r>
              <w:rPr>
                <w:rFonts w:ascii="Arial" w:cs="Arial" w:eastAsia="Arial" w:hAnsi="Arial"/>
                <w:sz w:val="14"/>
                <w:szCs w:val="14"/>
                <w:color w:val="auto"/>
              </w:rPr>
              <w:t>IRSMACCAD, LCH 3rd Quarter</w:t>
            </w:r>
          </w:p>
        </w:tc>
        <w:tc>
          <w:tcPr>
            <w:tcW w:w="2240" w:type="dxa"/>
            <w:vAlign w:val="bottom"/>
          </w:tcPr>
          <w:p>
            <w:pPr>
              <w:ind w:left="9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6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2180" w:type="dxa"/>
            <w:vAlign w:val="bottom"/>
            <w:shd w:val="clear" w:color="auto" w:fill="EEECE1"/>
          </w:tcPr>
          <w:p>
            <w:pPr>
              <w:ind w:left="260"/>
              <w:spacing w:after="0"/>
              <w:rPr>
                <w:sz w:val="20"/>
                <w:szCs w:val="20"/>
                <w:color w:val="auto"/>
              </w:rPr>
            </w:pPr>
            <w:r>
              <w:rPr>
                <w:rFonts w:ascii="Arial" w:cs="Arial" w:eastAsia="Arial" w:hAnsi="Arial"/>
                <w:sz w:val="14"/>
                <w:szCs w:val="14"/>
                <w:b w:val="1"/>
                <w:bCs w:val="1"/>
                <w:color w:val="auto"/>
              </w:rPr>
              <w:t>4</w:t>
            </w:r>
          </w:p>
        </w:tc>
        <w:tc>
          <w:tcPr>
            <w:tcW w:w="3720" w:type="dxa"/>
            <w:vAlign w:val="bottom"/>
            <w:shd w:val="clear" w:color="auto" w:fill="EEECE1"/>
          </w:tcPr>
          <w:p>
            <w:pPr>
              <w:ind w:left="20"/>
              <w:spacing w:after="0"/>
              <w:rPr>
                <w:sz w:val="20"/>
                <w:szCs w:val="20"/>
                <w:color w:val="auto"/>
              </w:rPr>
            </w:pPr>
            <w:r>
              <w:rPr>
                <w:rFonts w:ascii="Arial" w:cs="Arial" w:eastAsia="Arial" w:hAnsi="Arial"/>
                <w:sz w:val="14"/>
                <w:szCs w:val="14"/>
                <w:b w:val="1"/>
                <w:bCs w:val="1"/>
                <w:color w:val="auto"/>
              </w:rPr>
              <w:t>5</w:t>
            </w:r>
          </w:p>
        </w:tc>
        <w:tc>
          <w:tcPr>
            <w:tcW w:w="2620" w:type="dxa"/>
            <w:vAlign w:val="bottom"/>
            <w:shd w:val="clear" w:color="auto" w:fill="EEECE1"/>
          </w:tcPr>
          <w:p>
            <w:pPr>
              <w:ind w:left="13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40" w:type="dxa"/>
            <w:vAlign w:val="bottom"/>
            <w:shd w:val="clear" w:color="auto" w:fill="EEECE1"/>
          </w:tcPr>
          <w:p>
            <w:pPr>
              <w:spacing w:after="0"/>
              <w:rPr>
                <w:sz w:val="12"/>
                <w:szCs w:val="12"/>
                <w:color w:val="auto"/>
              </w:rPr>
            </w:pPr>
          </w:p>
        </w:tc>
        <w:tc>
          <w:tcPr>
            <w:tcW w:w="2180" w:type="dxa"/>
            <w:vAlign w:val="bottom"/>
            <w:shd w:val="clear" w:color="auto" w:fill="EEECE1"/>
          </w:tcPr>
          <w:p>
            <w:pPr>
              <w:spacing w:after="0"/>
              <w:rPr>
                <w:sz w:val="12"/>
                <w:szCs w:val="12"/>
                <w:color w:val="auto"/>
              </w:rPr>
            </w:pPr>
          </w:p>
        </w:tc>
        <w:tc>
          <w:tcPr>
            <w:tcW w:w="3720" w:type="dxa"/>
            <w:vAlign w:val="bottom"/>
            <w:shd w:val="clear" w:color="auto" w:fill="EEECE1"/>
          </w:tcPr>
          <w:p>
            <w:pPr>
              <w:spacing w:after="0"/>
              <w:rPr>
                <w:sz w:val="12"/>
                <w:szCs w:val="12"/>
                <w:color w:val="auto"/>
              </w:rPr>
            </w:pPr>
          </w:p>
        </w:tc>
        <w:tc>
          <w:tcPr>
            <w:tcW w:w="26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shd w:val="clear" w:color="auto" w:fill="EEECE1"/>
          </w:tcPr>
          <w:p>
            <w:pPr>
              <w:spacing w:after="0"/>
              <w:rPr>
                <w:sz w:val="14"/>
                <w:szCs w:val="14"/>
                <w:color w:val="auto"/>
              </w:rPr>
            </w:pPr>
          </w:p>
        </w:tc>
        <w:tc>
          <w:tcPr>
            <w:tcW w:w="12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w w:val="93"/>
              </w:rPr>
              <w:t>Global Derivatives</w:t>
            </w:r>
          </w:p>
        </w:tc>
        <w:tc>
          <w:tcPr>
            <w:tcW w:w="640" w:type="dxa"/>
            <w:vAlign w:val="bottom"/>
            <w:shd w:val="clear" w:color="auto" w:fill="EEECE1"/>
          </w:tcPr>
          <w:p>
            <w:pPr>
              <w:spacing w:after="0"/>
              <w:rPr>
                <w:sz w:val="14"/>
                <w:szCs w:val="14"/>
                <w:color w:val="auto"/>
              </w:rPr>
            </w:pPr>
          </w:p>
        </w:tc>
        <w:tc>
          <w:tcPr>
            <w:tcW w:w="2180" w:type="dxa"/>
            <w:vAlign w:val="bottom"/>
            <w:shd w:val="clear" w:color="auto" w:fill="EEECE1"/>
          </w:tcPr>
          <w:p>
            <w:pPr>
              <w:spacing w:after="0"/>
              <w:rPr>
                <w:sz w:val="14"/>
                <w:szCs w:val="14"/>
                <w:color w:val="auto"/>
              </w:rPr>
            </w:pPr>
          </w:p>
        </w:tc>
        <w:tc>
          <w:tcPr>
            <w:tcW w:w="3720" w:type="dxa"/>
            <w:vAlign w:val="bottom"/>
            <w:shd w:val="clear" w:color="auto" w:fill="EEECE1"/>
          </w:tcPr>
          <w:p>
            <w:pPr>
              <w:spacing w:after="0"/>
              <w:rPr>
                <w:sz w:val="14"/>
                <w:szCs w:val="14"/>
                <w:color w:val="auto"/>
              </w:rPr>
            </w:pPr>
          </w:p>
        </w:tc>
        <w:tc>
          <w:tcPr>
            <w:tcW w:w="26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2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Non-North American Interest Rate Swaps</w:t>
            </w:r>
          </w:p>
        </w:tc>
        <w:tc>
          <w:tcPr>
            <w:tcW w:w="3720" w:type="dxa"/>
            <w:vAlign w:val="bottom"/>
            <w:shd w:val="clear" w:color="auto" w:fill="C00000"/>
          </w:tcPr>
          <w:p>
            <w:pPr>
              <w:spacing w:after="0"/>
              <w:rPr>
                <w:sz w:val="12"/>
                <w:szCs w:val="12"/>
                <w:color w:val="auto"/>
              </w:rPr>
            </w:pPr>
          </w:p>
        </w:tc>
        <w:tc>
          <w:tcPr>
            <w:tcW w:w="262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EUR</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w w:val="95"/>
              </w:rPr>
              <w:t>Outright Swaps (Annual Money)</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IRS1MEUR, vs 1M Euribor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IRSEUR, vs 3M Euribor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IRSEUR, vs 6M Euribor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IRSEUR, vs 12M Euribor</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MAC Swaps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IRSMACEUR, CME Current Quarter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IRSMACEUR, CME 2nd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IRSMACEUR, CME 3rd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IRSMACEUR, LCH Current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IRSMACEUR, LCH 2nd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IRSMACEUR, LCH 3rd Quarter</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IMM Swaps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IRSIMM, vs 6M Euribor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Forward Start Swaps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IRSFWD, vs Euribor 3M</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IRSFWD, vs Euribor 6M</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Swap Basis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IRSEURBASIS, 3M Libor vs 6M Libor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EONIA OIS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OISEUR, Outright vs 6M</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OISEUR, Forward vs 6M</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Long Dated EONIA OIS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OISLEUR, Outright Long Dated EONIA</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GBP</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Outright Swaps (Semi Annual)</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IRSGBP, Quaterly vs 3M Libor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IRSGBP, Semi Annual vs 6M Libor</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SONIA OIS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OISGBP, Outright OIS GBP vs SONIA</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OISGBP, Forward OIS GBP vs SONIA</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MAC Swaps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IRSMACGBP, CME Current Quarter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IRSMACGBP, CME 2nd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IRSMACGBP, CME 3rd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IRSMACGBP, LCH Current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IRSMACGBP, LCH 2nd Quarter</w:t>
            </w:r>
          </w:p>
        </w:tc>
        <w:tc>
          <w:tcPr>
            <w:tcW w:w="262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IRSMACGBP, LCH 3rd Quarter</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CHF</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Outright Swaps (Semi Annual)</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IRSCHF, vs 3M CHF Libor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IRSCHF, vs 6M CHF Libor</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TOIS</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OISCHF, OIS CHF 3M vs TOIS</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SEK</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ind w:left="260"/>
              <w:spacing w:after="0" w:line="130" w:lineRule="exact"/>
              <w:rPr>
                <w:sz w:val="20"/>
                <w:szCs w:val="20"/>
                <w:color w:val="auto"/>
              </w:rPr>
            </w:pPr>
            <w:r>
              <w:rPr>
                <w:rFonts w:ascii="Arial" w:cs="Arial" w:eastAsia="Arial" w:hAnsi="Arial"/>
                <w:sz w:val="14"/>
                <w:szCs w:val="14"/>
                <w:color w:val="auto"/>
              </w:rPr>
              <w:t>Outright Swaps (Semi Annual)</w:t>
            </w:r>
          </w:p>
        </w:tc>
        <w:tc>
          <w:tcPr>
            <w:tcW w:w="3720" w:type="dxa"/>
            <w:vAlign w:val="bottom"/>
          </w:tcPr>
          <w:p>
            <w:pPr>
              <w:ind w:left="20"/>
              <w:spacing w:after="0" w:line="130" w:lineRule="exact"/>
              <w:rPr>
                <w:sz w:val="20"/>
                <w:szCs w:val="20"/>
                <w:color w:val="auto"/>
              </w:rPr>
            </w:pPr>
            <w:r>
              <w:rPr>
                <w:rFonts w:ascii="Arial" w:cs="Arial" w:eastAsia="Arial" w:hAnsi="Arial"/>
                <w:sz w:val="14"/>
                <w:szCs w:val="14"/>
                <w:color w:val="auto"/>
              </w:rPr>
              <w:t>OISCHF, OIS CHF 3M vs TOIS</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IRSSEK, vs 3M STIBOR</w:t>
            </w:r>
          </w:p>
        </w:tc>
        <w:tc>
          <w:tcPr>
            <w:tcW w:w="262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DKK</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Outright Swaps (Semi Annual)</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IRSDKK, vs 6M CIBOR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NOK</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Outright Swaps (Semi Annual)</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IRSNOK, vs 6M NIBOR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PLN</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Outright Swaps (Semi Annual)</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IRSPLN, vs 6M WIBOR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ZAR</w:t>
            </w:r>
          </w:p>
        </w:tc>
        <w:tc>
          <w:tcPr>
            <w:tcW w:w="2180" w:type="dxa"/>
            <w:vAlign w:val="bottom"/>
            <w:shd w:val="clear" w:color="auto" w:fill="1F497D"/>
          </w:tcPr>
          <w:p>
            <w:pPr>
              <w:spacing w:after="0"/>
              <w:rPr>
                <w:sz w:val="12"/>
                <w:szCs w:val="12"/>
                <w:color w:val="auto"/>
              </w:rPr>
            </w:pPr>
          </w:p>
        </w:tc>
        <w:tc>
          <w:tcPr>
            <w:tcW w:w="3720" w:type="dxa"/>
            <w:vAlign w:val="bottom"/>
            <w:shd w:val="clear" w:color="auto" w:fill="1F497D"/>
          </w:tcPr>
          <w:p>
            <w:pPr>
              <w:spacing w:after="0"/>
              <w:rPr>
                <w:sz w:val="12"/>
                <w:szCs w:val="12"/>
                <w:color w:val="auto"/>
              </w:rPr>
            </w:pPr>
          </w:p>
        </w:tc>
        <w:tc>
          <w:tcPr>
            <w:tcW w:w="26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Outright Swaps (Semi Annual)</w:t>
            </w:r>
          </w:p>
        </w:tc>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IRSZAR, vs 3M JIBAR</w:t>
            </w:r>
          </w:p>
        </w:tc>
        <w:tc>
          <w:tcPr>
            <w:tcW w:w="262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3"/>
        </w:trPr>
        <w:tc>
          <w:tcPr>
            <w:tcW w:w="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620" w:type="dxa"/>
            <w:vAlign w:val="bottom"/>
            <w:shd w:val="clear" w:color="auto" w:fill="EEECE1"/>
          </w:tcPr>
          <w:p>
            <w:pPr>
              <w:ind w:left="420"/>
              <w:spacing w:after="0"/>
              <w:rPr>
                <w:sz w:val="20"/>
                <w:szCs w:val="20"/>
                <w:color w:val="auto"/>
              </w:rPr>
            </w:pPr>
            <w:r>
              <w:rPr>
                <w:rFonts w:ascii="Arial" w:cs="Arial" w:eastAsia="Arial" w:hAnsi="Arial"/>
                <w:sz w:val="14"/>
                <w:szCs w:val="14"/>
                <w:b w:val="1"/>
                <w:bCs w:val="1"/>
                <w:color w:val="auto"/>
              </w:rPr>
              <w:t>2</w:t>
            </w:r>
          </w:p>
        </w:tc>
        <w:tc>
          <w:tcPr>
            <w:tcW w:w="6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40" w:type="dxa"/>
            <w:vAlign w:val="bottom"/>
            <w:shd w:val="clear" w:color="auto" w:fill="EEECE1"/>
          </w:tcPr>
          <w:p>
            <w:pPr>
              <w:ind w:left="280"/>
              <w:spacing w:after="0"/>
              <w:rPr>
                <w:sz w:val="20"/>
                <w:szCs w:val="20"/>
                <w:color w:val="auto"/>
              </w:rPr>
            </w:pPr>
            <w:r>
              <w:rPr>
                <w:rFonts w:ascii="Arial" w:cs="Arial" w:eastAsia="Arial" w:hAnsi="Arial"/>
                <w:sz w:val="14"/>
                <w:szCs w:val="14"/>
                <w:b w:val="1"/>
                <w:bCs w:val="1"/>
                <w:color w:val="auto"/>
              </w:rPr>
              <w:t>4</w:t>
            </w:r>
          </w:p>
        </w:tc>
        <w:tc>
          <w:tcPr>
            <w:tcW w:w="4140" w:type="dxa"/>
            <w:vAlign w:val="bottom"/>
            <w:shd w:val="clear" w:color="auto" w:fill="EEECE1"/>
          </w:tcPr>
          <w:p>
            <w:pPr>
              <w:ind w:left="400"/>
              <w:spacing w:after="0"/>
              <w:rPr>
                <w:sz w:val="20"/>
                <w:szCs w:val="20"/>
                <w:color w:val="auto"/>
              </w:rPr>
            </w:pPr>
            <w:r>
              <w:rPr>
                <w:rFonts w:ascii="Arial" w:cs="Arial" w:eastAsia="Arial" w:hAnsi="Arial"/>
                <w:sz w:val="14"/>
                <w:szCs w:val="14"/>
                <w:b w:val="1"/>
                <w:bCs w:val="1"/>
                <w:color w:val="auto"/>
              </w:rPr>
              <w:t>5</w:t>
            </w:r>
          </w:p>
        </w:tc>
        <w:tc>
          <w:tcPr>
            <w:tcW w:w="2840" w:type="dxa"/>
            <w:vAlign w:val="bottom"/>
            <w:shd w:val="clear" w:color="auto" w:fill="EEECE1"/>
          </w:tcPr>
          <w:p>
            <w:pPr>
              <w:ind w:left="15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60" w:type="dxa"/>
            <w:vAlign w:val="bottom"/>
            <w:shd w:val="clear" w:color="auto" w:fill="EEECE1"/>
          </w:tcPr>
          <w:p>
            <w:pPr>
              <w:spacing w:after="0"/>
              <w:rPr>
                <w:sz w:val="12"/>
                <w:szCs w:val="12"/>
                <w:color w:val="auto"/>
              </w:rPr>
            </w:pPr>
          </w:p>
        </w:tc>
        <w:tc>
          <w:tcPr>
            <w:tcW w:w="1440" w:type="dxa"/>
            <w:vAlign w:val="bottom"/>
            <w:shd w:val="clear" w:color="auto" w:fill="EEECE1"/>
          </w:tcPr>
          <w:p>
            <w:pPr>
              <w:spacing w:after="0"/>
              <w:rPr>
                <w:sz w:val="12"/>
                <w:szCs w:val="12"/>
                <w:color w:val="auto"/>
              </w:rPr>
            </w:pPr>
          </w:p>
        </w:tc>
        <w:tc>
          <w:tcPr>
            <w:tcW w:w="4140" w:type="dxa"/>
            <w:vAlign w:val="bottom"/>
            <w:shd w:val="clear" w:color="auto" w:fill="EEECE1"/>
          </w:tcPr>
          <w:p>
            <w:pPr>
              <w:spacing w:after="0"/>
              <w:rPr>
                <w:sz w:val="12"/>
                <w:szCs w:val="12"/>
                <w:color w:val="auto"/>
              </w:rPr>
            </w:pPr>
          </w:p>
        </w:tc>
        <w:tc>
          <w:tcPr>
            <w:tcW w:w="28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 w:type="dxa"/>
            <w:vAlign w:val="bottom"/>
            <w:shd w:val="clear" w:color="auto" w:fill="EEECE1"/>
          </w:tcPr>
          <w:p>
            <w:pPr>
              <w:spacing w:after="0"/>
              <w:rPr>
                <w:sz w:val="14"/>
                <w:szCs w:val="14"/>
                <w:color w:val="auto"/>
              </w:rPr>
            </w:pPr>
          </w:p>
        </w:tc>
        <w:tc>
          <w:tcPr>
            <w:tcW w:w="1620" w:type="dxa"/>
            <w:vAlign w:val="bottom"/>
            <w:shd w:val="clear" w:color="auto" w:fill="EEECE1"/>
          </w:tcPr>
          <w:p>
            <w:pPr>
              <w:ind w:left="420"/>
              <w:spacing w:after="0"/>
              <w:rPr>
                <w:sz w:val="20"/>
                <w:szCs w:val="20"/>
                <w:color w:val="auto"/>
              </w:rPr>
            </w:pPr>
            <w:r>
              <w:rPr>
                <w:rFonts w:ascii="Arial" w:cs="Arial" w:eastAsia="Arial" w:hAnsi="Arial"/>
                <w:sz w:val="14"/>
                <w:szCs w:val="14"/>
                <w:b w:val="1"/>
                <w:bCs w:val="1"/>
                <w:color w:val="auto"/>
                <w:w w:val="96"/>
              </w:rPr>
              <w:t>Global Derivatives</w:t>
            </w:r>
          </w:p>
        </w:tc>
        <w:tc>
          <w:tcPr>
            <w:tcW w:w="660" w:type="dxa"/>
            <w:vAlign w:val="bottom"/>
            <w:shd w:val="clear" w:color="auto" w:fill="EEECE1"/>
          </w:tcPr>
          <w:p>
            <w:pPr>
              <w:spacing w:after="0"/>
              <w:rPr>
                <w:sz w:val="14"/>
                <w:szCs w:val="14"/>
                <w:color w:val="auto"/>
              </w:rPr>
            </w:pPr>
          </w:p>
        </w:tc>
        <w:tc>
          <w:tcPr>
            <w:tcW w:w="1440" w:type="dxa"/>
            <w:vAlign w:val="bottom"/>
            <w:shd w:val="clear" w:color="auto" w:fill="EEECE1"/>
          </w:tcPr>
          <w:p>
            <w:pPr>
              <w:spacing w:after="0"/>
              <w:rPr>
                <w:sz w:val="14"/>
                <w:szCs w:val="14"/>
                <w:color w:val="auto"/>
              </w:rPr>
            </w:pPr>
          </w:p>
        </w:tc>
        <w:tc>
          <w:tcPr>
            <w:tcW w:w="4140" w:type="dxa"/>
            <w:vAlign w:val="bottom"/>
            <w:shd w:val="clear" w:color="auto" w:fill="EEECE1"/>
          </w:tcPr>
          <w:p>
            <w:pPr>
              <w:spacing w:after="0"/>
              <w:rPr>
                <w:sz w:val="14"/>
                <w:szCs w:val="14"/>
                <w:color w:val="auto"/>
              </w:rPr>
            </w:pPr>
          </w:p>
        </w:tc>
        <w:tc>
          <w:tcPr>
            <w:tcW w:w="28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JPY</w:t>
            </w:r>
          </w:p>
        </w:tc>
        <w:tc>
          <w:tcPr>
            <w:tcW w:w="1440" w:type="dxa"/>
            <w:vAlign w:val="bottom"/>
            <w:shd w:val="clear" w:color="auto" w:fill="1F497D"/>
          </w:tcPr>
          <w:p>
            <w:pPr>
              <w:spacing w:after="0"/>
              <w:rPr>
                <w:sz w:val="12"/>
                <w:szCs w:val="12"/>
                <w:color w:val="auto"/>
              </w:rPr>
            </w:pPr>
          </w:p>
        </w:tc>
        <w:tc>
          <w:tcPr>
            <w:tcW w:w="4140" w:type="dxa"/>
            <w:vAlign w:val="bottom"/>
            <w:shd w:val="clear" w:color="auto" w:fill="1F497D"/>
          </w:tcPr>
          <w:p>
            <w:pPr>
              <w:spacing w:after="0"/>
              <w:rPr>
                <w:sz w:val="12"/>
                <w:szCs w:val="12"/>
                <w:color w:val="auto"/>
              </w:rPr>
            </w:pPr>
          </w:p>
        </w:tc>
        <w:tc>
          <w:tcPr>
            <w:tcW w:w="28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58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Outright Swaps (Semi Annual)</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vMerge w:val="restart"/>
          </w:tcPr>
          <w:p>
            <w:pPr>
              <w:ind w:left="280"/>
              <w:spacing w:after="0"/>
              <w:rPr>
                <w:sz w:val="20"/>
                <w:szCs w:val="20"/>
                <w:color w:val="auto"/>
              </w:rPr>
            </w:pPr>
            <w:r>
              <w:rPr>
                <w:rFonts w:ascii="Arial" w:cs="Arial" w:eastAsia="Arial" w:hAnsi="Arial"/>
                <w:sz w:val="14"/>
                <w:szCs w:val="14"/>
                <w:color w:val="auto"/>
              </w:rPr>
              <w:t>MAC Swaps</w:t>
            </w:r>
          </w:p>
        </w:tc>
        <w:tc>
          <w:tcPr>
            <w:tcW w:w="4140" w:type="dxa"/>
            <w:vAlign w:val="bottom"/>
          </w:tcPr>
          <w:p>
            <w:pPr>
              <w:ind w:left="400"/>
              <w:spacing w:after="0"/>
              <w:rPr>
                <w:sz w:val="20"/>
                <w:szCs w:val="20"/>
                <w:color w:val="auto"/>
              </w:rPr>
            </w:pPr>
            <w:r>
              <w:rPr>
                <w:rFonts w:ascii="Arial" w:cs="Arial" w:eastAsia="Arial" w:hAnsi="Arial"/>
                <w:sz w:val="14"/>
                <w:szCs w:val="14"/>
                <w:color w:val="auto"/>
              </w:rPr>
              <w:t>IRSJPY, vs 6M JPY Libor</w:t>
            </w:r>
          </w:p>
        </w:tc>
        <w:tc>
          <w:tcPr>
            <w:tcW w:w="2840" w:type="dxa"/>
            <w:vAlign w:val="bottom"/>
          </w:tcPr>
          <w:p>
            <w:pPr>
              <w:ind w:left="15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140" w:type="dxa"/>
            <w:vAlign w:val="bottom"/>
            <w:vMerge w:val="restart"/>
          </w:tcPr>
          <w:p>
            <w:pPr>
              <w:ind w:left="400"/>
              <w:spacing w:after="0"/>
              <w:rPr>
                <w:sz w:val="20"/>
                <w:szCs w:val="20"/>
                <w:color w:val="auto"/>
              </w:rPr>
            </w:pPr>
            <w:r>
              <w:rPr>
                <w:rFonts w:ascii="Arial" w:cs="Arial" w:eastAsia="Arial" w:hAnsi="Arial"/>
                <w:sz w:val="14"/>
                <w:szCs w:val="14"/>
                <w:color w:val="auto"/>
              </w:rPr>
              <w:t>IRSMACJPY, CME Current Quarter</w:t>
            </w:r>
          </w:p>
        </w:tc>
        <w:tc>
          <w:tcPr>
            <w:tcW w:w="2840" w:type="dxa"/>
            <w:vAlign w:val="bottom"/>
            <w:vMerge w:val="restart"/>
          </w:tcPr>
          <w:p>
            <w:pPr>
              <w:ind w:left="15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5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IRSMACJPY, CME 2nd Quarter</w:t>
            </w:r>
          </w:p>
        </w:tc>
        <w:tc>
          <w:tcPr>
            <w:tcW w:w="2840" w:type="dxa"/>
            <w:vAlign w:val="bottom"/>
          </w:tcPr>
          <w:p>
            <w:pPr>
              <w:ind w:left="15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IRSMACJPY, CME 3rd Quarter</w:t>
            </w:r>
          </w:p>
        </w:tc>
        <w:tc>
          <w:tcPr>
            <w:tcW w:w="2840" w:type="dxa"/>
            <w:vAlign w:val="bottom"/>
          </w:tcPr>
          <w:p>
            <w:pPr>
              <w:ind w:left="15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IRSMACJPY, LCH Current Quarter</w:t>
            </w:r>
          </w:p>
        </w:tc>
        <w:tc>
          <w:tcPr>
            <w:tcW w:w="2840" w:type="dxa"/>
            <w:vAlign w:val="bottom"/>
          </w:tcPr>
          <w:p>
            <w:pPr>
              <w:ind w:left="15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IRSMACJPY, LCH 2nd Quarter</w:t>
            </w:r>
          </w:p>
        </w:tc>
        <w:tc>
          <w:tcPr>
            <w:tcW w:w="2840" w:type="dxa"/>
            <w:vAlign w:val="bottom"/>
          </w:tcPr>
          <w:p>
            <w:pPr>
              <w:ind w:left="15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140" w:type="dxa"/>
            <w:vAlign w:val="bottom"/>
          </w:tcPr>
          <w:p>
            <w:pPr>
              <w:ind w:left="400"/>
              <w:spacing w:after="0"/>
              <w:rPr>
                <w:sz w:val="20"/>
                <w:szCs w:val="20"/>
                <w:color w:val="auto"/>
              </w:rPr>
            </w:pPr>
            <w:r>
              <w:rPr>
                <w:rFonts w:ascii="Arial" w:cs="Arial" w:eastAsia="Arial" w:hAnsi="Arial"/>
                <w:sz w:val="14"/>
                <w:szCs w:val="14"/>
                <w:color w:val="auto"/>
              </w:rPr>
              <w:t>IRSMACJPY, LCH 3rd Quarter</w:t>
            </w:r>
          </w:p>
        </w:tc>
        <w:tc>
          <w:tcPr>
            <w:tcW w:w="2840" w:type="dxa"/>
            <w:vAlign w:val="bottom"/>
          </w:tcPr>
          <w:p>
            <w:pPr>
              <w:ind w:left="15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AUD</w:t>
            </w:r>
          </w:p>
        </w:tc>
        <w:tc>
          <w:tcPr>
            <w:tcW w:w="1440" w:type="dxa"/>
            <w:vAlign w:val="bottom"/>
            <w:shd w:val="clear" w:color="auto" w:fill="1F497D"/>
          </w:tcPr>
          <w:p>
            <w:pPr>
              <w:spacing w:after="0"/>
              <w:rPr>
                <w:sz w:val="12"/>
                <w:szCs w:val="12"/>
                <w:color w:val="auto"/>
              </w:rPr>
            </w:pPr>
          </w:p>
        </w:tc>
        <w:tc>
          <w:tcPr>
            <w:tcW w:w="4140" w:type="dxa"/>
            <w:vAlign w:val="bottom"/>
            <w:shd w:val="clear" w:color="auto" w:fill="1F497D"/>
          </w:tcPr>
          <w:p>
            <w:pPr>
              <w:spacing w:after="0"/>
              <w:rPr>
                <w:sz w:val="12"/>
                <w:szCs w:val="12"/>
                <w:color w:val="auto"/>
              </w:rPr>
            </w:pPr>
          </w:p>
        </w:tc>
        <w:tc>
          <w:tcPr>
            <w:tcW w:w="28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58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Outright Swaps (Semi Annual)</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vMerge w:val="restart"/>
          </w:tcPr>
          <w:p>
            <w:pPr>
              <w:ind w:left="280"/>
              <w:spacing w:after="0"/>
              <w:rPr>
                <w:sz w:val="20"/>
                <w:szCs w:val="20"/>
                <w:color w:val="auto"/>
              </w:rPr>
            </w:pPr>
            <w:r>
              <w:rPr>
                <w:rFonts w:ascii="Arial" w:cs="Arial" w:eastAsia="Arial" w:hAnsi="Arial"/>
                <w:sz w:val="14"/>
                <w:szCs w:val="14"/>
                <w:color w:val="auto"/>
              </w:rPr>
              <w:t>MAC Swaps</w:t>
            </w:r>
          </w:p>
        </w:tc>
        <w:tc>
          <w:tcPr>
            <w:tcW w:w="4140" w:type="dxa"/>
            <w:vAlign w:val="bottom"/>
          </w:tcPr>
          <w:p>
            <w:pPr>
              <w:ind w:left="400"/>
              <w:spacing w:after="0"/>
              <w:rPr>
                <w:sz w:val="20"/>
                <w:szCs w:val="20"/>
                <w:color w:val="auto"/>
              </w:rPr>
            </w:pPr>
            <w:r>
              <w:rPr>
                <w:rFonts w:ascii="Arial" w:cs="Arial" w:eastAsia="Arial" w:hAnsi="Arial"/>
                <w:sz w:val="14"/>
                <w:szCs w:val="14"/>
                <w:color w:val="auto"/>
              </w:rPr>
              <w:t>IRSAUD, vs 6M BBR-BBSW</w:t>
            </w:r>
          </w:p>
        </w:tc>
        <w:tc>
          <w:tcPr>
            <w:tcW w:w="2840" w:type="dxa"/>
            <w:vAlign w:val="bottom"/>
          </w:tcPr>
          <w:p>
            <w:pPr>
              <w:ind w:left="15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140" w:type="dxa"/>
            <w:vAlign w:val="bottom"/>
            <w:vMerge w:val="restart"/>
          </w:tcPr>
          <w:p>
            <w:pPr>
              <w:ind w:left="400"/>
              <w:spacing w:after="0"/>
              <w:rPr>
                <w:sz w:val="20"/>
                <w:szCs w:val="20"/>
                <w:color w:val="auto"/>
              </w:rPr>
            </w:pPr>
            <w:r>
              <w:rPr>
                <w:rFonts w:ascii="Arial" w:cs="Arial" w:eastAsia="Arial" w:hAnsi="Arial"/>
                <w:sz w:val="14"/>
                <w:szCs w:val="14"/>
                <w:color w:val="auto"/>
              </w:rPr>
              <w:t>IRSMACAUD, CME Current Quarter</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IRSMACAUD, CME 2nd Quarter</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IRSMACAUD, CME 3rd Quarter</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IRSMACAUD, LCH Current Quarter</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40" w:type="dxa"/>
            <w:vAlign w:val="bottom"/>
          </w:tcPr>
          <w:p>
            <w:pPr>
              <w:ind w:left="400"/>
              <w:spacing w:after="0" w:line="149" w:lineRule="exact"/>
              <w:rPr>
                <w:sz w:val="20"/>
                <w:szCs w:val="20"/>
                <w:color w:val="auto"/>
              </w:rPr>
            </w:pPr>
            <w:r>
              <w:rPr>
                <w:rFonts w:ascii="Arial" w:cs="Arial" w:eastAsia="Arial" w:hAnsi="Arial"/>
                <w:sz w:val="14"/>
                <w:szCs w:val="14"/>
                <w:color w:val="auto"/>
              </w:rPr>
              <w:t>IRSMACAUD, LCH 2nd Quarter</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140" w:type="dxa"/>
            <w:vAlign w:val="bottom"/>
          </w:tcPr>
          <w:p>
            <w:pPr>
              <w:ind w:left="400"/>
              <w:spacing w:after="0"/>
              <w:rPr>
                <w:sz w:val="20"/>
                <w:szCs w:val="20"/>
                <w:color w:val="auto"/>
              </w:rPr>
            </w:pPr>
            <w:r>
              <w:rPr>
                <w:rFonts w:ascii="Arial" w:cs="Arial" w:eastAsia="Arial" w:hAnsi="Arial"/>
                <w:sz w:val="14"/>
                <w:szCs w:val="14"/>
                <w:color w:val="auto"/>
              </w:rPr>
              <w:t>IRSMACAUD, LCH 3rd Quarter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NZD</w:t>
            </w:r>
          </w:p>
        </w:tc>
        <w:tc>
          <w:tcPr>
            <w:tcW w:w="1440" w:type="dxa"/>
            <w:vAlign w:val="bottom"/>
            <w:shd w:val="clear" w:color="auto" w:fill="1F497D"/>
          </w:tcPr>
          <w:p>
            <w:pPr>
              <w:spacing w:after="0"/>
              <w:rPr>
                <w:sz w:val="12"/>
                <w:szCs w:val="12"/>
                <w:color w:val="auto"/>
              </w:rPr>
            </w:pPr>
          </w:p>
        </w:tc>
        <w:tc>
          <w:tcPr>
            <w:tcW w:w="4140" w:type="dxa"/>
            <w:vAlign w:val="bottom"/>
            <w:shd w:val="clear" w:color="auto" w:fill="1F497D"/>
          </w:tcPr>
          <w:p>
            <w:pPr>
              <w:spacing w:after="0"/>
              <w:rPr>
                <w:sz w:val="12"/>
                <w:szCs w:val="12"/>
                <w:color w:val="auto"/>
              </w:rPr>
            </w:pPr>
          </w:p>
        </w:tc>
        <w:tc>
          <w:tcPr>
            <w:tcW w:w="28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58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Outright Swaps (Semi Annual)</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140" w:type="dxa"/>
            <w:vAlign w:val="bottom"/>
          </w:tcPr>
          <w:p>
            <w:pPr>
              <w:ind w:left="400"/>
              <w:spacing w:after="0"/>
              <w:rPr>
                <w:sz w:val="20"/>
                <w:szCs w:val="20"/>
                <w:color w:val="auto"/>
              </w:rPr>
            </w:pPr>
            <w:r>
              <w:rPr>
                <w:rFonts w:ascii="Arial" w:cs="Arial" w:eastAsia="Arial" w:hAnsi="Arial"/>
                <w:sz w:val="14"/>
                <w:szCs w:val="14"/>
                <w:color w:val="auto"/>
              </w:rPr>
              <w:t>IRSNZD, vs 3M BBR-FRA</w:t>
            </w:r>
          </w:p>
        </w:tc>
        <w:tc>
          <w:tcPr>
            <w:tcW w:w="2840" w:type="dxa"/>
            <w:vAlign w:val="bottom"/>
          </w:tcPr>
          <w:p>
            <w:pPr>
              <w:ind w:left="15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HKD</w:t>
            </w:r>
          </w:p>
        </w:tc>
        <w:tc>
          <w:tcPr>
            <w:tcW w:w="1440" w:type="dxa"/>
            <w:vAlign w:val="bottom"/>
            <w:shd w:val="clear" w:color="auto" w:fill="1F497D"/>
          </w:tcPr>
          <w:p>
            <w:pPr>
              <w:spacing w:after="0"/>
              <w:rPr>
                <w:sz w:val="12"/>
                <w:szCs w:val="12"/>
                <w:color w:val="auto"/>
              </w:rPr>
            </w:pPr>
          </w:p>
        </w:tc>
        <w:tc>
          <w:tcPr>
            <w:tcW w:w="4140" w:type="dxa"/>
            <w:vAlign w:val="bottom"/>
            <w:shd w:val="clear" w:color="auto" w:fill="1F497D"/>
          </w:tcPr>
          <w:p>
            <w:pPr>
              <w:spacing w:after="0"/>
              <w:rPr>
                <w:sz w:val="12"/>
                <w:szCs w:val="12"/>
                <w:color w:val="auto"/>
              </w:rPr>
            </w:pPr>
          </w:p>
        </w:tc>
        <w:tc>
          <w:tcPr>
            <w:tcW w:w="28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58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Outright Swaps (Semi Annual)</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140" w:type="dxa"/>
            <w:vAlign w:val="bottom"/>
          </w:tcPr>
          <w:p>
            <w:pPr>
              <w:ind w:left="400"/>
              <w:spacing w:after="0"/>
              <w:rPr>
                <w:sz w:val="20"/>
                <w:szCs w:val="20"/>
                <w:color w:val="auto"/>
              </w:rPr>
            </w:pPr>
            <w:r>
              <w:rPr>
                <w:rFonts w:ascii="Arial" w:cs="Arial" w:eastAsia="Arial" w:hAnsi="Arial"/>
                <w:sz w:val="14"/>
                <w:szCs w:val="14"/>
                <w:color w:val="auto"/>
              </w:rPr>
              <w:t>IRSHKD, vs 3M HIBOR</w:t>
            </w:r>
          </w:p>
        </w:tc>
        <w:tc>
          <w:tcPr>
            <w:tcW w:w="2840" w:type="dxa"/>
            <w:vAlign w:val="bottom"/>
          </w:tcPr>
          <w:p>
            <w:pPr>
              <w:ind w:left="15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SGD</w:t>
            </w:r>
          </w:p>
        </w:tc>
        <w:tc>
          <w:tcPr>
            <w:tcW w:w="1440" w:type="dxa"/>
            <w:vAlign w:val="bottom"/>
            <w:shd w:val="clear" w:color="auto" w:fill="1F497D"/>
          </w:tcPr>
          <w:p>
            <w:pPr>
              <w:spacing w:after="0"/>
              <w:rPr>
                <w:sz w:val="12"/>
                <w:szCs w:val="12"/>
                <w:color w:val="auto"/>
              </w:rPr>
            </w:pPr>
          </w:p>
        </w:tc>
        <w:tc>
          <w:tcPr>
            <w:tcW w:w="4140" w:type="dxa"/>
            <w:vAlign w:val="bottom"/>
            <w:shd w:val="clear" w:color="auto" w:fill="1F497D"/>
          </w:tcPr>
          <w:p>
            <w:pPr>
              <w:spacing w:after="0"/>
              <w:rPr>
                <w:sz w:val="12"/>
                <w:szCs w:val="12"/>
                <w:color w:val="auto"/>
              </w:rPr>
            </w:pPr>
          </w:p>
        </w:tc>
        <w:tc>
          <w:tcPr>
            <w:tcW w:w="28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58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Outright Swaps (Semi Annual)</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140" w:type="dxa"/>
            <w:vAlign w:val="bottom"/>
          </w:tcPr>
          <w:p>
            <w:pPr>
              <w:ind w:left="400"/>
              <w:spacing w:after="0"/>
              <w:rPr>
                <w:sz w:val="20"/>
                <w:szCs w:val="20"/>
                <w:color w:val="auto"/>
              </w:rPr>
            </w:pPr>
            <w:r>
              <w:rPr>
                <w:rFonts w:ascii="Arial" w:cs="Arial" w:eastAsia="Arial" w:hAnsi="Arial"/>
                <w:sz w:val="14"/>
                <w:szCs w:val="14"/>
                <w:color w:val="auto"/>
              </w:rPr>
              <w:t>IRSSGD, vs 6M SOR</w:t>
            </w:r>
          </w:p>
        </w:tc>
        <w:tc>
          <w:tcPr>
            <w:tcW w:w="2840" w:type="dxa"/>
            <w:vAlign w:val="bottom"/>
          </w:tcPr>
          <w:p>
            <w:pPr>
              <w:ind w:left="15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5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7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68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4</w:t>
            </w:r>
          </w:p>
        </w:tc>
        <w:tc>
          <w:tcPr>
            <w:tcW w:w="450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5</w:t>
            </w:r>
          </w:p>
        </w:tc>
        <w:tc>
          <w:tcPr>
            <w:tcW w:w="2140" w:type="dxa"/>
            <w:vAlign w:val="bottom"/>
            <w:shd w:val="clear" w:color="auto" w:fill="EEECE1"/>
          </w:tcPr>
          <w:p>
            <w:pPr>
              <w:ind w:left="8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760" w:type="dxa"/>
            <w:vAlign w:val="bottom"/>
            <w:shd w:val="clear" w:color="auto" w:fill="EEECE1"/>
          </w:tcPr>
          <w:p>
            <w:pPr>
              <w:spacing w:after="0"/>
              <w:rPr>
                <w:sz w:val="12"/>
                <w:szCs w:val="12"/>
                <w:color w:val="auto"/>
              </w:rPr>
            </w:pPr>
          </w:p>
        </w:tc>
        <w:tc>
          <w:tcPr>
            <w:tcW w:w="1680" w:type="dxa"/>
            <w:vAlign w:val="bottom"/>
            <w:shd w:val="clear" w:color="auto" w:fill="EEECE1"/>
          </w:tcPr>
          <w:p>
            <w:pPr>
              <w:spacing w:after="0"/>
              <w:rPr>
                <w:sz w:val="12"/>
                <w:szCs w:val="12"/>
                <w:color w:val="auto"/>
              </w:rPr>
            </w:pPr>
          </w:p>
        </w:tc>
        <w:tc>
          <w:tcPr>
            <w:tcW w:w="4500" w:type="dxa"/>
            <w:vAlign w:val="bottom"/>
            <w:shd w:val="clear" w:color="auto" w:fill="EEECE1"/>
          </w:tcPr>
          <w:p>
            <w:pPr>
              <w:spacing w:after="0"/>
              <w:rPr>
                <w:sz w:val="12"/>
                <w:szCs w:val="12"/>
                <w:color w:val="auto"/>
              </w:rPr>
            </w:pPr>
          </w:p>
        </w:tc>
        <w:tc>
          <w:tcPr>
            <w:tcW w:w="21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EEECE1"/>
          </w:tcPr>
          <w:p>
            <w:pPr>
              <w:spacing w:after="0"/>
              <w:rPr>
                <w:sz w:val="14"/>
                <w:szCs w:val="14"/>
                <w:color w:val="auto"/>
              </w:rPr>
            </w:pPr>
          </w:p>
        </w:tc>
        <w:tc>
          <w:tcPr>
            <w:tcW w:w="12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w w:val="96"/>
              </w:rPr>
              <w:t>Global Derivatives</w:t>
            </w:r>
          </w:p>
        </w:tc>
        <w:tc>
          <w:tcPr>
            <w:tcW w:w="760" w:type="dxa"/>
            <w:vAlign w:val="bottom"/>
            <w:shd w:val="clear" w:color="auto" w:fill="EEECE1"/>
          </w:tcPr>
          <w:p>
            <w:pPr>
              <w:spacing w:after="0"/>
              <w:rPr>
                <w:sz w:val="14"/>
                <w:szCs w:val="14"/>
                <w:color w:val="auto"/>
              </w:rPr>
            </w:pPr>
          </w:p>
        </w:tc>
        <w:tc>
          <w:tcPr>
            <w:tcW w:w="1680" w:type="dxa"/>
            <w:vAlign w:val="bottom"/>
            <w:shd w:val="clear" w:color="auto" w:fill="EEECE1"/>
          </w:tcPr>
          <w:p>
            <w:pPr>
              <w:spacing w:after="0"/>
              <w:rPr>
                <w:sz w:val="14"/>
                <w:szCs w:val="14"/>
                <w:color w:val="auto"/>
              </w:rPr>
            </w:pPr>
          </w:p>
        </w:tc>
        <w:tc>
          <w:tcPr>
            <w:tcW w:w="4500" w:type="dxa"/>
            <w:vAlign w:val="bottom"/>
            <w:shd w:val="clear" w:color="auto" w:fill="EEECE1"/>
          </w:tcPr>
          <w:p>
            <w:pPr>
              <w:spacing w:after="0"/>
              <w:rPr>
                <w:sz w:val="14"/>
                <w:szCs w:val="14"/>
                <w:color w:val="auto"/>
              </w:rPr>
            </w:pPr>
          </w:p>
        </w:tc>
        <w:tc>
          <w:tcPr>
            <w:tcW w:w="21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000" w:type="dxa"/>
            <w:vAlign w:val="bottom"/>
            <w:gridSpan w:val="2"/>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Global Credit Default Swaps</w:t>
            </w:r>
          </w:p>
        </w:tc>
        <w:tc>
          <w:tcPr>
            <w:tcW w:w="1680" w:type="dxa"/>
            <w:vAlign w:val="bottom"/>
            <w:shd w:val="clear" w:color="auto" w:fill="C00000"/>
          </w:tcPr>
          <w:p>
            <w:pPr>
              <w:spacing w:after="0"/>
              <w:rPr>
                <w:sz w:val="12"/>
                <w:szCs w:val="12"/>
                <w:color w:val="auto"/>
              </w:rPr>
            </w:pPr>
          </w:p>
        </w:tc>
        <w:tc>
          <w:tcPr>
            <w:tcW w:w="4500" w:type="dxa"/>
            <w:vAlign w:val="bottom"/>
            <w:shd w:val="clear" w:color="auto" w:fill="C00000"/>
          </w:tcPr>
          <w:p>
            <w:pPr>
              <w:spacing w:after="0"/>
              <w:rPr>
                <w:sz w:val="12"/>
                <w:szCs w:val="12"/>
                <w:color w:val="auto"/>
              </w:rPr>
            </w:pPr>
          </w:p>
        </w:tc>
        <w:tc>
          <w:tcPr>
            <w:tcW w:w="214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4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North America (CDX)</w:t>
            </w:r>
          </w:p>
        </w:tc>
        <w:tc>
          <w:tcPr>
            <w:tcW w:w="4500" w:type="dxa"/>
            <w:vAlign w:val="bottom"/>
            <w:shd w:val="clear" w:color="auto" w:fill="1F497D"/>
          </w:tcPr>
          <w:p>
            <w:pPr>
              <w:spacing w:after="0"/>
              <w:rPr>
                <w:sz w:val="12"/>
                <w:szCs w:val="12"/>
                <w:color w:val="auto"/>
              </w:rPr>
            </w:pPr>
          </w:p>
        </w:tc>
        <w:tc>
          <w:tcPr>
            <w:tcW w:w="21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Investment Grade (IG)</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IG, Investment Grade</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Arial" w:cs="Arial" w:eastAsia="Arial" w:hAnsi="Arial"/>
                <w:sz w:val="14"/>
                <w:szCs w:val="14"/>
                <w:color w:val="auto"/>
              </w:rPr>
              <w:t>HIVOL, Investment Grade High Volatility</w:t>
            </w:r>
          </w:p>
        </w:tc>
        <w:tc>
          <w:tcPr>
            <w:tcW w:w="2140" w:type="dxa"/>
            <w:vAlign w:val="bottom"/>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High Yield (HY)</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HY, High Yield</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00" w:type="dxa"/>
            <w:vAlign w:val="bottom"/>
          </w:tcPr>
          <w:p>
            <w:pPr>
              <w:ind w:left="60"/>
              <w:spacing w:after="0" w:line="149" w:lineRule="exact"/>
              <w:rPr>
                <w:sz w:val="20"/>
                <w:szCs w:val="20"/>
                <w:color w:val="auto"/>
              </w:rPr>
            </w:pPr>
            <w:r>
              <w:rPr>
                <w:rFonts w:ascii="Arial" w:cs="Arial" w:eastAsia="Arial" w:hAnsi="Arial"/>
                <w:sz w:val="14"/>
                <w:szCs w:val="14"/>
                <w:color w:val="auto"/>
              </w:rPr>
              <w:t>HY.B, High Yield B</w:t>
            </w:r>
          </w:p>
        </w:tc>
        <w:tc>
          <w:tcPr>
            <w:tcW w:w="2140" w:type="dxa"/>
            <w:vAlign w:val="bottom"/>
          </w:tcPr>
          <w:p>
            <w:pPr>
              <w:ind w:left="8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00" w:type="dxa"/>
            <w:vAlign w:val="bottom"/>
          </w:tcPr>
          <w:p>
            <w:pPr>
              <w:ind w:left="60"/>
              <w:spacing w:after="0" w:line="149" w:lineRule="exact"/>
              <w:rPr>
                <w:sz w:val="20"/>
                <w:szCs w:val="20"/>
                <w:color w:val="auto"/>
              </w:rPr>
            </w:pPr>
            <w:r>
              <w:rPr>
                <w:rFonts w:ascii="Arial" w:cs="Arial" w:eastAsia="Arial" w:hAnsi="Arial"/>
                <w:sz w:val="14"/>
                <w:szCs w:val="14"/>
                <w:color w:val="auto"/>
              </w:rPr>
              <w:t>HY.BB, High Yield BB</w:t>
            </w:r>
          </w:p>
        </w:tc>
        <w:tc>
          <w:tcPr>
            <w:tcW w:w="2140" w:type="dxa"/>
            <w:vAlign w:val="bottom"/>
          </w:tcPr>
          <w:p>
            <w:pPr>
              <w:ind w:left="8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Arial" w:cs="Arial" w:eastAsia="Arial" w:hAnsi="Arial"/>
                <w:sz w:val="14"/>
                <w:szCs w:val="14"/>
                <w:color w:val="auto"/>
              </w:rPr>
              <w:t>HY.HB, High Yield HB</w:t>
            </w:r>
          </w:p>
        </w:tc>
        <w:tc>
          <w:tcPr>
            <w:tcW w:w="2140" w:type="dxa"/>
            <w:vAlign w:val="bottom"/>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Crossover (XOVER)</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XOVER, XOVER</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0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Emerging Markets (EM)</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EM, Emerging Markets (EM)</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Arial" w:cs="Arial" w:eastAsia="Arial" w:hAnsi="Arial"/>
                <w:sz w:val="14"/>
                <w:szCs w:val="14"/>
                <w:color w:val="auto"/>
              </w:rPr>
              <w:t>EMDIV, Emerging Markets Diversified (EMDIV)</w:t>
            </w:r>
          </w:p>
        </w:tc>
        <w:tc>
          <w:tcPr>
            <w:tcW w:w="2140" w:type="dxa"/>
            <w:vAlign w:val="bottom"/>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Rolls &amp; Swaps</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UCDSROLLSWAP, Swap Roll</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00" w:type="dxa"/>
            <w:vAlign w:val="bottom"/>
          </w:tcPr>
          <w:p>
            <w:pPr>
              <w:ind w:left="60"/>
              <w:spacing w:after="0" w:line="149" w:lineRule="exact"/>
              <w:rPr>
                <w:sz w:val="20"/>
                <w:szCs w:val="20"/>
                <w:color w:val="auto"/>
              </w:rPr>
            </w:pPr>
            <w:r>
              <w:rPr>
                <w:rFonts w:ascii="Arial" w:cs="Arial" w:eastAsia="Arial" w:hAnsi="Arial"/>
                <w:sz w:val="14"/>
                <w:szCs w:val="14"/>
                <w:color w:val="auto"/>
              </w:rPr>
              <w:t>CDSSWAP, Tenor Swap/Roll</w:t>
            </w:r>
          </w:p>
        </w:tc>
        <w:tc>
          <w:tcPr>
            <w:tcW w:w="2140" w:type="dxa"/>
            <w:vAlign w:val="bottom"/>
          </w:tcPr>
          <w:p>
            <w:pPr>
              <w:ind w:left="8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500" w:type="dxa"/>
            <w:vAlign w:val="bottom"/>
          </w:tcPr>
          <w:p>
            <w:pPr>
              <w:ind w:left="60"/>
              <w:spacing w:after="0"/>
              <w:rPr>
                <w:sz w:val="20"/>
                <w:szCs w:val="20"/>
                <w:color w:val="auto"/>
              </w:rPr>
            </w:pPr>
            <w:r>
              <w:rPr>
                <w:rFonts w:ascii="Arial" w:cs="Arial" w:eastAsia="Arial" w:hAnsi="Arial"/>
                <w:sz w:val="14"/>
                <w:szCs w:val="14"/>
                <w:color w:val="auto"/>
              </w:rPr>
              <w:t>CDSUHYROLLSWAP, High Yield Swap/Roll</w:t>
            </w:r>
          </w:p>
        </w:tc>
        <w:tc>
          <w:tcPr>
            <w:tcW w:w="2140" w:type="dxa"/>
            <w:vAlign w:val="bottom"/>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4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Europe (iTRAXX)</w:t>
            </w:r>
          </w:p>
        </w:tc>
        <w:tc>
          <w:tcPr>
            <w:tcW w:w="4500" w:type="dxa"/>
            <w:vAlign w:val="bottom"/>
            <w:shd w:val="clear" w:color="auto" w:fill="1F497D"/>
          </w:tcPr>
          <w:p>
            <w:pPr>
              <w:spacing w:after="0"/>
              <w:rPr>
                <w:sz w:val="12"/>
                <w:szCs w:val="12"/>
                <w:color w:val="auto"/>
              </w:rPr>
            </w:pPr>
          </w:p>
        </w:tc>
        <w:tc>
          <w:tcPr>
            <w:tcW w:w="21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Europe (ITRAXX)</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EUR, iTraxx Europe</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Crossover (XOVER)</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XOVER, iTraxx Crossover</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0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Financials</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FINSEN, iTraxx Europe Senior Financials</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Arial" w:cs="Arial" w:eastAsia="Arial" w:hAnsi="Arial"/>
                <w:sz w:val="14"/>
                <w:szCs w:val="14"/>
                <w:color w:val="auto"/>
              </w:rPr>
              <w:t>FINSUB, iTraxx Europe Subordinate Financials</w:t>
            </w:r>
          </w:p>
        </w:tc>
        <w:tc>
          <w:tcPr>
            <w:tcW w:w="2140" w:type="dxa"/>
            <w:vAlign w:val="bottom"/>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SovX</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SOVXWE, iTraxx SovX Western Europe</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0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High Volatility</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HIVOL, iTraxx Europe High Volatility</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0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auto"/>
              </w:rPr>
              <w:t>Rolls &amp; Swaps</w:t>
            </w:r>
          </w:p>
        </w:tc>
        <w:tc>
          <w:tcPr>
            <w:tcW w:w="4500" w:type="dxa"/>
            <w:vAlign w:val="bottom"/>
            <w:vMerge w:val="restart"/>
          </w:tcPr>
          <w:p>
            <w:pPr>
              <w:ind w:left="60"/>
              <w:spacing w:after="0"/>
              <w:rPr>
                <w:sz w:val="20"/>
                <w:szCs w:val="20"/>
                <w:color w:val="auto"/>
              </w:rPr>
            </w:pPr>
            <w:r>
              <w:rPr>
                <w:rFonts w:ascii="Arial" w:cs="Arial" w:eastAsia="Arial" w:hAnsi="Arial"/>
                <w:sz w:val="14"/>
                <w:szCs w:val="14"/>
                <w:color w:val="auto"/>
              </w:rPr>
              <w:t>ECDSROLLSWAP, European Credit Default Swap Index Roll</w:t>
            </w:r>
          </w:p>
        </w:tc>
        <w:tc>
          <w:tcPr>
            <w:tcW w:w="2140" w:type="dxa"/>
            <w:vAlign w:val="bottom"/>
            <w:vMerge w:val="restart"/>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Arial" w:cs="Arial" w:eastAsia="Arial" w:hAnsi="Arial"/>
                <w:sz w:val="14"/>
                <w:szCs w:val="14"/>
                <w:color w:val="auto"/>
              </w:rPr>
              <w:t>CDSEUSWAP, Tenor Swap/Roll</w:t>
            </w:r>
          </w:p>
        </w:tc>
        <w:tc>
          <w:tcPr>
            <w:tcW w:w="2140" w:type="dxa"/>
            <w:vAlign w:val="bottom"/>
          </w:tcPr>
          <w:p>
            <w:pPr>
              <w:ind w:left="8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00" w:type="dxa"/>
            <w:vAlign w:val="bottom"/>
            <w:shd w:val="clear" w:color="auto" w:fill="EEECE1"/>
          </w:tcPr>
          <w:p>
            <w:pPr>
              <w:jc w:val="right"/>
              <w:ind w:right="70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jc w:val="right"/>
              <w:ind w:right="1288"/>
              <w:spacing w:after="0"/>
              <w:rPr>
                <w:sz w:val="20"/>
                <w:szCs w:val="20"/>
                <w:color w:val="auto"/>
              </w:rPr>
            </w:pPr>
            <w:r>
              <w:rPr>
                <w:rFonts w:ascii="Arial" w:cs="Arial" w:eastAsia="Arial" w:hAnsi="Arial"/>
                <w:sz w:val="14"/>
                <w:szCs w:val="14"/>
                <w:b w:val="1"/>
                <w:bCs w:val="1"/>
                <w:color w:val="auto"/>
              </w:rPr>
              <w:t>4</w:t>
            </w:r>
          </w:p>
        </w:tc>
        <w:tc>
          <w:tcPr>
            <w:tcW w:w="1080" w:type="dxa"/>
            <w:vAlign w:val="bottom"/>
            <w:shd w:val="clear" w:color="auto" w:fill="EEECE1"/>
          </w:tcPr>
          <w:p>
            <w:pPr>
              <w:jc w:val="right"/>
              <w:ind w:right="888"/>
              <w:spacing w:after="0"/>
              <w:rPr>
                <w:sz w:val="20"/>
                <w:szCs w:val="20"/>
                <w:color w:val="auto"/>
              </w:rPr>
            </w:pPr>
            <w:r>
              <w:rPr>
                <w:rFonts w:ascii="Arial" w:cs="Arial" w:eastAsia="Arial" w:hAnsi="Arial"/>
                <w:sz w:val="14"/>
                <w:szCs w:val="14"/>
                <w:b w:val="1"/>
                <w:bCs w:val="1"/>
                <w:color w:val="auto"/>
              </w:rPr>
              <w:t>5</w:t>
            </w:r>
          </w:p>
        </w:tc>
        <w:tc>
          <w:tcPr>
            <w:tcW w:w="6640" w:type="dxa"/>
            <w:vAlign w:val="bottom"/>
            <w:shd w:val="clear" w:color="auto" w:fill="EEECE1"/>
          </w:tcPr>
          <w:p>
            <w:pPr>
              <w:jc w:val="right"/>
              <w:ind w:right="5528"/>
              <w:spacing w:after="0"/>
              <w:rPr>
                <w:sz w:val="20"/>
                <w:szCs w:val="20"/>
                <w:color w:val="auto"/>
              </w:rPr>
            </w:pPr>
            <w:r>
              <w:rPr>
                <w:rFonts w:ascii="Arial" w:cs="Arial" w:eastAsia="Arial" w:hAnsi="Arial"/>
                <w:sz w:val="14"/>
                <w:szCs w:val="14"/>
                <w:b w:val="1"/>
                <w:bCs w:val="1"/>
                <w:color w:val="auto"/>
              </w:rPr>
              <w:t>6</w:t>
            </w: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080" w:type="dxa"/>
            <w:vAlign w:val="bottom"/>
            <w:shd w:val="clear" w:color="auto" w:fill="EEECE1"/>
          </w:tcPr>
          <w:p>
            <w:pPr>
              <w:spacing w:after="0"/>
              <w:rPr>
                <w:sz w:val="12"/>
                <w:szCs w:val="12"/>
                <w:color w:val="auto"/>
              </w:rPr>
            </w:pPr>
          </w:p>
        </w:tc>
        <w:tc>
          <w:tcPr>
            <w:tcW w:w="6640" w:type="dxa"/>
            <w:vAlign w:val="bottom"/>
            <w:shd w:val="clear" w:color="auto" w:fill="EEECE1"/>
          </w:tcPr>
          <w:p>
            <w:pPr>
              <w:spacing w:after="0"/>
              <w:rPr>
                <w:sz w:val="12"/>
                <w:szCs w:val="12"/>
                <w:color w:val="auto"/>
              </w:rPr>
            </w:pPr>
          </w:p>
        </w:tc>
      </w:tr>
      <w:tr>
        <w:trPr>
          <w:trHeight w:val="171"/>
        </w:trPr>
        <w:tc>
          <w:tcPr>
            <w:tcW w:w="320" w:type="dxa"/>
            <w:vAlign w:val="bottom"/>
            <w:shd w:val="clear" w:color="auto" w:fill="EEECE1"/>
          </w:tcPr>
          <w:p>
            <w:pPr>
              <w:spacing w:after="0"/>
              <w:rPr>
                <w:sz w:val="14"/>
                <w:szCs w:val="14"/>
                <w:color w:val="auto"/>
              </w:rPr>
            </w:pP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080" w:type="dxa"/>
            <w:vAlign w:val="bottom"/>
            <w:shd w:val="clear" w:color="auto" w:fill="EEECE1"/>
          </w:tcPr>
          <w:p>
            <w:pPr>
              <w:spacing w:after="0"/>
              <w:rPr>
                <w:sz w:val="14"/>
                <w:szCs w:val="14"/>
                <w:color w:val="auto"/>
              </w:rPr>
            </w:pPr>
          </w:p>
        </w:tc>
        <w:tc>
          <w:tcPr>
            <w:tcW w:w="6640" w:type="dxa"/>
            <w:vAlign w:val="bottom"/>
            <w:shd w:val="clear" w:color="auto" w:fill="EEECE1"/>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17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FFFFFF"/>
                <w:w w:val="83"/>
              </w:rPr>
              <w:t>Corporate Bonds (includes</w:t>
            </w:r>
          </w:p>
        </w:tc>
        <w:tc>
          <w:tcPr>
            <w:tcW w:w="148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FFFFFF"/>
              </w:rPr>
              <w:t>Convertibles)</w:t>
            </w:r>
          </w:p>
        </w:tc>
        <w:tc>
          <w:tcPr>
            <w:tcW w:w="1080" w:type="dxa"/>
            <w:vAlign w:val="bottom"/>
          </w:tcPr>
          <w:p>
            <w:pPr>
              <w:spacing w:after="0"/>
              <w:rPr>
                <w:sz w:val="12"/>
                <w:szCs w:val="12"/>
                <w:color w:val="auto"/>
              </w:rPr>
            </w:pPr>
          </w:p>
        </w:tc>
        <w:tc>
          <w:tcPr>
            <w:tcW w:w="66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-89535</wp:posOffset>
            </wp:positionV>
            <wp:extent cx="6840855" cy="946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40855"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1140" w:type="dxa"/>
            <w:vAlign w:val="bottom"/>
          </w:tcPr>
          <w:p>
            <w:pPr>
              <w:spacing w:after="0"/>
              <w:rPr>
                <w:sz w:val="13"/>
                <w:szCs w:val="13"/>
                <w:color w:val="auto"/>
              </w:rPr>
            </w:pPr>
          </w:p>
        </w:tc>
        <w:tc>
          <w:tcPr>
            <w:tcW w:w="6480" w:type="dxa"/>
            <w:vAlign w:val="bottom"/>
            <w:shd w:val="clear" w:color="auto" w:fill="1F497D"/>
          </w:tcPr>
          <w:p>
            <w:pPr>
              <w:ind w:left="40"/>
              <w:spacing w:after="0" w:line="155" w:lineRule="exact"/>
              <w:rPr>
                <w:sz w:val="20"/>
                <w:szCs w:val="20"/>
                <w:color w:val="auto"/>
              </w:rPr>
            </w:pPr>
            <w:r>
              <w:rPr>
                <w:rFonts w:ascii="Arial" w:cs="Arial" w:eastAsia="Arial" w:hAnsi="Arial"/>
                <w:sz w:val="14"/>
                <w:szCs w:val="14"/>
                <w:b w:val="1"/>
                <w:bCs w:val="1"/>
                <w:color w:val="FFFFFF"/>
              </w:rPr>
              <w:t>AUD</w:t>
            </w:r>
          </w:p>
        </w:tc>
        <w:tc>
          <w:tcPr>
            <w:tcW w:w="3620" w:type="dxa"/>
            <w:vAlign w:val="bottom"/>
            <w:shd w:val="clear" w:color="auto" w:fill="1F497D"/>
          </w:tcPr>
          <w:p>
            <w:pPr>
              <w:spacing w:after="0"/>
              <w:rPr>
                <w:sz w:val="13"/>
                <w:szCs w:val="13"/>
                <w:color w:val="auto"/>
              </w:rPr>
            </w:pPr>
          </w:p>
        </w:tc>
      </w:tr>
      <w:tr>
        <w:trPr>
          <w:trHeight w:val="130"/>
        </w:trPr>
        <w:tc>
          <w:tcPr>
            <w:tcW w:w="1140" w:type="dxa"/>
            <w:vAlign w:val="bottom"/>
          </w:tcPr>
          <w:p>
            <w:pPr>
              <w:spacing w:after="0"/>
              <w:rPr>
                <w:sz w:val="11"/>
                <w:szCs w:val="11"/>
                <w:color w:val="auto"/>
              </w:rPr>
            </w:pPr>
          </w:p>
        </w:tc>
        <w:tc>
          <w:tcPr>
            <w:tcW w:w="6480" w:type="dxa"/>
            <w:vAlign w:val="bottom"/>
          </w:tcPr>
          <w:p>
            <w:pPr>
              <w:ind w:left="940"/>
              <w:spacing w:after="0" w:line="130" w:lineRule="exact"/>
              <w:rPr>
                <w:sz w:val="20"/>
                <w:szCs w:val="20"/>
                <w:color w:val="auto"/>
              </w:rPr>
            </w:pPr>
            <w:r>
              <w:rPr>
                <w:rFonts w:ascii="Arial" w:cs="Arial" w:eastAsia="Arial" w:hAnsi="Arial"/>
                <w:sz w:val="14"/>
                <w:szCs w:val="14"/>
                <w:color w:val="auto"/>
              </w:rPr>
              <w:t>Nort America</w:t>
            </w:r>
          </w:p>
        </w:tc>
        <w:tc>
          <w:tcPr>
            <w:tcW w:w="3620" w:type="dxa"/>
            <w:vAlign w:val="bottom"/>
          </w:tcPr>
          <w:p>
            <w:pPr>
              <w:spacing w:after="0"/>
              <w:rPr>
                <w:sz w:val="11"/>
                <w:szCs w:val="11"/>
                <w:color w:val="auto"/>
              </w:rPr>
            </w:pP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CA, Canada</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40" w:type="dxa"/>
            <w:vAlign w:val="bottom"/>
          </w:tcPr>
          <w:p>
            <w:pPr>
              <w:spacing w:after="0"/>
              <w:rPr>
                <w:sz w:val="15"/>
                <w:szCs w:val="15"/>
                <w:color w:val="auto"/>
              </w:rPr>
            </w:pPr>
          </w:p>
        </w:tc>
        <w:tc>
          <w:tcPr>
            <w:tcW w:w="6480" w:type="dxa"/>
            <w:vAlign w:val="bottom"/>
          </w:tcPr>
          <w:p>
            <w:pPr>
              <w:ind w:left="2420"/>
              <w:spacing w:after="0"/>
              <w:rPr>
                <w:sz w:val="20"/>
                <w:szCs w:val="20"/>
                <w:color w:val="auto"/>
              </w:rPr>
            </w:pPr>
            <w:r>
              <w:rPr>
                <w:rFonts w:ascii="Arial" w:cs="Arial" w:eastAsia="Arial" w:hAnsi="Arial"/>
                <w:sz w:val="14"/>
                <w:szCs w:val="14"/>
                <w:color w:val="auto"/>
              </w:rPr>
              <w:t>US, United States of America</w:t>
            </w:r>
          </w:p>
        </w:tc>
        <w:tc>
          <w:tcPr>
            <w:tcW w:w="3620" w:type="dxa"/>
            <w:vAlign w:val="bottom"/>
          </w:tcPr>
          <w:p>
            <w:pPr>
              <w:ind w:left="2320"/>
              <w:spacing w:after="0"/>
              <w:rPr>
                <w:sz w:val="20"/>
                <w:szCs w:val="20"/>
                <w:color w:val="auto"/>
              </w:rPr>
            </w:pPr>
            <w:r>
              <w:rPr>
                <w:rFonts w:ascii="Arial" w:cs="Arial" w:eastAsia="Arial" w:hAnsi="Arial"/>
                <w:sz w:val="14"/>
                <w:szCs w:val="14"/>
                <w:color w:val="auto"/>
              </w:rPr>
              <w:t>Composite Quote</w:t>
            </w:r>
          </w:p>
        </w:tc>
      </w:tr>
      <w:tr>
        <w:trPr>
          <w:trHeight w:val="263"/>
        </w:trPr>
        <w:tc>
          <w:tcPr>
            <w:tcW w:w="1140" w:type="dxa"/>
            <w:vAlign w:val="bottom"/>
          </w:tcPr>
          <w:p>
            <w:pPr>
              <w:spacing w:after="0"/>
              <w:rPr>
                <w:sz w:val="22"/>
                <w:szCs w:val="22"/>
                <w:color w:val="auto"/>
              </w:rPr>
            </w:pPr>
          </w:p>
        </w:tc>
        <w:tc>
          <w:tcPr>
            <w:tcW w:w="6480" w:type="dxa"/>
            <w:vAlign w:val="bottom"/>
          </w:tcPr>
          <w:p>
            <w:pPr>
              <w:ind w:left="940"/>
              <w:spacing w:after="0"/>
              <w:rPr>
                <w:sz w:val="20"/>
                <w:szCs w:val="20"/>
                <w:color w:val="auto"/>
              </w:rPr>
            </w:pPr>
            <w:r>
              <w:rPr>
                <w:rFonts w:ascii="Arial" w:cs="Arial" w:eastAsia="Arial" w:hAnsi="Arial"/>
                <w:sz w:val="14"/>
                <w:szCs w:val="14"/>
                <w:color w:val="auto"/>
              </w:rPr>
              <w:t>LATAM</w:t>
            </w:r>
          </w:p>
        </w:tc>
        <w:tc>
          <w:tcPr>
            <w:tcW w:w="3620" w:type="dxa"/>
            <w:vAlign w:val="bottom"/>
          </w:tcPr>
          <w:p>
            <w:pPr>
              <w:spacing w:after="0"/>
              <w:rPr>
                <w:sz w:val="22"/>
                <w:szCs w:val="22"/>
                <w:color w:val="auto"/>
              </w:rPr>
            </w:pP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CL, Chile</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KY, Cayman Islands</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MX, Mexico</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40" w:type="dxa"/>
            <w:vAlign w:val="bottom"/>
          </w:tcPr>
          <w:p>
            <w:pPr>
              <w:spacing w:after="0"/>
              <w:rPr>
                <w:sz w:val="15"/>
                <w:szCs w:val="15"/>
                <w:color w:val="auto"/>
              </w:rPr>
            </w:pPr>
          </w:p>
        </w:tc>
        <w:tc>
          <w:tcPr>
            <w:tcW w:w="6480" w:type="dxa"/>
            <w:vAlign w:val="bottom"/>
          </w:tcPr>
          <w:p>
            <w:pPr>
              <w:ind w:left="2420"/>
              <w:spacing w:after="0"/>
              <w:rPr>
                <w:sz w:val="20"/>
                <w:szCs w:val="20"/>
                <w:color w:val="auto"/>
              </w:rPr>
            </w:pPr>
            <w:r>
              <w:rPr>
                <w:rFonts w:ascii="Arial" w:cs="Arial" w:eastAsia="Arial" w:hAnsi="Arial"/>
                <w:sz w:val="14"/>
                <w:szCs w:val="14"/>
                <w:color w:val="auto"/>
              </w:rPr>
              <w:t>VG, Virgin Islands (British)</w:t>
            </w:r>
          </w:p>
        </w:tc>
        <w:tc>
          <w:tcPr>
            <w:tcW w:w="3620" w:type="dxa"/>
            <w:vAlign w:val="bottom"/>
          </w:tcPr>
          <w:p>
            <w:pPr>
              <w:ind w:left="2320"/>
              <w:spacing w:after="0"/>
              <w:rPr>
                <w:sz w:val="20"/>
                <w:szCs w:val="20"/>
                <w:color w:val="auto"/>
              </w:rPr>
            </w:pPr>
            <w:r>
              <w:rPr>
                <w:rFonts w:ascii="Arial" w:cs="Arial" w:eastAsia="Arial" w:hAnsi="Arial"/>
                <w:sz w:val="14"/>
                <w:szCs w:val="14"/>
                <w:color w:val="auto"/>
              </w:rPr>
              <w:t>Composite Quote</w:t>
            </w:r>
          </w:p>
        </w:tc>
      </w:tr>
      <w:tr>
        <w:trPr>
          <w:trHeight w:val="263"/>
        </w:trPr>
        <w:tc>
          <w:tcPr>
            <w:tcW w:w="1140" w:type="dxa"/>
            <w:vAlign w:val="bottom"/>
          </w:tcPr>
          <w:p>
            <w:pPr>
              <w:spacing w:after="0"/>
              <w:rPr>
                <w:sz w:val="22"/>
                <w:szCs w:val="22"/>
                <w:color w:val="auto"/>
              </w:rPr>
            </w:pPr>
          </w:p>
        </w:tc>
        <w:tc>
          <w:tcPr>
            <w:tcW w:w="6480" w:type="dxa"/>
            <w:vAlign w:val="bottom"/>
          </w:tcPr>
          <w:p>
            <w:pPr>
              <w:ind w:left="940"/>
              <w:spacing w:after="0"/>
              <w:rPr>
                <w:sz w:val="20"/>
                <w:szCs w:val="20"/>
                <w:color w:val="auto"/>
              </w:rPr>
            </w:pPr>
            <w:r>
              <w:rPr>
                <w:rFonts w:ascii="Arial" w:cs="Arial" w:eastAsia="Arial" w:hAnsi="Arial"/>
                <w:sz w:val="14"/>
                <w:szCs w:val="14"/>
                <w:color w:val="auto"/>
              </w:rPr>
              <w:t>Western Europe</w:t>
            </w:r>
          </w:p>
        </w:tc>
        <w:tc>
          <w:tcPr>
            <w:tcW w:w="3620" w:type="dxa"/>
            <w:vAlign w:val="bottom"/>
          </w:tcPr>
          <w:p>
            <w:pPr>
              <w:spacing w:after="0"/>
              <w:rPr>
                <w:sz w:val="22"/>
                <w:szCs w:val="22"/>
                <w:color w:val="auto"/>
              </w:rPr>
            </w:pP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AT, Austria</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CH, Switzerland</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DE, Germany</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DK, Denmark</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ES, Spain</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FR, France</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GB, United Kingdom</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IE, Ireland</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IT, Italy</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JE, Jersey</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LU, Luxembourg</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NL, Netherlands</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SE, Sweden</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40" w:type="dxa"/>
            <w:vAlign w:val="bottom"/>
          </w:tcPr>
          <w:p>
            <w:pPr>
              <w:spacing w:after="0"/>
              <w:rPr>
                <w:sz w:val="15"/>
                <w:szCs w:val="15"/>
                <w:color w:val="auto"/>
              </w:rPr>
            </w:pPr>
          </w:p>
        </w:tc>
        <w:tc>
          <w:tcPr>
            <w:tcW w:w="6480" w:type="dxa"/>
            <w:vAlign w:val="bottom"/>
          </w:tcPr>
          <w:p>
            <w:pPr>
              <w:ind w:left="2420"/>
              <w:spacing w:after="0"/>
              <w:rPr>
                <w:sz w:val="20"/>
                <w:szCs w:val="20"/>
                <w:color w:val="auto"/>
              </w:rPr>
            </w:pPr>
            <w:r>
              <w:rPr>
                <w:rFonts w:ascii="Arial" w:cs="Arial" w:eastAsia="Arial" w:hAnsi="Arial"/>
                <w:sz w:val="14"/>
                <w:szCs w:val="14"/>
                <w:color w:val="auto"/>
              </w:rPr>
              <w:t>UK, United Kingdom</w:t>
            </w:r>
          </w:p>
        </w:tc>
        <w:tc>
          <w:tcPr>
            <w:tcW w:w="3620" w:type="dxa"/>
            <w:vAlign w:val="bottom"/>
          </w:tcPr>
          <w:p>
            <w:pPr>
              <w:ind w:left="2320"/>
              <w:spacing w:after="0"/>
              <w:rPr>
                <w:sz w:val="20"/>
                <w:szCs w:val="20"/>
                <w:color w:val="auto"/>
              </w:rPr>
            </w:pPr>
            <w:r>
              <w:rPr>
                <w:rFonts w:ascii="Arial" w:cs="Arial" w:eastAsia="Arial" w:hAnsi="Arial"/>
                <w:sz w:val="14"/>
                <w:szCs w:val="14"/>
                <w:color w:val="auto"/>
              </w:rPr>
              <w:t>Composite Quote</w:t>
            </w:r>
          </w:p>
        </w:tc>
      </w:tr>
      <w:tr>
        <w:trPr>
          <w:trHeight w:val="263"/>
        </w:trPr>
        <w:tc>
          <w:tcPr>
            <w:tcW w:w="1140" w:type="dxa"/>
            <w:vAlign w:val="bottom"/>
          </w:tcPr>
          <w:p>
            <w:pPr>
              <w:spacing w:after="0"/>
              <w:rPr>
                <w:sz w:val="22"/>
                <w:szCs w:val="22"/>
                <w:color w:val="auto"/>
              </w:rPr>
            </w:pPr>
          </w:p>
        </w:tc>
        <w:tc>
          <w:tcPr>
            <w:tcW w:w="6480" w:type="dxa"/>
            <w:vAlign w:val="bottom"/>
          </w:tcPr>
          <w:p>
            <w:pPr>
              <w:ind w:left="940"/>
              <w:spacing w:after="0"/>
              <w:rPr>
                <w:sz w:val="20"/>
                <w:szCs w:val="20"/>
                <w:color w:val="auto"/>
              </w:rPr>
            </w:pPr>
            <w:r>
              <w:rPr>
                <w:rFonts w:ascii="Arial" w:cs="Arial" w:eastAsia="Arial" w:hAnsi="Arial"/>
                <w:sz w:val="14"/>
                <w:szCs w:val="14"/>
                <w:color w:val="auto"/>
              </w:rPr>
              <w:t>CEEMEA</w:t>
            </w:r>
          </w:p>
        </w:tc>
        <w:tc>
          <w:tcPr>
            <w:tcW w:w="3620" w:type="dxa"/>
            <w:vAlign w:val="bottom"/>
          </w:tcPr>
          <w:p>
            <w:pPr>
              <w:spacing w:after="0"/>
              <w:rPr>
                <w:sz w:val="22"/>
                <w:szCs w:val="22"/>
                <w:color w:val="auto"/>
              </w:rPr>
            </w:pP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AE, United Arab Emirates</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BH, Bahrain</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40" w:type="dxa"/>
            <w:vAlign w:val="bottom"/>
          </w:tcPr>
          <w:p>
            <w:pPr>
              <w:spacing w:after="0"/>
              <w:rPr>
                <w:sz w:val="15"/>
                <w:szCs w:val="15"/>
                <w:color w:val="auto"/>
              </w:rPr>
            </w:pPr>
          </w:p>
        </w:tc>
        <w:tc>
          <w:tcPr>
            <w:tcW w:w="6480" w:type="dxa"/>
            <w:vAlign w:val="bottom"/>
          </w:tcPr>
          <w:p>
            <w:pPr>
              <w:ind w:left="2420"/>
              <w:spacing w:after="0"/>
              <w:rPr>
                <w:sz w:val="20"/>
                <w:szCs w:val="20"/>
                <w:color w:val="auto"/>
              </w:rPr>
            </w:pPr>
            <w:r>
              <w:rPr>
                <w:rFonts w:ascii="Arial" w:cs="Arial" w:eastAsia="Arial" w:hAnsi="Arial"/>
                <w:sz w:val="14"/>
                <w:szCs w:val="14"/>
                <w:color w:val="auto"/>
              </w:rPr>
              <w:t>TR, Turkey</w:t>
            </w:r>
          </w:p>
        </w:tc>
        <w:tc>
          <w:tcPr>
            <w:tcW w:w="3620" w:type="dxa"/>
            <w:vAlign w:val="bottom"/>
          </w:tcPr>
          <w:p>
            <w:pPr>
              <w:ind w:left="2320"/>
              <w:spacing w:after="0"/>
              <w:rPr>
                <w:sz w:val="20"/>
                <w:szCs w:val="20"/>
                <w:color w:val="auto"/>
              </w:rPr>
            </w:pPr>
            <w:r>
              <w:rPr>
                <w:rFonts w:ascii="Arial" w:cs="Arial" w:eastAsia="Arial" w:hAnsi="Arial"/>
                <w:sz w:val="14"/>
                <w:szCs w:val="14"/>
                <w:color w:val="auto"/>
              </w:rPr>
              <w:t>Composite Quote</w:t>
            </w:r>
          </w:p>
        </w:tc>
      </w:tr>
      <w:tr>
        <w:trPr>
          <w:trHeight w:val="263"/>
        </w:trPr>
        <w:tc>
          <w:tcPr>
            <w:tcW w:w="1140" w:type="dxa"/>
            <w:vAlign w:val="bottom"/>
          </w:tcPr>
          <w:p>
            <w:pPr>
              <w:spacing w:after="0"/>
              <w:rPr>
                <w:sz w:val="22"/>
                <w:szCs w:val="22"/>
                <w:color w:val="auto"/>
              </w:rPr>
            </w:pPr>
          </w:p>
        </w:tc>
        <w:tc>
          <w:tcPr>
            <w:tcW w:w="6480" w:type="dxa"/>
            <w:vAlign w:val="bottom"/>
          </w:tcPr>
          <w:p>
            <w:pPr>
              <w:ind w:left="940"/>
              <w:spacing w:after="0"/>
              <w:rPr>
                <w:sz w:val="20"/>
                <w:szCs w:val="20"/>
                <w:color w:val="auto"/>
              </w:rPr>
            </w:pPr>
            <w:r>
              <w:rPr>
                <w:rFonts w:ascii="Arial" w:cs="Arial" w:eastAsia="Arial" w:hAnsi="Arial"/>
                <w:sz w:val="14"/>
                <w:szCs w:val="14"/>
                <w:color w:val="auto"/>
              </w:rPr>
              <w:t>Asia</w:t>
            </w:r>
          </w:p>
        </w:tc>
        <w:tc>
          <w:tcPr>
            <w:tcW w:w="3620" w:type="dxa"/>
            <w:vAlign w:val="bottom"/>
          </w:tcPr>
          <w:p>
            <w:pPr>
              <w:spacing w:after="0"/>
              <w:rPr>
                <w:sz w:val="22"/>
                <w:szCs w:val="22"/>
                <w:color w:val="auto"/>
              </w:rPr>
            </w:pP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AU, Australia</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CN, China</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HK, Hong Kong</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IN, India</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JP, Japan</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KR, Korea (Republic of)</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MY, Malaysia</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140" w:type="dxa"/>
            <w:vAlign w:val="bottom"/>
          </w:tcPr>
          <w:p>
            <w:pPr>
              <w:spacing w:after="0"/>
              <w:rPr>
                <w:sz w:val="12"/>
                <w:szCs w:val="12"/>
                <w:color w:val="auto"/>
              </w:rPr>
            </w:pPr>
          </w:p>
        </w:tc>
        <w:tc>
          <w:tcPr>
            <w:tcW w:w="6480" w:type="dxa"/>
            <w:vAlign w:val="bottom"/>
          </w:tcPr>
          <w:p>
            <w:pPr>
              <w:ind w:left="2420"/>
              <w:spacing w:after="0" w:line="149" w:lineRule="exact"/>
              <w:rPr>
                <w:sz w:val="20"/>
                <w:szCs w:val="20"/>
                <w:color w:val="auto"/>
              </w:rPr>
            </w:pPr>
            <w:r>
              <w:rPr>
                <w:rFonts w:ascii="Arial" w:cs="Arial" w:eastAsia="Arial" w:hAnsi="Arial"/>
                <w:sz w:val="14"/>
                <w:szCs w:val="14"/>
                <w:color w:val="auto"/>
              </w:rPr>
              <w:t>NZ, New Zealand</w:t>
            </w:r>
          </w:p>
        </w:tc>
        <w:tc>
          <w:tcPr>
            <w:tcW w:w="3620" w:type="dxa"/>
            <w:vAlign w:val="bottom"/>
          </w:tcPr>
          <w:p>
            <w:pPr>
              <w:ind w:left="232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40" w:type="dxa"/>
            <w:vAlign w:val="bottom"/>
          </w:tcPr>
          <w:p>
            <w:pPr>
              <w:spacing w:after="0"/>
              <w:rPr>
                <w:sz w:val="15"/>
                <w:szCs w:val="15"/>
                <w:color w:val="auto"/>
              </w:rPr>
            </w:pPr>
          </w:p>
        </w:tc>
        <w:tc>
          <w:tcPr>
            <w:tcW w:w="6480" w:type="dxa"/>
            <w:vAlign w:val="bottom"/>
          </w:tcPr>
          <w:p>
            <w:pPr>
              <w:ind w:left="2420"/>
              <w:spacing w:after="0"/>
              <w:rPr>
                <w:sz w:val="20"/>
                <w:szCs w:val="20"/>
                <w:color w:val="auto"/>
              </w:rPr>
            </w:pPr>
            <w:r>
              <w:rPr>
                <w:rFonts w:ascii="Arial" w:cs="Arial" w:eastAsia="Arial" w:hAnsi="Arial"/>
                <w:sz w:val="14"/>
                <w:szCs w:val="14"/>
                <w:color w:val="auto"/>
              </w:rPr>
              <w:t>SG, Singapore</w:t>
            </w:r>
          </w:p>
        </w:tc>
        <w:tc>
          <w:tcPr>
            <w:tcW w:w="3620" w:type="dxa"/>
            <w:vAlign w:val="bottom"/>
          </w:tcPr>
          <w:p>
            <w:pPr>
              <w:ind w:left="2320"/>
              <w:spacing w:after="0"/>
              <w:rPr>
                <w:sz w:val="20"/>
                <w:szCs w:val="20"/>
                <w:color w:val="auto"/>
              </w:rPr>
            </w:pPr>
            <w:r>
              <w:rPr>
                <w:rFonts w:ascii="Arial" w:cs="Arial" w:eastAsia="Arial" w:hAnsi="Arial"/>
                <w:sz w:val="14"/>
                <w:szCs w:val="14"/>
                <w:color w:val="auto"/>
              </w:rPr>
              <w:t>Composite Quote</w:t>
            </w:r>
          </w:p>
        </w:tc>
      </w:tr>
      <w:tr>
        <w:trPr>
          <w:trHeight w:val="633"/>
        </w:trPr>
        <w:tc>
          <w:tcPr>
            <w:tcW w:w="11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283" w:name="page284"/>
    <w:bookmarkEnd w:id="2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1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CHF</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BM, Bermuda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BR, Brazil</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CL, Chile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CW, Curaçao</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MX, Mexico</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PA, Panama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PE, Peru</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GR, Greece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LI, Liechtenstein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CZ, Czech Republic</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LT, Lithuania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PL, Poland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SK, Slovakia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MY, Malaysia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NZ, New Zealand</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4" w:name="page285"/>
    <w:bookmarkEnd w:id="2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1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CZK</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CZ, Czech Republic</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DKK</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DK, Denmark</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EUR</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AR, Argentina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BM, Bermuda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BR, Brazil</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BS, Bahamas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CL, Chile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MX, Mexico</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PE, Peru</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VG, Virgin Islands (British)</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GB, United Kingdom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GR, Greece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PL, Poland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PT, Portugal</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5" w:name="page286"/>
    <w:bookmarkEnd w:id="2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00" w:type="dxa"/>
            <w:vAlign w:val="bottom"/>
            <w:shd w:val="clear" w:color="auto" w:fill="EEECE1"/>
          </w:tcPr>
          <w:p>
            <w:pPr>
              <w:jc w:val="right"/>
              <w:ind w:right="70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8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2920" w:type="dxa"/>
            <w:vAlign w:val="bottom"/>
            <w:shd w:val="clear" w:color="auto" w:fill="EEECE1"/>
          </w:tcPr>
          <w:p>
            <w:pPr>
              <w:jc w:val="right"/>
              <w:ind w:right="2528"/>
              <w:spacing w:after="0"/>
              <w:rPr>
                <w:sz w:val="20"/>
                <w:szCs w:val="20"/>
                <w:color w:val="auto"/>
              </w:rPr>
            </w:pPr>
            <w:r>
              <w:rPr>
                <w:rFonts w:ascii="Arial" w:cs="Arial" w:eastAsia="Arial" w:hAnsi="Arial"/>
                <w:sz w:val="14"/>
                <w:szCs w:val="14"/>
                <w:b w:val="1"/>
                <w:bCs w:val="1"/>
                <w:color w:val="auto"/>
              </w:rPr>
              <w:t>6</w:t>
            </w:r>
          </w:p>
        </w:tc>
        <w:tc>
          <w:tcPr>
            <w:tcW w:w="30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800" w:type="dxa"/>
            <w:vAlign w:val="bottom"/>
            <w:shd w:val="clear" w:color="auto" w:fill="EEECE1"/>
          </w:tcPr>
          <w:p>
            <w:pPr>
              <w:spacing w:after="0"/>
              <w:rPr>
                <w:sz w:val="12"/>
                <w:szCs w:val="12"/>
                <w:color w:val="auto"/>
              </w:rPr>
            </w:pPr>
          </w:p>
        </w:tc>
        <w:tc>
          <w:tcPr>
            <w:tcW w:w="2920" w:type="dxa"/>
            <w:vAlign w:val="bottom"/>
            <w:shd w:val="clear" w:color="auto" w:fill="EEECE1"/>
          </w:tcPr>
          <w:p>
            <w:pPr>
              <w:spacing w:after="0"/>
              <w:rPr>
                <w:sz w:val="12"/>
                <w:szCs w:val="12"/>
                <w:color w:val="auto"/>
              </w:rPr>
            </w:pPr>
          </w:p>
        </w:tc>
        <w:tc>
          <w:tcPr>
            <w:tcW w:w="30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800" w:type="dxa"/>
            <w:vAlign w:val="bottom"/>
            <w:shd w:val="clear" w:color="auto" w:fill="EEECE1"/>
          </w:tcPr>
          <w:p>
            <w:pPr>
              <w:spacing w:after="0"/>
              <w:rPr>
                <w:sz w:val="14"/>
                <w:szCs w:val="14"/>
                <w:color w:val="auto"/>
              </w:rPr>
            </w:pPr>
          </w:p>
        </w:tc>
        <w:tc>
          <w:tcPr>
            <w:tcW w:w="2920" w:type="dxa"/>
            <w:vAlign w:val="bottom"/>
            <w:shd w:val="clear" w:color="auto" w:fill="EEECE1"/>
          </w:tcPr>
          <w:p>
            <w:pPr>
              <w:spacing w:after="0"/>
              <w:rPr>
                <w:sz w:val="14"/>
                <w:szCs w:val="14"/>
                <w:color w:val="auto"/>
              </w:rPr>
            </w:pPr>
          </w:p>
        </w:tc>
        <w:tc>
          <w:tcPr>
            <w:tcW w:w="30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80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2920" w:type="dxa"/>
            <w:vAlign w:val="bottom"/>
          </w:tcPr>
          <w:p>
            <w:pPr>
              <w:spacing w:after="0"/>
              <w:rPr>
                <w:sz w:val="15"/>
                <w:szCs w:val="15"/>
                <w:color w:val="auto"/>
              </w:rPr>
            </w:pPr>
          </w:p>
        </w:tc>
        <w:tc>
          <w:tcPr>
            <w:tcW w:w="3000" w:type="dxa"/>
            <w:vAlign w:val="bottom"/>
            <w:vMerge w:val="restart"/>
          </w:tcPr>
          <w:p>
            <w:pPr>
              <w:ind w:left="17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AL, Albania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BG, Bulgaria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CY, Cyprus</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CZ, Czech Republic</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EE, Estonia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HR, Croatia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IL, Israel</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IR, Iraq</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KZ, Kazakhstan</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LB, Lebanon</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LT, Lithuania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LV, Latvia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ME, Montenegro</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MK, Macedonia (the former Yugoslav Republic of)</w:t>
            </w: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RO, Romania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RS, Serbia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RU, Russian Federation</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SI, Slovenia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SK, Slovakia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TN, Tunisia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TR, Turkey</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MA, Morocco</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2920" w:type="dxa"/>
            <w:vAlign w:val="bottom"/>
          </w:tcPr>
          <w:p>
            <w:pPr>
              <w:spacing w:after="0"/>
              <w:rPr>
                <w:sz w:val="15"/>
                <w:szCs w:val="15"/>
                <w:color w:val="auto"/>
              </w:rPr>
            </w:pPr>
          </w:p>
        </w:tc>
        <w:tc>
          <w:tcPr>
            <w:tcW w:w="3000" w:type="dxa"/>
            <w:vAlign w:val="bottom"/>
          </w:tcPr>
          <w:p>
            <w:pPr>
              <w:ind w:left="17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80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2920" w:type="dxa"/>
            <w:vAlign w:val="bottom"/>
          </w:tcPr>
          <w:p>
            <w:pPr>
              <w:spacing w:after="0"/>
              <w:rPr>
                <w:sz w:val="24"/>
                <w:szCs w:val="24"/>
                <w:color w:val="auto"/>
              </w:rPr>
            </w:pPr>
          </w:p>
        </w:tc>
        <w:tc>
          <w:tcPr>
            <w:tcW w:w="3000" w:type="dxa"/>
            <w:vAlign w:val="bottom"/>
            <w:vMerge w:val="restart"/>
          </w:tcPr>
          <w:p>
            <w:pPr>
              <w:ind w:left="17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CN, China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ID, Indonesia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IN, India</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NZ, New Zealand</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PH, Philippines</w:t>
            </w:r>
          </w:p>
        </w:tc>
        <w:tc>
          <w:tcPr>
            <w:tcW w:w="2920" w:type="dxa"/>
            <w:vAlign w:val="bottom"/>
          </w:tcPr>
          <w:p>
            <w:pPr>
              <w:spacing w:after="0"/>
              <w:rPr>
                <w:sz w:val="12"/>
                <w:szCs w:val="12"/>
                <w:color w:val="auto"/>
              </w:rPr>
            </w:pPr>
          </w:p>
        </w:tc>
        <w:tc>
          <w:tcPr>
            <w:tcW w:w="3000" w:type="dxa"/>
            <w:vAlign w:val="bottom"/>
          </w:tcPr>
          <w:p>
            <w:pPr>
              <w:ind w:left="17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0" w:type="dxa"/>
            <w:vAlign w:val="bottom"/>
          </w:tcPr>
          <w:p>
            <w:pPr>
              <w:ind w:left="40"/>
              <w:spacing w:after="0"/>
              <w:rPr>
                <w:sz w:val="20"/>
                <w:szCs w:val="20"/>
                <w:color w:val="auto"/>
              </w:rPr>
            </w:pPr>
            <w:r>
              <w:rPr>
                <w:rFonts w:ascii="Arial" w:cs="Arial" w:eastAsia="Arial" w:hAnsi="Arial"/>
                <w:sz w:val="14"/>
                <w:szCs w:val="14"/>
                <w:color w:val="auto"/>
              </w:rPr>
              <w:t>SG, Singapore</w:t>
            </w:r>
          </w:p>
        </w:tc>
        <w:tc>
          <w:tcPr>
            <w:tcW w:w="2920" w:type="dxa"/>
            <w:vAlign w:val="bottom"/>
          </w:tcPr>
          <w:p>
            <w:pPr>
              <w:spacing w:after="0"/>
              <w:rPr>
                <w:sz w:val="15"/>
                <w:szCs w:val="15"/>
                <w:color w:val="auto"/>
              </w:rPr>
            </w:pPr>
          </w:p>
        </w:tc>
        <w:tc>
          <w:tcPr>
            <w:tcW w:w="3000" w:type="dxa"/>
            <w:vAlign w:val="bottom"/>
          </w:tcPr>
          <w:p>
            <w:pPr>
              <w:ind w:left="17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6" w:name="page287"/>
    <w:bookmarkEnd w:id="2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1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GBP</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BM, Bermuda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MX, Mexico</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GB, United Kingdom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PT, Portugal</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IL, Israel</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SK, Slovakia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HK, Hong Kong</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NZ, New Zealand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SG, Singapore</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7" w:name="page288"/>
    <w:bookmarkEnd w:id="2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1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HUF</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Neatherlands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XS, Eurobond</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HU, Hungary</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NOK</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BM, Bermuda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KY, Cayman Islands</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CY, Cyprus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MC, Monaco</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SK, Slovakia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SG, Singapore</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1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NZD</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DE, Germany</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NZ, New Zealand</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PLN</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PL, Poland</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RUB</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BS, Bahamas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CH, Switzerland</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XS, Eurobond</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RU, Russian Federation</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1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SEK</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BM, Bermuda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CH, Switzerland</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XS, Eurobond</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MU, Mauritius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TRY</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ind w:left="160"/>
              <w:spacing w:after="0" w:line="149" w:lineRule="exact"/>
              <w:rPr>
                <w:sz w:val="20"/>
                <w:szCs w:val="20"/>
                <w:color w:val="auto"/>
              </w:rPr>
            </w:pPr>
            <w:r>
              <w:rPr>
                <w:rFonts w:ascii="Arial" w:cs="Arial" w:eastAsia="Arial" w:hAnsi="Arial"/>
                <w:sz w:val="14"/>
                <w:szCs w:val="14"/>
                <w:b w:val="1"/>
                <w:bCs w:val="1"/>
                <w:color w:val="FFFFFF"/>
              </w:rPr>
              <w:t>NOT ON TR FEED</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AU, Australia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TR, Turkey</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2480" w:type="dxa"/>
            <w:vAlign w:val="bottom"/>
            <w:shd w:val="clear" w:color="auto" w:fill="EEECE1"/>
          </w:tcPr>
          <w:p>
            <w:pPr>
              <w:jc w:val="right"/>
              <w:ind w:right="2188"/>
              <w:spacing w:after="0"/>
              <w:rPr>
                <w:sz w:val="20"/>
                <w:szCs w:val="20"/>
                <w:color w:val="auto"/>
              </w:rPr>
            </w:pPr>
            <w:r>
              <w:rPr>
                <w:rFonts w:ascii="Arial" w:cs="Arial" w:eastAsia="Arial" w:hAnsi="Arial"/>
                <w:sz w:val="14"/>
                <w:szCs w:val="14"/>
                <w:b w:val="1"/>
                <w:bCs w:val="1"/>
                <w:color w:val="auto"/>
              </w:rPr>
              <w:t>6</w:t>
            </w:r>
          </w:p>
        </w:tc>
        <w:tc>
          <w:tcPr>
            <w:tcW w:w="33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2480" w:type="dxa"/>
            <w:vAlign w:val="bottom"/>
            <w:shd w:val="clear" w:color="auto" w:fill="EEECE1"/>
          </w:tcPr>
          <w:p>
            <w:pPr>
              <w:spacing w:after="0"/>
              <w:rPr>
                <w:sz w:val="12"/>
                <w:szCs w:val="12"/>
                <w:color w:val="auto"/>
              </w:rPr>
            </w:pPr>
          </w:p>
        </w:tc>
        <w:tc>
          <w:tcPr>
            <w:tcW w:w="33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2480" w:type="dxa"/>
            <w:vAlign w:val="bottom"/>
            <w:shd w:val="clear" w:color="auto" w:fill="EEECE1"/>
          </w:tcPr>
          <w:p>
            <w:pPr>
              <w:spacing w:after="0"/>
              <w:rPr>
                <w:sz w:val="14"/>
                <w:szCs w:val="14"/>
                <w:color w:val="auto"/>
              </w:rPr>
            </w:pPr>
          </w:p>
        </w:tc>
        <w:tc>
          <w:tcPr>
            <w:tcW w:w="33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2480" w:type="dxa"/>
            <w:vAlign w:val="bottom"/>
            <w:shd w:val="clear" w:color="auto" w:fill="1F497D"/>
          </w:tcPr>
          <w:p>
            <w:pPr>
              <w:spacing w:after="0"/>
              <w:rPr>
                <w:sz w:val="12"/>
                <w:szCs w:val="12"/>
                <w:color w:val="auto"/>
              </w:rPr>
            </w:pPr>
          </w:p>
        </w:tc>
        <w:tc>
          <w:tcPr>
            <w:tcW w:w="33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2480" w:type="dxa"/>
            <w:vAlign w:val="bottom"/>
          </w:tcPr>
          <w:p>
            <w:pPr>
              <w:spacing w:after="0"/>
              <w:rPr>
                <w:sz w:val="15"/>
                <w:szCs w:val="15"/>
                <w:color w:val="auto"/>
              </w:rPr>
            </w:pPr>
          </w:p>
        </w:tc>
        <w:tc>
          <w:tcPr>
            <w:tcW w:w="3340" w:type="dxa"/>
            <w:vAlign w:val="bottom"/>
            <w:vMerge w:val="restart"/>
          </w:tcPr>
          <w:p>
            <w:pPr>
              <w:ind w:left="20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US, United States of America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US, AiPrice</w:t>
            </w:r>
          </w:p>
        </w:tc>
        <w:tc>
          <w:tcPr>
            <w:tcW w:w="2480" w:type="dxa"/>
            <w:vAlign w:val="bottom"/>
          </w:tcPr>
          <w:p>
            <w:pPr>
              <w:spacing w:after="0"/>
              <w:rPr>
                <w:sz w:val="15"/>
                <w:szCs w:val="15"/>
                <w:color w:val="auto"/>
              </w:rPr>
            </w:pPr>
          </w:p>
        </w:tc>
        <w:tc>
          <w:tcPr>
            <w:tcW w:w="3340" w:type="dxa"/>
            <w:vAlign w:val="bottom"/>
          </w:tcPr>
          <w:p>
            <w:pPr>
              <w:ind w:left="2040"/>
              <w:spacing w:after="0"/>
              <w:rPr>
                <w:sz w:val="20"/>
                <w:szCs w:val="20"/>
                <w:color w:val="auto"/>
              </w:rPr>
            </w:pPr>
            <w:r>
              <w:rPr>
                <w:rFonts w:ascii="Arial" w:cs="Arial" w:eastAsia="Arial" w:hAnsi="Arial"/>
                <w:sz w:val="14"/>
                <w:szCs w:val="14"/>
                <w:color w:val="auto"/>
              </w:rPr>
              <w:t>Evaluated Price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2480" w:type="dxa"/>
            <w:vAlign w:val="bottom"/>
          </w:tcPr>
          <w:p>
            <w:pPr>
              <w:spacing w:after="0"/>
              <w:rPr>
                <w:sz w:val="24"/>
                <w:szCs w:val="24"/>
                <w:color w:val="auto"/>
              </w:rPr>
            </w:pPr>
          </w:p>
        </w:tc>
        <w:tc>
          <w:tcPr>
            <w:tcW w:w="3340" w:type="dxa"/>
            <w:vAlign w:val="bottom"/>
            <w:vMerge w:val="restart"/>
          </w:tcPr>
          <w:p>
            <w:pPr>
              <w:ind w:left="20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AR, Argentina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BB, Barbados</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BM, Bermuda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BO, Bolivia (Plurinational State of)</w:t>
            </w: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BR, Brazil</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BS, Bahamas</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BZ, Belize</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CL, Chile</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CO, Colombia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CR, Costa Rica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CW, Curaçao</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DO, Dominican Republic</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EC, Ecuador</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GT, Guatemala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HN, Honduras</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JM, Jamaica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LC, Saint Lucia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MX, Mexico</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PA, Panama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PE, Peru</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PR, Puerto Rico</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PY, Paraguay</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SV, El Salvador</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TT, Trinidad and Tobago</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SX, Sint Maarten</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UY, Uruguay</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VE, Venezuela (Bolivarian Republic of)</w:t>
            </w: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VG, Virgin Islands (British)</w:t>
            </w:r>
          </w:p>
        </w:tc>
        <w:tc>
          <w:tcPr>
            <w:tcW w:w="2480" w:type="dxa"/>
            <w:vAlign w:val="bottom"/>
          </w:tcPr>
          <w:p>
            <w:pPr>
              <w:spacing w:after="0"/>
              <w:rPr>
                <w:sz w:val="15"/>
                <w:szCs w:val="15"/>
                <w:color w:val="auto"/>
              </w:rPr>
            </w:pPr>
          </w:p>
        </w:tc>
        <w:tc>
          <w:tcPr>
            <w:tcW w:w="3340" w:type="dxa"/>
            <w:vAlign w:val="bottom"/>
          </w:tcPr>
          <w:p>
            <w:pPr>
              <w:ind w:left="20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2480" w:type="dxa"/>
            <w:vAlign w:val="bottom"/>
          </w:tcPr>
          <w:p>
            <w:pPr>
              <w:spacing w:after="0"/>
              <w:rPr>
                <w:sz w:val="24"/>
                <w:szCs w:val="24"/>
                <w:color w:val="auto"/>
              </w:rPr>
            </w:pPr>
          </w:p>
        </w:tc>
        <w:tc>
          <w:tcPr>
            <w:tcW w:w="3340" w:type="dxa"/>
            <w:vAlign w:val="bottom"/>
            <w:vMerge w:val="restart"/>
          </w:tcPr>
          <w:p>
            <w:pPr>
              <w:ind w:left="20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CY, Cyprus</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GB, United Kingdom</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GR, Greece</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IM, Isle of Man</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MC, Monaco</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MT, Malta</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PT, Portugal</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2480" w:type="dxa"/>
            <w:vAlign w:val="bottom"/>
          </w:tcPr>
          <w:p>
            <w:pPr>
              <w:spacing w:after="0"/>
              <w:rPr>
                <w:sz w:val="12"/>
                <w:szCs w:val="12"/>
                <w:color w:val="auto"/>
              </w:rPr>
            </w:pPr>
          </w:p>
        </w:tc>
        <w:tc>
          <w:tcPr>
            <w:tcW w:w="3340" w:type="dxa"/>
            <w:vAlign w:val="bottom"/>
          </w:tcPr>
          <w:p>
            <w:pPr>
              <w:ind w:left="20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2480" w:type="dxa"/>
            <w:vAlign w:val="bottom"/>
          </w:tcPr>
          <w:p>
            <w:pPr>
              <w:spacing w:after="0"/>
              <w:rPr>
                <w:sz w:val="15"/>
                <w:szCs w:val="15"/>
                <w:color w:val="auto"/>
              </w:rPr>
            </w:pPr>
          </w:p>
        </w:tc>
        <w:tc>
          <w:tcPr>
            <w:tcW w:w="3340" w:type="dxa"/>
            <w:vAlign w:val="bottom"/>
          </w:tcPr>
          <w:p>
            <w:pPr>
              <w:ind w:left="20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1" w:name="page292"/>
    <w:bookmarkEnd w:id="2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00" w:type="dxa"/>
            <w:vAlign w:val="bottom"/>
            <w:shd w:val="clear" w:color="auto" w:fill="EEECE1"/>
          </w:tcPr>
          <w:p>
            <w:pPr>
              <w:jc w:val="right"/>
              <w:ind w:right="70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760" w:type="dxa"/>
            <w:vAlign w:val="bottom"/>
            <w:shd w:val="clear" w:color="auto" w:fill="EEECE1"/>
          </w:tcPr>
          <w:p>
            <w:pPr>
              <w:ind w:left="10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60" w:type="dxa"/>
            <w:vAlign w:val="bottom"/>
            <w:shd w:val="clear" w:color="auto" w:fill="EEECE1"/>
          </w:tcPr>
          <w:p>
            <w:pPr>
              <w:spacing w:after="0"/>
              <w:rPr>
                <w:sz w:val="12"/>
                <w:szCs w:val="12"/>
                <w:color w:val="auto"/>
              </w:rPr>
            </w:pPr>
          </w:p>
        </w:tc>
        <w:tc>
          <w:tcPr>
            <w:tcW w:w="576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60" w:type="dxa"/>
            <w:vAlign w:val="bottom"/>
            <w:shd w:val="clear" w:color="auto" w:fill="EEECE1"/>
          </w:tcPr>
          <w:p>
            <w:pPr>
              <w:spacing w:after="0"/>
              <w:rPr>
                <w:sz w:val="14"/>
                <w:szCs w:val="14"/>
                <w:color w:val="auto"/>
              </w:rPr>
            </w:pPr>
          </w:p>
        </w:tc>
        <w:tc>
          <w:tcPr>
            <w:tcW w:w="57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6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760" w:type="dxa"/>
            <w:vAlign w:val="bottom"/>
            <w:vMerge w:val="restart"/>
          </w:tcPr>
          <w:p>
            <w:pPr>
              <w:ind w:left="44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5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BD, Bangladesh</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CN, China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ID, Indonesia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IN, India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KH, Cambodia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LA, Laos</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MH, Marshall Islands</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MN, Mongolia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MO, Macao</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MY, Malaysia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NZ, New Zealand</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PG, Papua New Guinea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PH, Philippines</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PK, Pakistan</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SH, Saint Helena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SG, Singapore</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TH, Thailand</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color w:val="auto"/>
                <w:w w:val="98"/>
              </w:rPr>
              <w:t>TW, Taiwan, Province of China</w:t>
            </w:r>
          </w:p>
        </w:tc>
        <w:tc>
          <w:tcPr>
            <w:tcW w:w="5760" w:type="dxa"/>
            <w:vAlign w:val="bottom"/>
          </w:tcPr>
          <w:p>
            <w:pPr>
              <w:ind w:left="4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4"/>
                <w:szCs w:val="14"/>
                <w:color w:val="auto"/>
              </w:rPr>
              <w:t>VN, Viet Nam</w:t>
            </w:r>
          </w:p>
        </w:tc>
        <w:tc>
          <w:tcPr>
            <w:tcW w:w="5760" w:type="dxa"/>
            <w:vAlign w:val="bottom"/>
          </w:tcPr>
          <w:p>
            <w:pPr>
              <w:ind w:left="44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00" w:type="dxa"/>
            <w:vAlign w:val="bottom"/>
            <w:shd w:val="clear" w:color="auto" w:fill="EEECE1"/>
          </w:tcPr>
          <w:p>
            <w:pPr>
              <w:jc w:val="right"/>
              <w:ind w:right="70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0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7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2020" w:type="dxa"/>
            <w:vAlign w:val="bottom"/>
            <w:shd w:val="clear" w:color="auto" w:fill="EEECE1"/>
          </w:tcPr>
          <w:p>
            <w:pPr>
              <w:spacing w:after="0"/>
              <w:rPr>
                <w:sz w:val="12"/>
                <w:szCs w:val="12"/>
                <w:color w:val="auto"/>
              </w:rPr>
            </w:pPr>
          </w:p>
        </w:tc>
        <w:tc>
          <w:tcPr>
            <w:tcW w:w="57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2020" w:type="dxa"/>
            <w:vAlign w:val="bottom"/>
            <w:shd w:val="clear" w:color="auto" w:fill="EEECE1"/>
          </w:tcPr>
          <w:p>
            <w:pPr>
              <w:spacing w:after="0"/>
              <w:rPr>
                <w:sz w:val="14"/>
                <w:szCs w:val="14"/>
                <w:color w:val="auto"/>
              </w:rPr>
            </w:pPr>
          </w:p>
        </w:tc>
        <w:tc>
          <w:tcPr>
            <w:tcW w:w="57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202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70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AL, Albania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AM, Armenia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AO, Angola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AZ, Azerbaijan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BH, Bahrain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BY, Belarus</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CG, Congo</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CI, Côte d'Ivoire</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CM, Cameroon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CZ, Czech Republic</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EG, Egypt</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ET, Ethiopia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GA, Gabon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GE, Georgia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GH, Ghana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HR, Croatia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IL, Israel</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IM, Isle Of Man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IQ, Iraq</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JO, Jordan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KE, Kenya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KW, Kuwait</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KZ, Kazakhstan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LB, Lebanon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LI, Liechtenstein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LK, Sri Lanka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LT, Lithuania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LV, Latvia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MA, Morocco</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MU, Mauritius</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NA, Namibia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NG, Nigeria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OM, Oman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PL, Poland</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RO, Romania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RS, Serbia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RU, Russian Federation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RW, Rwanda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SA, Saudi Arabia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SC, Seychelles</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SI, Slovenia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SK, Slovakia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SN, Senegal</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TJ, Tajikistan</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TN, Tunisia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TR, Turkey</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w w:val="95"/>
              </w:rPr>
              <w:t>TZ, Tanzania, United Republic of</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UA, Ukraine</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20" w:type="dxa"/>
            <w:vAlign w:val="bottom"/>
          </w:tcPr>
          <w:p>
            <w:pPr>
              <w:ind w:left="40"/>
              <w:spacing w:after="0" w:line="149" w:lineRule="exact"/>
              <w:rPr>
                <w:sz w:val="20"/>
                <w:szCs w:val="20"/>
                <w:color w:val="auto"/>
              </w:rPr>
            </w:pPr>
            <w:r>
              <w:rPr>
                <w:rFonts w:ascii="Arial" w:cs="Arial" w:eastAsia="Arial" w:hAnsi="Arial"/>
                <w:sz w:val="14"/>
                <w:szCs w:val="14"/>
                <w:color w:val="auto"/>
              </w:rPr>
              <w:t>ZA, South Africa</w:t>
            </w:r>
          </w:p>
        </w:tc>
        <w:tc>
          <w:tcPr>
            <w:tcW w:w="570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ind w:left="40"/>
              <w:spacing w:after="0"/>
              <w:rPr>
                <w:sz w:val="20"/>
                <w:szCs w:val="20"/>
                <w:color w:val="auto"/>
              </w:rPr>
            </w:pPr>
            <w:r>
              <w:rPr>
                <w:rFonts w:ascii="Arial" w:cs="Arial" w:eastAsia="Arial" w:hAnsi="Arial"/>
                <w:sz w:val="14"/>
                <w:szCs w:val="14"/>
                <w:color w:val="auto"/>
              </w:rPr>
              <w:t>ZM, Zambia</w:t>
            </w:r>
          </w:p>
        </w:tc>
        <w:tc>
          <w:tcPr>
            <w:tcW w:w="5700" w:type="dxa"/>
            <w:vAlign w:val="bottom"/>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1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ZAR</w:t>
            </w:r>
          </w:p>
        </w:tc>
        <w:tc>
          <w:tcPr>
            <w:tcW w:w="1480" w:type="dxa"/>
            <w:vAlign w:val="bottom"/>
            <w:shd w:val="clear" w:color="auto" w:fill="1F497D"/>
          </w:tcPr>
          <w:p>
            <w:pPr>
              <w:spacing w:after="0"/>
              <w:rPr>
                <w:sz w:val="12"/>
                <w:szCs w:val="12"/>
                <w:color w:val="auto"/>
              </w:rPr>
            </w:pPr>
          </w:p>
        </w:tc>
        <w:tc>
          <w:tcPr>
            <w:tcW w:w="19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US, United States of America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Europe</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DE, Germany</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UK, United Kingdom</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XS, Eurobond</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color w:val="auto"/>
              </w:rPr>
              <w:t>Asia</w:t>
            </w:r>
          </w:p>
        </w:tc>
        <w:tc>
          <w:tcPr>
            <w:tcW w:w="1900" w:type="dxa"/>
            <w:vAlign w:val="bottom"/>
          </w:tcPr>
          <w:p>
            <w:pPr>
              <w:spacing w:after="0"/>
              <w:rPr>
                <w:sz w:val="15"/>
                <w:szCs w:val="15"/>
                <w:color w:val="auto"/>
              </w:rPr>
            </w:pP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CN, China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KR, Korea (Republic of)</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HN, Honduras</w:t>
            </w:r>
          </w:p>
        </w:tc>
        <w:tc>
          <w:tcPr>
            <w:tcW w:w="5820" w:type="dxa"/>
            <w:vAlign w:val="bottom"/>
            <w:vMerge w:val="restart"/>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ind w:left="40"/>
              <w:spacing w:after="0" w:line="149" w:lineRule="exact"/>
              <w:rPr>
                <w:sz w:val="20"/>
                <w:szCs w:val="20"/>
                <w:color w:val="auto"/>
              </w:rPr>
            </w:pPr>
            <w:r>
              <w:rPr>
                <w:rFonts w:ascii="Arial" w:cs="Arial" w:eastAsia="Arial" w:hAnsi="Arial"/>
                <w:sz w:val="14"/>
                <w:szCs w:val="14"/>
                <w:color w:val="auto"/>
              </w:rPr>
              <w:t>NA, Namibia</w:t>
            </w:r>
          </w:p>
        </w:tc>
        <w:tc>
          <w:tcPr>
            <w:tcW w:w="5820" w:type="dxa"/>
            <w:vAlign w:val="bottom"/>
          </w:tcPr>
          <w:p>
            <w:pPr>
              <w:ind w:left="45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5820" w:type="dxa"/>
            <w:vAlign w:val="bottom"/>
          </w:tcPr>
          <w:p>
            <w:pPr>
              <w:ind w:left="45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4" w:name="page295"/>
    <w:bookmarkEnd w:id="2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3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6400" w:type="dxa"/>
            <w:vAlign w:val="bottom"/>
            <w:shd w:val="clear" w:color="auto" w:fill="EEECE1"/>
          </w:tcPr>
          <w:p>
            <w:pPr>
              <w:jc w:val="right"/>
              <w:ind w:right="5528"/>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320" w:type="dxa"/>
            <w:vAlign w:val="bottom"/>
            <w:shd w:val="clear" w:color="auto" w:fill="EEECE1"/>
          </w:tcPr>
          <w:p>
            <w:pPr>
              <w:spacing w:after="0"/>
              <w:rPr>
                <w:sz w:val="12"/>
                <w:szCs w:val="12"/>
                <w:color w:val="auto"/>
              </w:rPr>
            </w:pPr>
          </w:p>
        </w:tc>
        <w:tc>
          <w:tcPr>
            <w:tcW w:w="64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0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320" w:type="dxa"/>
            <w:vAlign w:val="bottom"/>
            <w:shd w:val="clear" w:color="auto" w:fill="EEECE1"/>
          </w:tcPr>
          <w:p>
            <w:pPr>
              <w:spacing w:after="0"/>
              <w:rPr>
                <w:sz w:val="14"/>
                <w:szCs w:val="14"/>
                <w:color w:val="auto"/>
              </w:rPr>
            </w:pPr>
          </w:p>
        </w:tc>
        <w:tc>
          <w:tcPr>
            <w:tcW w:w="64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ILS</w:t>
            </w:r>
          </w:p>
        </w:tc>
        <w:tc>
          <w:tcPr>
            <w:tcW w:w="1480" w:type="dxa"/>
            <w:vAlign w:val="bottom"/>
            <w:shd w:val="clear" w:color="auto" w:fill="1F497D"/>
          </w:tcPr>
          <w:p>
            <w:pPr>
              <w:spacing w:after="0"/>
              <w:rPr>
                <w:sz w:val="12"/>
                <w:szCs w:val="12"/>
                <w:color w:val="auto"/>
              </w:rPr>
            </w:pPr>
          </w:p>
        </w:tc>
        <w:tc>
          <w:tcPr>
            <w:tcW w:w="1320" w:type="dxa"/>
            <w:vAlign w:val="bottom"/>
            <w:shd w:val="clear" w:color="auto" w:fill="1F497D"/>
          </w:tcPr>
          <w:p>
            <w:pPr>
              <w:spacing w:after="0"/>
              <w:rPr>
                <w:sz w:val="12"/>
                <w:szCs w:val="12"/>
                <w:color w:val="auto"/>
              </w:rPr>
            </w:pPr>
          </w:p>
        </w:tc>
        <w:tc>
          <w:tcPr>
            <w:tcW w:w="64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320" w:type="dxa"/>
            <w:vAlign w:val="bottom"/>
            <w:vMerge w:val="restart"/>
          </w:tcPr>
          <w:p>
            <w:pPr>
              <w:ind w:left="40"/>
              <w:spacing w:after="0"/>
              <w:rPr>
                <w:sz w:val="20"/>
                <w:szCs w:val="20"/>
                <w:color w:val="auto"/>
              </w:rPr>
            </w:pPr>
            <w:r>
              <w:rPr>
                <w:rFonts w:ascii="Arial" w:cs="Arial" w:eastAsia="Arial" w:hAnsi="Arial"/>
                <w:sz w:val="14"/>
                <w:szCs w:val="14"/>
                <w:color w:val="auto"/>
              </w:rPr>
              <w:t>IL, Israel</w:t>
            </w:r>
          </w:p>
        </w:tc>
        <w:tc>
          <w:tcPr>
            <w:tcW w:w="6400" w:type="dxa"/>
            <w:vAlign w:val="bottom"/>
            <w:vMerge w:val="restart"/>
          </w:tcPr>
          <w:p>
            <w:pPr>
              <w:jc w:val="right"/>
              <w:ind w:right="208"/>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6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5" w:name="page296"/>
    <w:bookmarkEnd w:id="2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620" w:type="dxa"/>
            <w:vAlign w:val="bottom"/>
            <w:shd w:val="clear" w:color="auto" w:fill="EEECE1"/>
          </w:tcPr>
          <w:p>
            <w:pPr>
              <w:ind w:left="240"/>
              <w:spacing w:after="0"/>
              <w:rPr>
                <w:sz w:val="20"/>
                <w:szCs w:val="20"/>
                <w:color w:val="auto"/>
              </w:rPr>
            </w:pPr>
            <w:r>
              <w:rPr>
                <w:rFonts w:ascii="Arial" w:cs="Arial" w:eastAsia="Arial" w:hAnsi="Arial"/>
                <w:sz w:val="14"/>
                <w:szCs w:val="14"/>
                <w:b w:val="1"/>
                <w:bCs w:val="1"/>
                <w:color w:val="auto"/>
              </w:rPr>
              <w:t>2</w:t>
            </w:r>
          </w:p>
        </w:tc>
        <w:tc>
          <w:tcPr>
            <w:tcW w:w="116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3</w:t>
            </w:r>
          </w:p>
        </w:tc>
        <w:tc>
          <w:tcPr>
            <w:tcW w:w="90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4</w:t>
            </w:r>
          </w:p>
        </w:tc>
        <w:tc>
          <w:tcPr>
            <w:tcW w:w="1880" w:type="dxa"/>
            <w:vAlign w:val="bottom"/>
            <w:shd w:val="clear" w:color="auto" w:fill="EEECE1"/>
          </w:tcPr>
          <w:p>
            <w:pPr>
              <w:jc w:val="right"/>
              <w:ind w:right="1028"/>
              <w:spacing w:after="0"/>
              <w:rPr>
                <w:sz w:val="20"/>
                <w:szCs w:val="20"/>
                <w:color w:val="auto"/>
              </w:rPr>
            </w:pPr>
            <w:r>
              <w:rPr>
                <w:rFonts w:ascii="Arial" w:cs="Arial" w:eastAsia="Arial" w:hAnsi="Arial"/>
                <w:sz w:val="14"/>
                <w:szCs w:val="14"/>
                <w:b w:val="1"/>
                <w:bCs w:val="1"/>
                <w:color w:val="auto"/>
              </w:rPr>
              <w:t>5</w:t>
            </w:r>
          </w:p>
        </w:tc>
        <w:tc>
          <w:tcPr>
            <w:tcW w:w="6300" w:type="dxa"/>
            <w:vAlign w:val="bottom"/>
            <w:shd w:val="clear" w:color="auto" w:fill="EEECE1"/>
          </w:tcPr>
          <w:p>
            <w:pPr>
              <w:jc w:val="right"/>
              <w:ind w:right="5068"/>
              <w:spacing w:after="0"/>
              <w:rPr>
                <w:sz w:val="20"/>
                <w:szCs w:val="20"/>
                <w:color w:val="auto"/>
              </w:rPr>
            </w:pPr>
            <w:r>
              <w:rPr>
                <w:rFonts w:ascii="Arial" w:cs="Arial" w:eastAsia="Arial" w:hAnsi="Arial"/>
                <w:sz w:val="14"/>
                <w:szCs w:val="14"/>
                <w:b w:val="1"/>
                <w:bCs w:val="1"/>
                <w:color w:val="auto"/>
              </w:rPr>
              <w:t>6</w:t>
            </w:r>
          </w:p>
        </w:tc>
      </w:tr>
      <w:tr>
        <w:trPr>
          <w:trHeight w:val="149"/>
        </w:trPr>
        <w:tc>
          <w:tcPr>
            <w:tcW w:w="216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900" w:type="dxa"/>
            <w:vAlign w:val="bottom"/>
            <w:shd w:val="clear" w:color="auto" w:fill="EEECE1"/>
          </w:tcPr>
          <w:p>
            <w:pPr>
              <w:spacing w:after="0"/>
              <w:rPr>
                <w:sz w:val="12"/>
                <w:szCs w:val="12"/>
                <w:color w:val="auto"/>
              </w:rPr>
            </w:pPr>
          </w:p>
        </w:tc>
        <w:tc>
          <w:tcPr>
            <w:tcW w:w="1880" w:type="dxa"/>
            <w:vAlign w:val="bottom"/>
            <w:shd w:val="clear" w:color="auto" w:fill="EEECE1"/>
          </w:tcPr>
          <w:p>
            <w:pPr>
              <w:spacing w:after="0"/>
              <w:rPr>
                <w:sz w:val="12"/>
                <w:szCs w:val="12"/>
                <w:color w:val="auto"/>
              </w:rPr>
            </w:pPr>
          </w:p>
        </w:tc>
        <w:tc>
          <w:tcPr>
            <w:tcW w:w="6300" w:type="dxa"/>
            <w:vAlign w:val="bottom"/>
            <w:shd w:val="clear" w:color="auto" w:fill="EEECE1"/>
          </w:tcPr>
          <w:p>
            <w:pPr>
              <w:spacing w:after="0"/>
              <w:rPr>
                <w:sz w:val="12"/>
                <w:szCs w:val="12"/>
                <w:color w:val="auto"/>
              </w:rPr>
            </w:pPr>
          </w:p>
        </w:tc>
      </w:tr>
      <w:tr>
        <w:trPr>
          <w:trHeight w:val="171"/>
        </w:trPr>
        <w:tc>
          <w:tcPr>
            <w:tcW w:w="380" w:type="dxa"/>
            <w:vAlign w:val="bottom"/>
            <w:shd w:val="clear" w:color="auto" w:fill="EEECE1"/>
          </w:tcPr>
          <w:p>
            <w:pPr>
              <w:spacing w:after="0"/>
              <w:rPr>
                <w:sz w:val="14"/>
                <w:szCs w:val="14"/>
                <w:color w:val="auto"/>
              </w:rPr>
            </w:pPr>
          </w:p>
        </w:tc>
        <w:tc>
          <w:tcPr>
            <w:tcW w:w="2680" w:type="dxa"/>
            <w:vAlign w:val="bottom"/>
            <w:gridSpan w:val="3"/>
            <w:shd w:val="clear" w:color="auto" w:fill="EEECE1"/>
          </w:tcPr>
          <w:p>
            <w:pPr>
              <w:ind w:left="240"/>
              <w:spacing w:after="0"/>
              <w:rPr>
                <w:sz w:val="20"/>
                <w:szCs w:val="20"/>
                <w:color w:val="auto"/>
              </w:rPr>
            </w:pPr>
            <w:r>
              <w:rPr>
                <w:rFonts w:ascii="Arial" w:cs="Arial" w:eastAsia="Arial" w:hAnsi="Arial"/>
                <w:sz w:val="14"/>
                <w:szCs w:val="14"/>
                <w:b w:val="1"/>
                <w:bCs w:val="1"/>
                <w:color w:val="auto"/>
              </w:rPr>
              <w:t>Credit - Non North America</w:t>
            </w:r>
          </w:p>
        </w:tc>
        <w:tc>
          <w:tcPr>
            <w:tcW w:w="1880" w:type="dxa"/>
            <w:vAlign w:val="bottom"/>
            <w:shd w:val="clear" w:color="auto" w:fill="EEECE1"/>
          </w:tcPr>
          <w:p>
            <w:pPr>
              <w:spacing w:after="0"/>
              <w:rPr>
                <w:sz w:val="14"/>
                <w:szCs w:val="14"/>
                <w:color w:val="auto"/>
              </w:rPr>
            </w:pPr>
          </w:p>
        </w:tc>
        <w:tc>
          <w:tcPr>
            <w:tcW w:w="6300" w:type="dxa"/>
            <w:vAlign w:val="bottom"/>
            <w:shd w:val="clear" w:color="auto" w:fill="EEECE1"/>
          </w:tcPr>
          <w:p>
            <w:pPr>
              <w:spacing w:after="0"/>
              <w:rPr>
                <w:sz w:val="14"/>
                <w:szCs w:val="14"/>
                <w:color w:val="auto"/>
              </w:rPr>
            </w:pPr>
          </w:p>
        </w:tc>
      </w:tr>
      <w:tr>
        <w:trPr>
          <w:trHeight w:val="142"/>
        </w:trPr>
        <w:tc>
          <w:tcPr>
            <w:tcW w:w="380" w:type="dxa"/>
            <w:vAlign w:val="bottom"/>
          </w:tcPr>
          <w:p>
            <w:pPr>
              <w:spacing w:after="0"/>
              <w:rPr>
                <w:sz w:val="12"/>
                <w:szCs w:val="12"/>
                <w:color w:val="auto"/>
              </w:rPr>
            </w:pPr>
          </w:p>
        </w:tc>
        <w:tc>
          <w:tcPr>
            <w:tcW w:w="178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FFFFFF"/>
              </w:rPr>
              <w:t>Covered Bonds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3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-89535</wp:posOffset>
            </wp:positionV>
            <wp:extent cx="6772275" cy="9398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772275" cy="93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1240" w:type="dxa"/>
            <w:vAlign w:val="bottom"/>
          </w:tcPr>
          <w:p>
            <w:pPr>
              <w:spacing w:after="0"/>
              <w:rPr>
                <w:sz w:val="13"/>
                <w:szCs w:val="13"/>
                <w:color w:val="auto"/>
              </w:rPr>
            </w:pPr>
          </w:p>
        </w:tc>
        <w:tc>
          <w:tcPr>
            <w:tcW w:w="6420" w:type="dxa"/>
            <w:vAlign w:val="bottom"/>
            <w:shd w:val="clear" w:color="auto" w:fill="1F497D"/>
          </w:tcPr>
          <w:p>
            <w:pPr>
              <w:ind w:left="60"/>
              <w:spacing w:after="0" w:line="155" w:lineRule="exact"/>
              <w:rPr>
                <w:sz w:val="20"/>
                <w:szCs w:val="20"/>
                <w:color w:val="auto"/>
              </w:rPr>
            </w:pPr>
            <w:r>
              <w:rPr>
                <w:rFonts w:ascii="Arial" w:cs="Arial" w:eastAsia="Arial" w:hAnsi="Arial"/>
                <w:sz w:val="14"/>
                <w:szCs w:val="14"/>
                <w:b w:val="1"/>
                <w:bCs w:val="1"/>
                <w:color w:val="FFFFFF"/>
              </w:rPr>
              <w:t>AUD</w:t>
            </w:r>
          </w:p>
        </w:tc>
        <w:tc>
          <w:tcPr>
            <w:tcW w:w="3580" w:type="dxa"/>
            <w:vAlign w:val="bottom"/>
            <w:shd w:val="clear" w:color="auto" w:fill="1F497D"/>
          </w:tcPr>
          <w:p>
            <w:pPr>
              <w:spacing w:after="0"/>
              <w:rPr>
                <w:sz w:val="13"/>
                <w:szCs w:val="13"/>
                <w:color w:val="auto"/>
              </w:rPr>
            </w:pPr>
          </w:p>
        </w:tc>
      </w:tr>
      <w:tr>
        <w:trPr>
          <w:trHeight w:val="130"/>
        </w:trPr>
        <w:tc>
          <w:tcPr>
            <w:tcW w:w="1240" w:type="dxa"/>
            <w:vAlign w:val="bottom"/>
          </w:tcPr>
          <w:p>
            <w:pPr>
              <w:spacing w:after="0"/>
              <w:rPr>
                <w:sz w:val="11"/>
                <w:szCs w:val="11"/>
                <w:color w:val="auto"/>
              </w:rPr>
            </w:pPr>
          </w:p>
        </w:tc>
        <w:tc>
          <w:tcPr>
            <w:tcW w:w="6420" w:type="dxa"/>
            <w:vAlign w:val="bottom"/>
          </w:tcPr>
          <w:p>
            <w:pPr>
              <w:ind w:left="960"/>
              <w:spacing w:after="0" w:line="130" w:lineRule="exact"/>
              <w:rPr>
                <w:sz w:val="20"/>
                <w:szCs w:val="20"/>
                <w:color w:val="auto"/>
              </w:rPr>
            </w:pPr>
            <w:r>
              <w:rPr>
                <w:rFonts w:ascii="Arial" w:cs="Arial" w:eastAsia="Arial" w:hAnsi="Arial"/>
                <w:sz w:val="14"/>
                <w:szCs w:val="14"/>
                <w:color w:val="auto"/>
              </w:rPr>
              <w:t>North America</w:t>
            </w:r>
          </w:p>
        </w:tc>
        <w:tc>
          <w:tcPr>
            <w:tcW w:w="3580" w:type="dxa"/>
            <w:vAlign w:val="bottom"/>
          </w:tcPr>
          <w:p>
            <w:pPr>
              <w:spacing w:after="0"/>
              <w:rPr>
                <w:sz w:val="11"/>
                <w:szCs w:val="11"/>
                <w:color w:val="auto"/>
              </w:rPr>
            </w:pP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CA, Canada</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Europe</w:t>
            </w:r>
          </w:p>
        </w:tc>
        <w:tc>
          <w:tcPr>
            <w:tcW w:w="3580" w:type="dxa"/>
            <w:vAlign w:val="bottom"/>
          </w:tcPr>
          <w:p>
            <w:pPr>
              <w:spacing w:after="0"/>
              <w:rPr>
                <w:sz w:val="22"/>
                <w:szCs w:val="22"/>
                <w:color w:val="auto"/>
              </w:rPr>
            </w:pP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DE, Germany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FR, France</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NO, Norway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SE, Sweden</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UK, United Kingdom</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Asia</w:t>
            </w:r>
          </w:p>
        </w:tc>
        <w:tc>
          <w:tcPr>
            <w:tcW w:w="3580" w:type="dxa"/>
            <w:vAlign w:val="bottom"/>
          </w:tcPr>
          <w:p>
            <w:pPr>
              <w:spacing w:after="0"/>
              <w:rPr>
                <w:sz w:val="22"/>
                <w:szCs w:val="22"/>
                <w:color w:val="auto"/>
              </w:rPr>
            </w:pP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AU, Australia</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134"/>
        </w:trPr>
        <w:tc>
          <w:tcPr>
            <w:tcW w:w="124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3580" w:type="dxa"/>
            <w:vAlign w:val="bottom"/>
          </w:tcPr>
          <w:p>
            <w:pPr>
              <w:spacing w:after="0"/>
              <w:rPr>
                <w:sz w:val="11"/>
                <w:szCs w:val="11"/>
                <w:color w:val="auto"/>
              </w:rPr>
            </w:pPr>
          </w:p>
        </w:tc>
      </w:tr>
      <w:tr>
        <w:trPr>
          <w:trHeight w:val="148"/>
        </w:trPr>
        <w:tc>
          <w:tcPr>
            <w:tcW w:w="1240" w:type="dxa"/>
            <w:vAlign w:val="bottom"/>
          </w:tcPr>
          <w:p>
            <w:pPr>
              <w:spacing w:after="0"/>
              <w:rPr>
                <w:sz w:val="12"/>
                <w:szCs w:val="12"/>
                <w:color w:val="auto"/>
              </w:rPr>
            </w:pPr>
          </w:p>
        </w:tc>
        <w:tc>
          <w:tcPr>
            <w:tcW w:w="64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CHF</w:t>
            </w:r>
          </w:p>
        </w:tc>
        <w:tc>
          <w:tcPr>
            <w:tcW w:w="3580" w:type="dxa"/>
            <w:vAlign w:val="bottom"/>
            <w:shd w:val="clear" w:color="auto" w:fill="1F497D"/>
          </w:tcPr>
          <w:p>
            <w:pPr>
              <w:spacing w:after="0"/>
              <w:rPr>
                <w:sz w:val="12"/>
                <w:szCs w:val="12"/>
                <w:color w:val="auto"/>
              </w:rPr>
            </w:pPr>
          </w:p>
        </w:tc>
      </w:tr>
      <w:tr>
        <w:trPr>
          <w:trHeight w:val="130"/>
        </w:trPr>
        <w:tc>
          <w:tcPr>
            <w:tcW w:w="1240" w:type="dxa"/>
            <w:vAlign w:val="bottom"/>
          </w:tcPr>
          <w:p>
            <w:pPr>
              <w:spacing w:after="0"/>
              <w:rPr>
                <w:sz w:val="11"/>
                <w:szCs w:val="11"/>
                <w:color w:val="auto"/>
              </w:rPr>
            </w:pPr>
          </w:p>
        </w:tc>
        <w:tc>
          <w:tcPr>
            <w:tcW w:w="6420" w:type="dxa"/>
            <w:vAlign w:val="bottom"/>
          </w:tcPr>
          <w:p>
            <w:pPr>
              <w:ind w:left="960"/>
              <w:spacing w:after="0" w:line="130" w:lineRule="exact"/>
              <w:rPr>
                <w:sz w:val="20"/>
                <w:szCs w:val="20"/>
                <w:color w:val="auto"/>
              </w:rPr>
            </w:pPr>
            <w:r>
              <w:rPr>
                <w:rFonts w:ascii="Arial" w:cs="Arial" w:eastAsia="Arial" w:hAnsi="Arial"/>
                <w:sz w:val="14"/>
                <w:szCs w:val="14"/>
                <w:color w:val="auto"/>
              </w:rPr>
              <w:t>Nort America</w:t>
            </w:r>
          </w:p>
        </w:tc>
        <w:tc>
          <w:tcPr>
            <w:tcW w:w="3580" w:type="dxa"/>
            <w:vAlign w:val="bottom"/>
          </w:tcPr>
          <w:p>
            <w:pPr>
              <w:spacing w:after="0"/>
              <w:rPr>
                <w:sz w:val="11"/>
                <w:szCs w:val="11"/>
                <w:color w:val="auto"/>
              </w:rPr>
            </w:pP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CA, Canada</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Europe</w:t>
            </w:r>
          </w:p>
        </w:tc>
        <w:tc>
          <w:tcPr>
            <w:tcW w:w="3580" w:type="dxa"/>
            <w:vAlign w:val="bottom"/>
          </w:tcPr>
          <w:p>
            <w:pPr>
              <w:spacing w:after="0"/>
              <w:rPr>
                <w:sz w:val="22"/>
                <w:szCs w:val="22"/>
                <w:color w:val="auto"/>
              </w:rPr>
            </w:pP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AT, Austria</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CH, Switzerland</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DE, Germany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DK, Denmark</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FI, Finland</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LU, Luxembourg</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NL, Netherlands</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NO, Norway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NZ, New Zealand</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SE, Sweden</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UK, United Kingdom</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Asia</w:t>
            </w:r>
          </w:p>
        </w:tc>
        <w:tc>
          <w:tcPr>
            <w:tcW w:w="3580" w:type="dxa"/>
            <w:vAlign w:val="bottom"/>
          </w:tcPr>
          <w:p>
            <w:pPr>
              <w:spacing w:after="0"/>
              <w:rPr>
                <w:sz w:val="22"/>
                <w:szCs w:val="22"/>
                <w:color w:val="auto"/>
              </w:rPr>
            </w:pP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AU, Australia</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133"/>
        </w:trPr>
        <w:tc>
          <w:tcPr>
            <w:tcW w:w="124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358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64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EUR</w:t>
            </w:r>
          </w:p>
        </w:tc>
        <w:tc>
          <w:tcPr>
            <w:tcW w:w="3580" w:type="dxa"/>
            <w:vAlign w:val="bottom"/>
            <w:shd w:val="clear" w:color="auto" w:fill="1F497D"/>
          </w:tcPr>
          <w:p>
            <w:pPr>
              <w:spacing w:after="0"/>
              <w:rPr>
                <w:sz w:val="12"/>
                <w:szCs w:val="12"/>
                <w:color w:val="auto"/>
              </w:rPr>
            </w:pPr>
          </w:p>
        </w:tc>
      </w:tr>
      <w:tr>
        <w:trPr>
          <w:trHeight w:val="130"/>
        </w:trPr>
        <w:tc>
          <w:tcPr>
            <w:tcW w:w="1240" w:type="dxa"/>
            <w:vAlign w:val="bottom"/>
          </w:tcPr>
          <w:p>
            <w:pPr>
              <w:spacing w:after="0"/>
              <w:rPr>
                <w:sz w:val="11"/>
                <w:szCs w:val="11"/>
                <w:color w:val="auto"/>
              </w:rPr>
            </w:pPr>
          </w:p>
        </w:tc>
        <w:tc>
          <w:tcPr>
            <w:tcW w:w="6420" w:type="dxa"/>
            <w:vAlign w:val="bottom"/>
          </w:tcPr>
          <w:p>
            <w:pPr>
              <w:ind w:left="960"/>
              <w:spacing w:after="0" w:line="130" w:lineRule="exact"/>
              <w:rPr>
                <w:sz w:val="20"/>
                <w:szCs w:val="20"/>
                <w:color w:val="auto"/>
              </w:rPr>
            </w:pPr>
            <w:r>
              <w:rPr>
                <w:rFonts w:ascii="Arial" w:cs="Arial" w:eastAsia="Arial" w:hAnsi="Arial"/>
                <w:sz w:val="14"/>
                <w:szCs w:val="14"/>
                <w:color w:val="auto"/>
              </w:rPr>
              <w:t>North America</w:t>
            </w:r>
          </w:p>
        </w:tc>
        <w:tc>
          <w:tcPr>
            <w:tcW w:w="358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CA, Canada</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US, United States of America</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LATAM</w:t>
            </w:r>
          </w:p>
        </w:tc>
        <w:tc>
          <w:tcPr>
            <w:tcW w:w="3580" w:type="dxa"/>
            <w:vAlign w:val="bottom"/>
          </w:tcPr>
          <w:p>
            <w:pPr>
              <w:spacing w:after="0"/>
              <w:rPr>
                <w:sz w:val="22"/>
                <w:szCs w:val="22"/>
                <w:color w:val="auto"/>
              </w:rPr>
            </w:pP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PE, Peru</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Western Europe</w:t>
            </w:r>
          </w:p>
        </w:tc>
        <w:tc>
          <w:tcPr>
            <w:tcW w:w="3580" w:type="dxa"/>
            <w:vAlign w:val="bottom"/>
          </w:tcPr>
          <w:p>
            <w:pPr>
              <w:spacing w:after="0"/>
              <w:rPr>
                <w:sz w:val="22"/>
                <w:szCs w:val="22"/>
                <w:color w:val="auto"/>
              </w:rPr>
            </w:pP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AT, Austria</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CH, Switzerland</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DE, Germany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DK, Denmark</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ES, Spain</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FI, Finland</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FR, France</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GR, Greece</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IE, Ireland</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IT, Italy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LU, Luxembourg</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NL, Netherlands</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NO, Norway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NZ, New Zealand</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PT, Portugal</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SE, Sweden</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UK, United Kingdom</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Asia</w:t>
            </w:r>
          </w:p>
        </w:tc>
        <w:tc>
          <w:tcPr>
            <w:tcW w:w="3580" w:type="dxa"/>
            <w:vAlign w:val="bottom"/>
          </w:tcPr>
          <w:p>
            <w:pPr>
              <w:spacing w:after="0"/>
              <w:rPr>
                <w:sz w:val="22"/>
                <w:szCs w:val="22"/>
                <w:color w:val="auto"/>
              </w:rPr>
            </w:pP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AU, Australia</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263"/>
        </w:trPr>
        <w:tc>
          <w:tcPr>
            <w:tcW w:w="1240" w:type="dxa"/>
            <w:vAlign w:val="bottom"/>
          </w:tcPr>
          <w:p>
            <w:pPr>
              <w:spacing w:after="0"/>
              <w:rPr>
                <w:sz w:val="22"/>
                <w:szCs w:val="22"/>
                <w:color w:val="auto"/>
              </w:rPr>
            </w:pPr>
          </w:p>
        </w:tc>
        <w:tc>
          <w:tcPr>
            <w:tcW w:w="6420" w:type="dxa"/>
            <w:vAlign w:val="bottom"/>
          </w:tcPr>
          <w:p>
            <w:pPr>
              <w:ind w:left="960"/>
              <w:spacing w:after="0"/>
              <w:rPr>
                <w:sz w:val="20"/>
                <w:szCs w:val="20"/>
                <w:color w:val="auto"/>
              </w:rPr>
            </w:pPr>
            <w:r>
              <w:rPr>
                <w:rFonts w:ascii="Arial" w:cs="Arial" w:eastAsia="Arial" w:hAnsi="Arial"/>
                <w:sz w:val="14"/>
                <w:szCs w:val="14"/>
                <w:color w:val="auto"/>
              </w:rPr>
              <w:t>CEEMEA</w:t>
            </w:r>
          </w:p>
        </w:tc>
        <w:tc>
          <w:tcPr>
            <w:tcW w:w="3580" w:type="dxa"/>
            <w:vAlign w:val="bottom"/>
          </w:tcPr>
          <w:p>
            <w:pPr>
              <w:spacing w:after="0"/>
              <w:rPr>
                <w:sz w:val="22"/>
                <w:szCs w:val="22"/>
                <w:color w:val="auto"/>
              </w:rPr>
            </w:pPr>
          </w:p>
        </w:tc>
      </w:tr>
      <w:tr>
        <w:trPr>
          <w:trHeight w:val="149"/>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HU, Hungary</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48"/>
        </w:trPr>
        <w:tc>
          <w:tcPr>
            <w:tcW w:w="1240" w:type="dxa"/>
            <w:vAlign w:val="bottom"/>
          </w:tcPr>
          <w:p>
            <w:pPr>
              <w:spacing w:after="0"/>
              <w:rPr>
                <w:sz w:val="12"/>
                <w:szCs w:val="12"/>
                <w:color w:val="auto"/>
              </w:rPr>
            </w:pPr>
          </w:p>
        </w:tc>
        <w:tc>
          <w:tcPr>
            <w:tcW w:w="6420" w:type="dxa"/>
            <w:vAlign w:val="bottom"/>
          </w:tcPr>
          <w:p>
            <w:pPr>
              <w:ind w:left="2540"/>
              <w:spacing w:after="0" w:line="149" w:lineRule="exact"/>
              <w:rPr>
                <w:sz w:val="20"/>
                <w:szCs w:val="20"/>
                <w:color w:val="auto"/>
              </w:rPr>
            </w:pPr>
            <w:r>
              <w:rPr>
                <w:rFonts w:ascii="Arial" w:cs="Arial" w:eastAsia="Arial" w:hAnsi="Arial"/>
                <w:sz w:val="14"/>
                <w:szCs w:val="14"/>
                <w:color w:val="auto"/>
              </w:rPr>
              <w:t>CZ, Czech Republic</w:t>
            </w:r>
          </w:p>
        </w:tc>
        <w:tc>
          <w:tcPr>
            <w:tcW w:w="3580" w:type="dxa"/>
            <w:vAlign w:val="bottom"/>
          </w:tcPr>
          <w:p>
            <w:pPr>
              <w:ind w:left="216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40" w:type="dxa"/>
            <w:vAlign w:val="bottom"/>
          </w:tcPr>
          <w:p>
            <w:pPr>
              <w:spacing w:after="0"/>
              <w:rPr>
                <w:sz w:val="15"/>
                <w:szCs w:val="15"/>
                <w:color w:val="auto"/>
              </w:rPr>
            </w:pPr>
          </w:p>
        </w:tc>
        <w:tc>
          <w:tcPr>
            <w:tcW w:w="6420" w:type="dxa"/>
            <w:vAlign w:val="bottom"/>
          </w:tcPr>
          <w:p>
            <w:pPr>
              <w:ind w:left="2540"/>
              <w:spacing w:after="0"/>
              <w:rPr>
                <w:sz w:val="20"/>
                <w:szCs w:val="20"/>
                <w:color w:val="auto"/>
              </w:rPr>
            </w:pPr>
            <w:r>
              <w:rPr>
                <w:rFonts w:ascii="Arial" w:cs="Arial" w:eastAsia="Arial" w:hAnsi="Arial"/>
                <w:sz w:val="14"/>
                <w:szCs w:val="14"/>
                <w:color w:val="auto"/>
              </w:rPr>
              <w:t>SK, Slovakia</w:t>
            </w:r>
          </w:p>
        </w:tc>
        <w:tc>
          <w:tcPr>
            <w:tcW w:w="3580" w:type="dxa"/>
            <w:vAlign w:val="bottom"/>
          </w:tcPr>
          <w:p>
            <w:pPr>
              <w:ind w:left="2160"/>
              <w:spacing w:after="0"/>
              <w:rPr>
                <w:sz w:val="20"/>
                <w:szCs w:val="20"/>
                <w:color w:val="auto"/>
              </w:rPr>
            </w:pPr>
            <w:r>
              <w:rPr>
                <w:rFonts w:ascii="Arial" w:cs="Arial" w:eastAsia="Arial" w:hAnsi="Arial"/>
                <w:sz w:val="14"/>
                <w:szCs w:val="14"/>
                <w:color w:val="auto"/>
              </w:rPr>
              <w:t>Composite Quote</w:t>
            </w:r>
          </w:p>
        </w:tc>
      </w:tr>
      <w:tr>
        <w:trPr>
          <w:trHeight w:val="633"/>
        </w:trPr>
        <w:tc>
          <w:tcPr>
            <w:tcW w:w="124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296" w:name="page297"/>
    <w:bookmarkEnd w:id="2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60" w:type="dxa"/>
            <w:vAlign w:val="bottom"/>
            <w:shd w:val="clear" w:color="auto" w:fill="EEECE1"/>
          </w:tcPr>
          <w:p>
            <w:pPr>
              <w:ind w:left="24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3</w:t>
            </w:r>
          </w:p>
        </w:tc>
        <w:tc>
          <w:tcPr>
            <w:tcW w:w="12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080" w:type="dxa"/>
            <w:vAlign w:val="bottom"/>
            <w:shd w:val="clear" w:color="auto" w:fill="EEECE1"/>
          </w:tcPr>
          <w:p>
            <w:pPr>
              <w:ind w:left="340"/>
              <w:spacing w:after="0"/>
              <w:rPr>
                <w:sz w:val="20"/>
                <w:szCs w:val="20"/>
                <w:color w:val="auto"/>
              </w:rPr>
            </w:pPr>
            <w:r>
              <w:rPr>
                <w:rFonts w:ascii="Arial" w:cs="Arial" w:eastAsia="Arial" w:hAnsi="Arial"/>
                <w:sz w:val="14"/>
                <w:szCs w:val="14"/>
                <w:b w:val="1"/>
                <w:bCs w:val="1"/>
                <w:color w:val="auto"/>
              </w:rPr>
              <w:t>5</w:t>
            </w:r>
          </w:p>
        </w:tc>
        <w:tc>
          <w:tcPr>
            <w:tcW w:w="5720" w:type="dxa"/>
            <w:vAlign w:val="bottom"/>
            <w:shd w:val="clear" w:color="auto" w:fill="EEECE1"/>
          </w:tcPr>
          <w:p>
            <w:pPr>
              <w:ind w:left="50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16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280" w:type="dxa"/>
            <w:vAlign w:val="bottom"/>
            <w:shd w:val="clear" w:color="auto" w:fill="EEECE1"/>
          </w:tcPr>
          <w:p>
            <w:pPr>
              <w:spacing w:after="0"/>
              <w:rPr>
                <w:sz w:val="12"/>
                <w:szCs w:val="12"/>
                <w:color w:val="auto"/>
              </w:rPr>
            </w:pPr>
          </w:p>
        </w:tc>
        <w:tc>
          <w:tcPr>
            <w:tcW w:w="2080" w:type="dxa"/>
            <w:vAlign w:val="bottom"/>
            <w:shd w:val="clear" w:color="auto" w:fill="EEECE1"/>
          </w:tcPr>
          <w:p>
            <w:pPr>
              <w:spacing w:after="0"/>
              <w:rPr>
                <w:sz w:val="12"/>
                <w:szCs w:val="12"/>
                <w:color w:val="auto"/>
              </w:rPr>
            </w:pPr>
          </w:p>
        </w:tc>
        <w:tc>
          <w:tcPr>
            <w:tcW w:w="57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shd w:val="clear" w:color="auto" w:fill="EEECE1"/>
          </w:tcPr>
          <w:p>
            <w:pPr>
              <w:spacing w:after="0"/>
              <w:rPr>
                <w:sz w:val="14"/>
                <w:szCs w:val="14"/>
                <w:color w:val="auto"/>
              </w:rPr>
            </w:pPr>
          </w:p>
        </w:tc>
        <w:tc>
          <w:tcPr>
            <w:tcW w:w="3060" w:type="dxa"/>
            <w:vAlign w:val="bottom"/>
            <w:gridSpan w:val="3"/>
            <w:shd w:val="clear" w:color="auto" w:fill="EEECE1"/>
          </w:tcPr>
          <w:p>
            <w:pPr>
              <w:ind w:left="240"/>
              <w:spacing w:after="0"/>
              <w:rPr>
                <w:sz w:val="20"/>
                <w:szCs w:val="20"/>
                <w:color w:val="auto"/>
              </w:rPr>
            </w:pPr>
            <w:r>
              <w:rPr>
                <w:rFonts w:ascii="Arial" w:cs="Arial" w:eastAsia="Arial" w:hAnsi="Arial"/>
                <w:sz w:val="14"/>
                <w:szCs w:val="14"/>
                <w:b w:val="1"/>
                <w:bCs w:val="1"/>
                <w:color w:val="auto"/>
              </w:rPr>
              <w:t>Credit - Non North America</w:t>
            </w:r>
          </w:p>
        </w:tc>
        <w:tc>
          <w:tcPr>
            <w:tcW w:w="2080" w:type="dxa"/>
            <w:vAlign w:val="bottom"/>
            <w:shd w:val="clear" w:color="auto" w:fill="EEECE1"/>
          </w:tcPr>
          <w:p>
            <w:pPr>
              <w:spacing w:after="0"/>
              <w:rPr>
                <w:sz w:val="14"/>
                <w:szCs w:val="14"/>
                <w:color w:val="auto"/>
              </w:rPr>
            </w:pPr>
          </w:p>
        </w:tc>
        <w:tc>
          <w:tcPr>
            <w:tcW w:w="57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GBP</w:t>
            </w:r>
          </w:p>
        </w:tc>
        <w:tc>
          <w:tcPr>
            <w:tcW w:w="1280" w:type="dxa"/>
            <w:vAlign w:val="bottom"/>
            <w:shd w:val="clear" w:color="auto" w:fill="1F497D"/>
          </w:tcPr>
          <w:p>
            <w:pPr>
              <w:spacing w:after="0"/>
              <w:rPr>
                <w:sz w:val="12"/>
                <w:szCs w:val="12"/>
                <w:color w:val="auto"/>
              </w:rPr>
            </w:pPr>
          </w:p>
        </w:tc>
        <w:tc>
          <w:tcPr>
            <w:tcW w:w="2080" w:type="dxa"/>
            <w:vAlign w:val="bottom"/>
            <w:shd w:val="clear" w:color="auto" w:fill="1F497D"/>
          </w:tcPr>
          <w:p>
            <w:pPr>
              <w:spacing w:after="0"/>
              <w:rPr>
                <w:sz w:val="12"/>
                <w:szCs w:val="12"/>
                <w:color w:val="auto"/>
              </w:rPr>
            </w:pPr>
          </w:p>
        </w:tc>
        <w:tc>
          <w:tcPr>
            <w:tcW w:w="57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CA, Canada</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Asia</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AU, Australia</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5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DE, Germany</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5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DK, Denmark</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FR, France</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NO, Norway</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SE, Sweden</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80" w:type="dxa"/>
            <w:vAlign w:val="bottom"/>
          </w:tcPr>
          <w:p>
            <w:pPr>
              <w:ind w:left="340"/>
              <w:spacing w:after="0"/>
              <w:rPr>
                <w:sz w:val="20"/>
                <w:szCs w:val="20"/>
                <w:color w:val="auto"/>
              </w:rPr>
            </w:pPr>
            <w:r>
              <w:rPr>
                <w:rFonts w:ascii="Arial" w:cs="Arial" w:eastAsia="Arial" w:hAnsi="Arial"/>
                <w:sz w:val="14"/>
                <w:szCs w:val="14"/>
                <w:color w:val="auto"/>
              </w:rPr>
              <w:t>UK, United Kingdom</w:t>
            </w:r>
          </w:p>
        </w:tc>
        <w:tc>
          <w:tcPr>
            <w:tcW w:w="5720" w:type="dxa"/>
            <w:vAlign w:val="bottom"/>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HUF</w:t>
            </w:r>
          </w:p>
        </w:tc>
        <w:tc>
          <w:tcPr>
            <w:tcW w:w="1280" w:type="dxa"/>
            <w:vAlign w:val="bottom"/>
            <w:shd w:val="clear" w:color="auto" w:fill="1F497D"/>
          </w:tcPr>
          <w:p>
            <w:pPr>
              <w:spacing w:after="0"/>
              <w:rPr>
                <w:sz w:val="12"/>
                <w:szCs w:val="12"/>
                <w:color w:val="auto"/>
              </w:rPr>
            </w:pPr>
          </w:p>
        </w:tc>
        <w:tc>
          <w:tcPr>
            <w:tcW w:w="2080" w:type="dxa"/>
            <w:vAlign w:val="bottom"/>
            <w:shd w:val="clear" w:color="auto" w:fill="1F497D"/>
          </w:tcPr>
          <w:p>
            <w:pPr>
              <w:spacing w:after="0"/>
              <w:rPr>
                <w:sz w:val="12"/>
                <w:szCs w:val="12"/>
                <w:color w:val="auto"/>
              </w:rPr>
            </w:pPr>
          </w:p>
        </w:tc>
        <w:tc>
          <w:tcPr>
            <w:tcW w:w="57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CEEMEA</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HU, Hungary</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NOK</w:t>
            </w:r>
          </w:p>
        </w:tc>
        <w:tc>
          <w:tcPr>
            <w:tcW w:w="1280" w:type="dxa"/>
            <w:vAlign w:val="bottom"/>
            <w:shd w:val="clear" w:color="auto" w:fill="1F497D"/>
          </w:tcPr>
          <w:p>
            <w:pPr>
              <w:spacing w:after="0"/>
              <w:rPr>
                <w:sz w:val="12"/>
                <w:szCs w:val="12"/>
                <w:color w:val="auto"/>
              </w:rPr>
            </w:pPr>
          </w:p>
        </w:tc>
        <w:tc>
          <w:tcPr>
            <w:tcW w:w="2080" w:type="dxa"/>
            <w:vAlign w:val="bottom"/>
            <w:shd w:val="clear" w:color="auto" w:fill="1F497D"/>
          </w:tcPr>
          <w:p>
            <w:pPr>
              <w:spacing w:after="0"/>
              <w:rPr>
                <w:sz w:val="12"/>
                <w:szCs w:val="12"/>
                <w:color w:val="auto"/>
              </w:rPr>
            </w:pPr>
          </w:p>
        </w:tc>
        <w:tc>
          <w:tcPr>
            <w:tcW w:w="57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AT, Austria</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DK, Denmark</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ES, Spain</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FR, France</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LU, Luxembourg</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NL, Netherlands</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NO, Norway</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SE, Sweden</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80" w:type="dxa"/>
            <w:vAlign w:val="bottom"/>
          </w:tcPr>
          <w:p>
            <w:pPr>
              <w:ind w:left="340"/>
              <w:spacing w:after="0"/>
              <w:rPr>
                <w:sz w:val="20"/>
                <w:szCs w:val="20"/>
                <w:color w:val="auto"/>
              </w:rPr>
            </w:pPr>
            <w:r>
              <w:rPr>
                <w:rFonts w:ascii="Arial" w:cs="Arial" w:eastAsia="Arial" w:hAnsi="Arial"/>
                <w:sz w:val="14"/>
                <w:szCs w:val="14"/>
                <w:color w:val="auto"/>
              </w:rPr>
              <w:t>UK, United Kingdom</w:t>
            </w:r>
          </w:p>
        </w:tc>
        <w:tc>
          <w:tcPr>
            <w:tcW w:w="5720" w:type="dxa"/>
            <w:vAlign w:val="bottom"/>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NZD</w:t>
            </w:r>
          </w:p>
        </w:tc>
        <w:tc>
          <w:tcPr>
            <w:tcW w:w="1280" w:type="dxa"/>
            <w:vAlign w:val="bottom"/>
            <w:shd w:val="clear" w:color="auto" w:fill="1F497D"/>
          </w:tcPr>
          <w:p>
            <w:pPr>
              <w:spacing w:after="0"/>
              <w:rPr>
                <w:sz w:val="12"/>
                <w:szCs w:val="12"/>
                <w:color w:val="auto"/>
              </w:rPr>
            </w:pPr>
          </w:p>
        </w:tc>
        <w:tc>
          <w:tcPr>
            <w:tcW w:w="2080" w:type="dxa"/>
            <w:vAlign w:val="bottom"/>
            <w:shd w:val="clear" w:color="auto" w:fill="1F497D"/>
          </w:tcPr>
          <w:p>
            <w:pPr>
              <w:spacing w:after="0"/>
              <w:rPr>
                <w:sz w:val="12"/>
                <w:szCs w:val="12"/>
                <w:color w:val="auto"/>
              </w:rPr>
            </w:pPr>
          </w:p>
        </w:tc>
        <w:tc>
          <w:tcPr>
            <w:tcW w:w="57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Asia</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AU, Australia</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80" w:type="dxa"/>
            <w:vAlign w:val="bottom"/>
          </w:tcPr>
          <w:p>
            <w:pPr>
              <w:ind w:left="340"/>
              <w:spacing w:after="0"/>
              <w:rPr>
                <w:sz w:val="20"/>
                <w:szCs w:val="20"/>
                <w:color w:val="auto"/>
              </w:rPr>
            </w:pPr>
            <w:r>
              <w:rPr>
                <w:rFonts w:ascii="Arial" w:cs="Arial" w:eastAsia="Arial" w:hAnsi="Arial"/>
                <w:sz w:val="14"/>
                <w:szCs w:val="14"/>
                <w:color w:val="auto"/>
              </w:rPr>
              <w:t>NZ, New Zealand</w:t>
            </w:r>
          </w:p>
        </w:tc>
        <w:tc>
          <w:tcPr>
            <w:tcW w:w="5720" w:type="dxa"/>
            <w:vAlign w:val="bottom"/>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PLN</w:t>
            </w:r>
          </w:p>
        </w:tc>
        <w:tc>
          <w:tcPr>
            <w:tcW w:w="1280" w:type="dxa"/>
            <w:vAlign w:val="bottom"/>
            <w:shd w:val="clear" w:color="auto" w:fill="1F497D"/>
          </w:tcPr>
          <w:p>
            <w:pPr>
              <w:spacing w:after="0"/>
              <w:rPr>
                <w:sz w:val="12"/>
                <w:szCs w:val="12"/>
                <w:color w:val="auto"/>
              </w:rPr>
            </w:pPr>
          </w:p>
        </w:tc>
        <w:tc>
          <w:tcPr>
            <w:tcW w:w="2080" w:type="dxa"/>
            <w:vAlign w:val="bottom"/>
            <w:shd w:val="clear" w:color="auto" w:fill="1F497D"/>
          </w:tcPr>
          <w:p>
            <w:pPr>
              <w:spacing w:after="0"/>
              <w:rPr>
                <w:sz w:val="12"/>
                <w:szCs w:val="12"/>
                <w:color w:val="auto"/>
              </w:rPr>
            </w:pPr>
          </w:p>
        </w:tc>
        <w:tc>
          <w:tcPr>
            <w:tcW w:w="57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CEEMEA</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PL, Poland</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SEK</w:t>
            </w:r>
          </w:p>
        </w:tc>
        <w:tc>
          <w:tcPr>
            <w:tcW w:w="1280" w:type="dxa"/>
            <w:vAlign w:val="bottom"/>
            <w:shd w:val="clear" w:color="auto" w:fill="1F497D"/>
          </w:tcPr>
          <w:p>
            <w:pPr>
              <w:spacing w:after="0"/>
              <w:rPr>
                <w:sz w:val="12"/>
                <w:szCs w:val="12"/>
                <w:color w:val="auto"/>
              </w:rPr>
            </w:pPr>
          </w:p>
        </w:tc>
        <w:tc>
          <w:tcPr>
            <w:tcW w:w="2080" w:type="dxa"/>
            <w:vAlign w:val="bottom"/>
            <w:shd w:val="clear" w:color="auto" w:fill="1F497D"/>
          </w:tcPr>
          <w:p>
            <w:pPr>
              <w:spacing w:after="0"/>
              <w:rPr>
                <w:sz w:val="12"/>
                <w:szCs w:val="12"/>
                <w:color w:val="auto"/>
              </w:rPr>
            </w:pPr>
          </w:p>
        </w:tc>
        <w:tc>
          <w:tcPr>
            <w:tcW w:w="57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auto"/>
              </w:rPr>
              <w:t>DE, Germany</w:t>
            </w:r>
          </w:p>
        </w:tc>
        <w:tc>
          <w:tcPr>
            <w:tcW w:w="5720" w:type="dxa"/>
            <w:vAlign w:val="bottom"/>
            <w:vMerge w:val="restart"/>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DK, Denmark</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FI, Finland</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FR, France</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IE, Ireland</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NO, Norway</w:t>
            </w:r>
          </w:p>
        </w:tc>
        <w:tc>
          <w:tcPr>
            <w:tcW w:w="5720" w:type="dxa"/>
            <w:vAlign w:val="bottom"/>
          </w:tcPr>
          <w:p>
            <w:pPr>
              <w:ind w:left="43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80" w:type="dxa"/>
            <w:vAlign w:val="bottom"/>
          </w:tcPr>
          <w:p>
            <w:pPr>
              <w:ind w:left="340"/>
              <w:spacing w:after="0"/>
              <w:rPr>
                <w:sz w:val="20"/>
                <w:szCs w:val="20"/>
                <w:color w:val="auto"/>
              </w:rPr>
            </w:pPr>
            <w:r>
              <w:rPr>
                <w:rFonts w:ascii="Arial" w:cs="Arial" w:eastAsia="Arial" w:hAnsi="Arial"/>
                <w:sz w:val="14"/>
                <w:szCs w:val="14"/>
                <w:color w:val="auto"/>
              </w:rPr>
              <w:t>SE, Sweden</w:t>
            </w:r>
          </w:p>
        </w:tc>
        <w:tc>
          <w:tcPr>
            <w:tcW w:w="5720" w:type="dxa"/>
            <w:vAlign w:val="bottom"/>
          </w:tcPr>
          <w:p>
            <w:pPr>
              <w:ind w:left="43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7" w:name="page298"/>
    <w:bookmarkEnd w:id="2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880" w:type="dxa"/>
            <w:vAlign w:val="bottom"/>
            <w:shd w:val="clear" w:color="auto" w:fill="EEECE1"/>
          </w:tcPr>
          <w:p>
            <w:pPr>
              <w:spacing w:after="0"/>
              <w:rPr>
                <w:sz w:val="20"/>
                <w:szCs w:val="20"/>
                <w:color w:val="auto"/>
              </w:rPr>
            </w:pPr>
            <w:r>
              <w:rPr>
                <w:rFonts w:ascii="Arial" w:cs="Arial" w:eastAsia="Arial" w:hAnsi="Arial"/>
                <w:sz w:val="14"/>
                <w:szCs w:val="14"/>
                <w:b w:val="1"/>
                <w:bCs w:val="1"/>
                <w:color w:val="auto"/>
              </w:rPr>
              <w:t>4</w:t>
            </w:r>
          </w:p>
        </w:tc>
        <w:tc>
          <w:tcPr>
            <w:tcW w:w="300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3300" w:type="dxa"/>
            <w:vAlign w:val="bottom"/>
            <w:shd w:val="clear" w:color="auto" w:fill="EEECE1"/>
          </w:tcPr>
          <w:p>
            <w:pPr>
              <w:ind w:left="1520"/>
              <w:spacing w:after="0"/>
              <w:rPr>
                <w:sz w:val="20"/>
                <w:szCs w:val="20"/>
                <w:color w:val="auto"/>
              </w:rPr>
            </w:pPr>
            <w:r>
              <w:rPr>
                <w:rFonts w:ascii="Arial" w:cs="Arial" w:eastAsia="Arial" w:hAnsi="Arial"/>
                <w:sz w:val="14"/>
                <w:szCs w:val="14"/>
                <w:color w:val="auto"/>
              </w:rPr>
              <w:t>6</w:t>
            </w: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920" w:type="dxa"/>
            <w:vAlign w:val="bottom"/>
            <w:shd w:val="clear" w:color="auto" w:fill="EEECE1"/>
          </w:tcPr>
          <w:p>
            <w:pPr>
              <w:spacing w:after="0"/>
              <w:rPr>
                <w:sz w:val="14"/>
                <w:szCs w:val="14"/>
                <w:color w:val="auto"/>
              </w:rPr>
            </w:pPr>
          </w:p>
        </w:tc>
        <w:tc>
          <w:tcPr>
            <w:tcW w:w="880" w:type="dxa"/>
            <w:vAlign w:val="bottom"/>
            <w:shd w:val="clear" w:color="auto" w:fill="EEECE1"/>
          </w:tcPr>
          <w:p>
            <w:pPr>
              <w:spacing w:after="0"/>
              <w:rPr>
                <w:sz w:val="14"/>
                <w:szCs w:val="14"/>
                <w:color w:val="auto"/>
              </w:rPr>
            </w:pPr>
          </w:p>
        </w:tc>
        <w:tc>
          <w:tcPr>
            <w:tcW w:w="3000" w:type="dxa"/>
            <w:vAlign w:val="bottom"/>
            <w:shd w:val="clear" w:color="auto" w:fill="EEECE1"/>
          </w:tcPr>
          <w:p>
            <w:pPr>
              <w:spacing w:after="0"/>
              <w:rPr>
                <w:sz w:val="14"/>
                <w:szCs w:val="14"/>
                <w:color w:val="auto"/>
              </w:rPr>
            </w:pPr>
          </w:p>
        </w:tc>
        <w:tc>
          <w:tcPr>
            <w:tcW w:w="3300" w:type="dxa"/>
            <w:vAlign w:val="bottom"/>
            <w:shd w:val="clear" w:color="auto" w:fill="EEECE1"/>
          </w:tcPr>
          <w:p>
            <w:pPr>
              <w:spacing w:after="0"/>
              <w:rPr>
                <w:sz w:val="14"/>
                <w:szCs w:val="14"/>
                <w:color w:val="auto"/>
              </w:rPr>
            </w:pP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shd w:val="clear" w:color="auto" w:fill="EEECE1"/>
          </w:tcPr>
          <w:p>
            <w:pPr>
              <w:spacing w:after="0"/>
              <w:rPr>
                <w:sz w:val="12"/>
                <w:szCs w:val="12"/>
                <w:color w:val="auto"/>
              </w:rPr>
            </w:pPr>
          </w:p>
        </w:tc>
        <w:tc>
          <w:tcPr>
            <w:tcW w:w="1220" w:type="dxa"/>
            <w:vAlign w:val="bottom"/>
            <w:shd w:val="clear" w:color="auto" w:fill="EEECE1"/>
          </w:tcPr>
          <w:p>
            <w:pPr>
              <w:spacing w:after="0"/>
              <w:rPr>
                <w:sz w:val="12"/>
                <w:szCs w:val="12"/>
                <w:color w:val="auto"/>
              </w:rPr>
            </w:pPr>
          </w:p>
        </w:tc>
        <w:tc>
          <w:tcPr>
            <w:tcW w:w="920" w:type="dxa"/>
            <w:vAlign w:val="bottom"/>
            <w:shd w:val="clear" w:color="auto" w:fill="EEECE1"/>
          </w:tcPr>
          <w:p>
            <w:pPr>
              <w:spacing w:after="0"/>
              <w:rPr>
                <w:sz w:val="12"/>
                <w:szCs w:val="12"/>
                <w:color w:val="auto"/>
              </w:rPr>
            </w:pPr>
          </w:p>
        </w:tc>
        <w:tc>
          <w:tcPr>
            <w:tcW w:w="880" w:type="dxa"/>
            <w:vAlign w:val="bottom"/>
            <w:shd w:val="clear" w:color="auto" w:fill="EEECE1"/>
          </w:tcPr>
          <w:p>
            <w:pPr>
              <w:spacing w:after="0"/>
              <w:rPr>
                <w:sz w:val="12"/>
                <w:szCs w:val="12"/>
                <w:color w:val="auto"/>
              </w:rPr>
            </w:pPr>
          </w:p>
        </w:tc>
        <w:tc>
          <w:tcPr>
            <w:tcW w:w="3000" w:type="dxa"/>
            <w:vAlign w:val="bottom"/>
            <w:shd w:val="clear" w:color="auto" w:fill="EEECE1"/>
          </w:tcPr>
          <w:p>
            <w:pPr>
              <w:spacing w:after="0"/>
              <w:rPr>
                <w:sz w:val="12"/>
                <w:szCs w:val="12"/>
                <w:color w:val="auto"/>
              </w:rPr>
            </w:pPr>
          </w:p>
        </w:tc>
        <w:tc>
          <w:tcPr>
            <w:tcW w:w="3300" w:type="dxa"/>
            <w:vAlign w:val="bottom"/>
            <w:shd w:val="clear" w:color="auto" w:fill="EEECE1"/>
          </w:tcPr>
          <w:p>
            <w:pPr>
              <w:spacing w:after="0"/>
              <w:rPr>
                <w:sz w:val="12"/>
                <w:szCs w:val="12"/>
                <w:color w:val="auto"/>
              </w:rPr>
            </w:pPr>
          </w:p>
        </w:tc>
        <w:tc>
          <w:tcPr>
            <w:tcW w:w="126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40" w:type="dxa"/>
            <w:vAlign w:val="bottom"/>
            <w:gridSpan w:val="2"/>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Government Sponsored</w:t>
            </w:r>
          </w:p>
        </w:tc>
        <w:tc>
          <w:tcPr>
            <w:tcW w:w="880" w:type="dxa"/>
            <w:vAlign w:val="bottom"/>
            <w:shd w:val="clear" w:color="auto" w:fill="C00000"/>
          </w:tcPr>
          <w:p>
            <w:pPr>
              <w:spacing w:after="0"/>
              <w:rPr>
                <w:sz w:val="12"/>
                <w:szCs w:val="12"/>
                <w:color w:val="auto"/>
              </w:rPr>
            </w:pPr>
          </w:p>
        </w:tc>
        <w:tc>
          <w:tcPr>
            <w:tcW w:w="3000" w:type="dxa"/>
            <w:vAlign w:val="bottom"/>
            <w:shd w:val="clear" w:color="auto" w:fill="C00000"/>
          </w:tcPr>
          <w:p>
            <w:pPr>
              <w:spacing w:after="0"/>
              <w:rPr>
                <w:sz w:val="12"/>
                <w:szCs w:val="12"/>
                <w:color w:val="auto"/>
              </w:rPr>
            </w:pPr>
          </w:p>
        </w:tc>
        <w:tc>
          <w:tcPr>
            <w:tcW w:w="3300" w:type="dxa"/>
            <w:vAlign w:val="bottom"/>
            <w:shd w:val="clear" w:color="auto" w:fill="C00000"/>
          </w:tcPr>
          <w:p>
            <w:pPr>
              <w:spacing w:after="0"/>
              <w:rPr>
                <w:sz w:val="12"/>
                <w:szCs w:val="12"/>
                <w:color w:val="auto"/>
              </w:rPr>
            </w:pPr>
          </w:p>
        </w:tc>
        <w:tc>
          <w:tcPr>
            <w:tcW w:w="126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2"/>
              </w:rPr>
              <w:t>Supranational</w:t>
            </w:r>
          </w:p>
        </w:tc>
        <w:tc>
          <w:tcPr>
            <w:tcW w:w="880" w:type="dxa"/>
            <w:vAlign w:val="bottom"/>
            <w:shd w:val="clear" w:color="auto" w:fill="1F497D"/>
          </w:tcPr>
          <w:p>
            <w:pPr>
              <w:spacing w:after="0"/>
              <w:rPr>
                <w:sz w:val="12"/>
                <w:szCs w:val="12"/>
                <w:color w:val="auto"/>
              </w:rPr>
            </w:pPr>
          </w:p>
        </w:tc>
        <w:tc>
          <w:tcPr>
            <w:tcW w:w="3000" w:type="dxa"/>
            <w:vAlign w:val="bottom"/>
            <w:shd w:val="clear" w:color="auto" w:fill="1F497D"/>
          </w:tcPr>
          <w:p>
            <w:pPr>
              <w:spacing w:after="0"/>
              <w:rPr>
                <w:sz w:val="12"/>
                <w:szCs w:val="12"/>
                <w:color w:val="auto"/>
              </w:rPr>
            </w:pPr>
          </w:p>
        </w:tc>
        <w:tc>
          <w:tcPr>
            <w:tcW w:w="3300" w:type="dxa"/>
            <w:vAlign w:val="bottom"/>
            <w:shd w:val="clear" w:color="auto" w:fill="1F497D"/>
          </w:tcPr>
          <w:p>
            <w:pPr>
              <w:spacing w:after="0"/>
              <w:rPr>
                <w:sz w:val="12"/>
                <w:szCs w:val="12"/>
                <w:color w:val="auto"/>
              </w:rPr>
            </w:pPr>
          </w:p>
        </w:tc>
        <w:tc>
          <w:tcPr>
            <w:tcW w:w="12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USD</w:t>
            </w:r>
          </w:p>
        </w:tc>
        <w:tc>
          <w:tcPr>
            <w:tcW w:w="3000" w:type="dxa"/>
            <w:vAlign w:val="bottom"/>
            <w:vMerge w:val="restart"/>
          </w:tcPr>
          <w:p>
            <w:pPr>
              <w:ind w:left="560"/>
              <w:spacing w:after="0"/>
              <w:rPr>
                <w:sz w:val="20"/>
                <w:szCs w:val="20"/>
                <w:color w:val="auto"/>
              </w:rPr>
            </w:pPr>
            <w:r>
              <w:rPr>
                <w:rFonts w:ascii="Arial" w:cs="Arial" w:eastAsia="Arial" w:hAnsi="Arial"/>
                <w:sz w:val="14"/>
                <w:szCs w:val="14"/>
                <w:color w:val="auto"/>
              </w:rPr>
              <w:t>Nort America</w:t>
            </w:r>
          </w:p>
        </w:tc>
        <w:tc>
          <w:tcPr>
            <w:tcW w:w="3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CA, Canada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w w:val="96"/>
              </w:rPr>
              <w:t>US, United States of America</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ind w:left="560"/>
              <w:spacing w:after="0"/>
              <w:rPr>
                <w:sz w:val="20"/>
                <w:szCs w:val="20"/>
                <w:color w:val="auto"/>
              </w:rPr>
            </w:pPr>
            <w:r>
              <w:rPr>
                <w:rFonts w:ascii="Arial" w:cs="Arial" w:eastAsia="Arial" w:hAnsi="Arial"/>
                <w:sz w:val="14"/>
                <w:szCs w:val="14"/>
                <w:color w:val="auto"/>
              </w:rPr>
              <w:t>LATAM</w:t>
            </w: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JM, Jamaica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rPr>
              <w:t>PA, Panama</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ind w:left="560"/>
              <w:spacing w:after="0"/>
              <w:rPr>
                <w:sz w:val="20"/>
                <w:szCs w:val="20"/>
                <w:color w:val="auto"/>
              </w:rPr>
            </w:pPr>
            <w:r>
              <w:rPr>
                <w:rFonts w:ascii="Arial" w:cs="Arial" w:eastAsia="Arial" w:hAnsi="Arial"/>
                <w:sz w:val="14"/>
                <w:szCs w:val="14"/>
                <w:color w:val="auto"/>
              </w:rPr>
              <w:t>Western Europe</w:t>
            </w: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AT, Austria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BE, Belgium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CH, Switzerland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DE, Germany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DK, Denmark</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ES, Spain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FI, Finland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FR, France</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IE, Ireland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IS, Iceland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IT, Italy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LU, Luxembourg</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NL, Netherlands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NO, Norway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PT, Portugal</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SE, Sweden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UK, United Kingdom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ind w:left="560"/>
              <w:spacing w:after="0"/>
              <w:rPr>
                <w:sz w:val="20"/>
                <w:szCs w:val="20"/>
                <w:color w:val="auto"/>
              </w:rPr>
            </w:pPr>
            <w:r>
              <w:rPr>
                <w:rFonts w:ascii="Arial" w:cs="Arial" w:eastAsia="Arial" w:hAnsi="Arial"/>
                <w:sz w:val="14"/>
                <w:szCs w:val="14"/>
                <w:color w:val="auto"/>
              </w:rPr>
              <w:t>Asia</w:t>
            </w: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AU, Australia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JP, Japan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KR, Korea (Republic of)</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PG, Papua New Guinea</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rPr>
              <w:t>SG, Singapore</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ind w:left="560"/>
              <w:spacing w:after="0"/>
              <w:rPr>
                <w:sz w:val="20"/>
                <w:szCs w:val="20"/>
                <w:color w:val="auto"/>
              </w:rPr>
            </w:pPr>
            <w:r>
              <w:rPr>
                <w:rFonts w:ascii="Arial" w:cs="Arial" w:eastAsia="Arial" w:hAnsi="Arial"/>
                <w:sz w:val="14"/>
                <w:szCs w:val="14"/>
                <w:color w:val="auto"/>
              </w:rPr>
              <w:t>CEEMEA</w:t>
            </w: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EG, Egypt</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vMerge w:val="restart"/>
          </w:tcPr>
          <w:p>
            <w:pPr>
              <w:spacing w:after="0"/>
              <w:rPr>
                <w:sz w:val="20"/>
                <w:szCs w:val="20"/>
                <w:color w:val="auto"/>
              </w:rPr>
            </w:pPr>
            <w:r>
              <w:rPr>
                <w:rFonts w:ascii="Arial" w:cs="Arial" w:eastAsia="Arial" w:hAnsi="Arial"/>
                <w:sz w:val="14"/>
                <w:szCs w:val="14"/>
                <w:color w:val="auto"/>
              </w:rPr>
              <w:t>AUD</w:t>
            </w:r>
          </w:p>
        </w:tc>
        <w:tc>
          <w:tcPr>
            <w:tcW w:w="3000" w:type="dxa"/>
            <w:vAlign w:val="bottom"/>
          </w:tcPr>
          <w:p>
            <w:pPr>
              <w:spacing w:after="0"/>
              <w:rPr>
                <w:sz w:val="15"/>
                <w:szCs w:val="15"/>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rPr>
              <w:t>MT, Malta</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000" w:type="dxa"/>
            <w:vAlign w:val="bottom"/>
            <w:vMerge w:val="restart"/>
          </w:tcPr>
          <w:p>
            <w:pPr>
              <w:ind w:left="560"/>
              <w:spacing w:after="0"/>
              <w:rPr>
                <w:sz w:val="20"/>
                <w:szCs w:val="20"/>
                <w:color w:val="auto"/>
              </w:rPr>
            </w:pPr>
            <w:r>
              <w:rPr>
                <w:rFonts w:ascii="Arial" w:cs="Arial" w:eastAsia="Arial" w:hAnsi="Arial"/>
                <w:sz w:val="14"/>
                <w:szCs w:val="14"/>
                <w:color w:val="auto"/>
              </w:rPr>
              <w:t>Nort America</w:t>
            </w:r>
          </w:p>
        </w:tc>
        <w:tc>
          <w:tcPr>
            <w:tcW w:w="3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CA, Canada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ind w:left="560"/>
              <w:spacing w:after="0"/>
              <w:rPr>
                <w:sz w:val="20"/>
                <w:szCs w:val="20"/>
                <w:color w:val="auto"/>
              </w:rPr>
            </w:pPr>
            <w:r>
              <w:rPr>
                <w:rFonts w:ascii="Arial" w:cs="Arial" w:eastAsia="Arial" w:hAnsi="Arial"/>
                <w:sz w:val="14"/>
                <w:szCs w:val="14"/>
                <w:color w:val="auto"/>
              </w:rPr>
              <w:t>Europe</w:t>
            </w: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AT, Austria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DE, Germany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DK, Denmark</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FI, Finland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FR, France</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NL, Netherlands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NO, Norway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NZ, New Zealand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00" w:type="dxa"/>
            <w:vAlign w:val="bottom"/>
          </w:tcPr>
          <w:p>
            <w:pPr>
              <w:ind w:left="1520"/>
              <w:spacing w:after="0" w:line="149" w:lineRule="exact"/>
              <w:rPr>
                <w:sz w:val="20"/>
                <w:szCs w:val="20"/>
                <w:color w:val="auto"/>
              </w:rPr>
            </w:pPr>
            <w:r>
              <w:rPr>
                <w:rFonts w:ascii="Arial" w:cs="Arial" w:eastAsia="Arial" w:hAnsi="Arial"/>
                <w:sz w:val="14"/>
                <w:szCs w:val="14"/>
                <w:color w:val="auto"/>
              </w:rPr>
              <w:t>SE, Sweden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rPr>
              <w:t>UK, United Kingdom</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ind w:left="560"/>
              <w:spacing w:after="0"/>
              <w:rPr>
                <w:sz w:val="20"/>
                <w:szCs w:val="20"/>
                <w:color w:val="auto"/>
              </w:rPr>
            </w:pPr>
            <w:r>
              <w:rPr>
                <w:rFonts w:ascii="Arial" w:cs="Arial" w:eastAsia="Arial" w:hAnsi="Arial"/>
                <w:sz w:val="14"/>
                <w:szCs w:val="14"/>
                <w:color w:val="auto"/>
              </w:rPr>
              <w:t>Asia</w:t>
            </w:r>
          </w:p>
        </w:tc>
        <w:tc>
          <w:tcPr>
            <w:tcW w:w="3300" w:type="dxa"/>
            <w:vAlign w:val="bottom"/>
            <w:vMerge w:val="restart"/>
          </w:tcPr>
          <w:p>
            <w:pPr>
              <w:ind w:left="1520"/>
              <w:spacing w:after="0"/>
              <w:rPr>
                <w:sz w:val="20"/>
                <w:szCs w:val="20"/>
                <w:color w:val="auto"/>
              </w:rPr>
            </w:pPr>
            <w:r>
              <w:rPr>
                <w:rFonts w:ascii="Arial" w:cs="Arial" w:eastAsia="Arial" w:hAnsi="Arial"/>
                <w:sz w:val="14"/>
                <w:szCs w:val="14"/>
                <w:color w:val="auto"/>
              </w:rPr>
              <w:t>AU, Australia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rPr>
              <w:t>JP, Japan</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8" w:name="page299"/>
    <w:bookmarkEnd w:id="2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460" w:type="dxa"/>
            <w:vAlign w:val="bottom"/>
            <w:shd w:val="clear" w:color="auto" w:fill="EEECE1"/>
          </w:tcPr>
          <w:p>
            <w:pPr>
              <w:jc w:val="right"/>
              <w:ind w:right="1028"/>
              <w:spacing w:after="0"/>
              <w:rPr>
                <w:sz w:val="20"/>
                <w:szCs w:val="20"/>
                <w:color w:val="auto"/>
              </w:rPr>
            </w:pPr>
            <w:r>
              <w:rPr>
                <w:rFonts w:ascii="Arial" w:cs="Arial" w:eastAsia="Arial" w:hAnsi="Arial"/>
                <w:sz w:val="14"/>
                <w:szCs w:val="14"/>
                <w:b w:val="1"/>
                <w:bCs w:val="1"/>
                <w:color w:val="auto"/>
              </w:rPr>
              <w:t>2</w:t>
            </w:r>
          </w:p>
        </w:tc>
        <w:tc>
          <w:tcPr>
            <w:tcW w:w="860" w:type="dxa"/>
            <w:vAlign w:val="bottom"/>
            <w:shd w:val="clear" w:color="auto" w:fill="EEECE1"/>
          </w:tcPr>
          <w:p>
            <w:pPr>
              <w:jc w:val="right"/>
              <w:ind w:right="688"/>
              <w:spacing w:after="0"/>
              <w:rPr>
                <w:sz w:val="20"/>
                <w:szCs w:val="20"/>
                <w:color w:val="auto"/>
              </w:rPr>
            </w:pPr>
            <w:r>
              <w:rPr>
                <w:rFonts w:ascii="Arial" w:cs="Arial" w:eastAsia="Arial" w:hAnsi="Arial"/>
                <w:sz w:val="14"/>
                <w:szCs w:val="14"/>
                <w:b w:val="1"/>
                <w:bCs w:val="1"/>
                <w:color w:val="auto"/>
              </w:rPr>
              <w:t>3</w:t>
            </w:r>
          </w:p>
        </w:tc>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4</w:t>
            </w:r>
          </w:p>
        </w:tc>
        <w:tc>
          <w:tcPr>
            <w:tcW w:w="298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3340" w:type="dxa"/>
            <w:vAlign w:val="bottom"/>
            <w:shd w:val="clear" w:color="auto" w:fill="EEECE1"/>
          </w:tcPr>
          <w:p>
            <w:pPr>
              <w:ind w:left="1560"/>
              <w:spacing w:after="0"/>
              <w:rPr>
                <w:sz w:val="20"/>
                <w:szCs w:val="20"/>
                <w:color w:val="auto"/>
              </w:rPr>
            </w:pPr>
            <w:r>
              <w:rPr>
                <w:rFonts w:ascii="Arial" w:cs="Arial" w:eastAsia="Arial" w:hAnsi="Arial"/>
                <w:sz w:val="14"/>
                <w:szCs w:val="14"/>
                <w:color w:val="auto"/>
              </w:rPr>
              <w:t>6</w:t>
            </w: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60" w:type="dxa"/>
            <w:vAlign w:val="bottom"/>
            <w:shd w:val="clear" w:color="auto" w:fill="EEECE1"/>
          </w:tcPr>
          <w:p>
            <w:pPr>
              <w:spacing w:after="0"/>
              <w:rPr>
                <w:sz w:val="14"/>
                <w:szCs w:val="14"/>
                <w:color w:val="auto"/>
              </w:rPr>
            </w:pPr>
          </w:p>
        </w:tc>
        <w:tc>
          <w:tcPr>
            <w:tcW w:w="920" w:type="dxa"/>
            <w:vAlign w:val="bottom"/>
            <w:shd w:val="clear" w:color="auto" w:fill="EEECE1"/>
          </w:tcPr>
          <w:p>
            <w:pPr>
              <w:spacing w:after="0"/>
              <w:rPr>
                <w:sz w:val="14"/>
                <w:szCs w:val="14"/>
                <w:color w:val="auto"/>
              </w:rPr>
            </w:pPr>
          </w:p>
        </w:tc>
        <w:tc>
          <w:tcPr>
            <w:tcW w:w="2980" w:type="dxa"/>
            <w:vAlign w:val="bottom"/>
            <w:shd w:val="clear" w:color="auto" w:fill="EEECE1"/>
          </w:tcPr>
          <w:p>
            <w:pPr>
              <w:spacing w:after="0"/>
              <w:rPr>
                <w:sz w:val="14"/>
                <w:szCs w:val="14"/>
                <w:color w:val="auto"/>
              </w:rPr>
            </w:pPr>
          </w:p>
        </w:tc>
        <w:tc>
          <w:tcPr>
            <w:tcW w:w="3340" w:type="dxa"/>
            <w:vAlign w:val="bottom"/>
            <w:shd w:val="clear" w:color="auto" w:fill="EEECE1"/>
          </w:tcPr>
          <w:p>
            <w:pPr>
              <w:spacing w:after="0"/>
              <w:rPr>
                <w:sz w:val="14"/>
                <w:szCs w:val="14"/>
                <w:color w:val="auto"/>
              </w:rPr>
            </w:pP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shd w:val="clear" w:color="auto" w:fill="EEECE1"/>
          </w:tcPr>
          <w:p>
            <w:pPr>
              <w:spacing w:after="0"/>
              <w:rPr>
                <w:sz w:val="12"/>
                <w:szCs w:val="12"/>
                <w:color w:val="auto"/>
              </w:rPr>
            </w:pPr>
          </w:p>
        </w:tc>
        <w:tc>
          <w:tcPr>
            <w:tcW w:w="1460" w:type="dxa"/>
            <w:vAlign w:val="bottom"/>
            <w:shd w:val="clear" w:color="auto" w:fill="EEECE1"/>
          </w:tcPr>
          <w:p>
            <w:pPr>
              <w:spacing w:after="0"/>
              <w:rPr>
                <w:sz w:val="12"/>
                <w:szCs w:val="12"/>
                <w:color w:val="auto"/>
              </w:rPr>
            </w:pPr>
          </w:p>
        </w:tc>
        <w:tc>
          <w:tcPr>
            <w:tcW w:w="860" w:type="dxa"/>
            <w:vAlign w:val="bottom"/>
            <w:shd w:val="clear" w:color="auto" w:fill="EEECE1"/>
          </w:tcPr>
          <w:p>
            <w:pPr>
              <w:spacing w:after="0"/>
              <w:rPr>
                <w:sz w:val="12"/>
                <w:szCs w:val="12"/>
                <w:color w:val="auto"/>
              </w:rPr>
            </w:pPr>
          </w:p>
        </w:tc>
        <w:tc>
          <w:tcPr>
            <w:tcW w:w="920" w:type="dxa"/>
            <w:vAlign w:val="bottom"/>
            <w:shd w:val="clear" w:color="auto" w:fill="EEECE1"/>
          </w:tcPr>
          <w:p>
            <w:pPr>
              <w:spacing w:after="0"/>
              <w:rPr>
                <w:sz w:val="12"/>
                <w:szCs w:val="12"/>
                <w:color w:val="auto"/>
              </w:rPr>
            </w:pPr>
          </w:p>
        </w:tc>
        <w:tc>
          <w:tcPr>
            <w:tcW w:w="2980" w:type="dxa"/>
            <w:vAlign w:val="bottom"/>
            <w:shd w:val="clear" w:color="auto" w:fill="EEECE1"/>
          </w:tcPr>
          <w:p>
            <w:pPr>
              <w:spacing w:after="0"/>
              <w:rPr>
                <w:sz w:val="12"/>
                <w:szCs w:val="12"/>
                <w:color w:val="auto"/>
              </w:rPr>
            </w:pPr>
          </w:p>
        </w:tc>
        <w:tc>
          <w:tcPr>
            <w:tcW w:w="3340" w:type="dxa"/>
            <w:vAlign w:val="bottom"/>
            <w:shd w:val="clear" w:color="auto" w:fill="EEECE1"/>
          </w:tcPr>
          <w:p>
            <w:pPr>
              <w:spacing w:after="0"/>
              <w:rPr>
                <w:sz w:val="12"/>
                <w:szCs w:val="12"/>
                <w:color w:val="auto"/>
              </w:rPr>
            </w:pPr>
          </w:p>
        </w:tc>
        <w:tc>
          <w:tcPr>
            <w:tcW w:w="126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CHF</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Nort America</w:t>
            </w:r>
          </w:p>
        </w:tc>
        <w:tc>
          <w:tcPr>
            <w:tcW w:w="3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CA, Canada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AT, Austria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BE, Belgium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DE, Germany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DK, Denmark</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ES, Spain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FI, Finland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FR, France</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IT, Italy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NL, Netherlands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NO, Norway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NZ, New Zealand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SE, Sweden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UK, United Kingdom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Asia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AU, Australia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DKK</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DK, Denmark</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EUR</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CA, Canada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w w:val="96"/>
              </w:rPr>
              <w:t>US, United States of America</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AT, Austria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BE, Belgium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CY, Cyprus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DE, Germany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DK, Denmark</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ES, Spain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FI, Finland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FR, France</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GR, Greece</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IE, Ireland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IS, Iceland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IT, Italy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LU, Luxembourg</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NL, Netherlands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NO, Norway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PT, Portugal</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SE, Sweden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Asia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JP, Japan</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CEEMEA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MT, Malta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99" w:name="page300"/>
    <w:bookmarkEnd w:id="2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460" w:type="dxa"/>
            <w:vAlign w:val="bottom"/>
            <w:shd w:val="clear" w:color="auto" w:fill="EEECE1"/>
          </w:tcPr>
          <w:p>
            <w:pPr>
              <w:jc w:val="right"/>
              <w:ind w:right="1028"/>
              <w:spacing w:after="0"/>
              <w:rPr>
                <w:sz w:val="20"/>
                <w:szCs w:val="20"/>
                <w:color w:val="auto"/>
              </w:rPr>
            </w:pPr>
            <w:r>
              <w:rPr>
                <w:rFonts w:ascii="Arial" w:cs="Arial" w:eastAsia="Arial" w:hAnsi="Arial"/>
                <w:sz w:val="14"/>
                <w:szCs w:val="14"/>
                <w:b w:val="1"/>
                <w:bCs w:val="1"/>
                <w:color w:val="auto"/>
              </w:rPr>
              <w:t>2</w:t>
            </w:r>
          </w:p>
        </w:tc>
        <w:tc>
          <w:tcPr>
            <w:tcW w:w="860" w:type="dxa"/>
            <w:vAlign w:val="bottom"/>
            <w:shd w:val="clear" w:color="auto" w:fill="EEECE1"/>
          </w:tcPr>
          <w:p>
            <w:pPr>
              <w:jc w:val="right"/>
              <w:ind w:right="688"/>
              <w:spacing w:after="0"/>
              <w:rPr>
                <w:sz w:val="20"/>
                <w:szCs w:val="20"/>
                <w:color w:val="auto"/>
              </w:rPr>
            </w:pPr>
            <w:r>
              <w:rPr>
                <w:rFonts w:ascii="Arial" w:cs="Arial" w:eastAsia="Arial" w:hAnsi="Arial"/>
                <w:sz w:val="14"/>
                <w:szCs w:val="14"/>
                <w:b w:val="1"/>
                <w:bCs w:val="1"/>
                <w:color w:val="auto"/>
              </w:rPr>
              <w:t>3</w:t>
            </w:r>
          </w:p>
        </w:tc>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4</w:t>
            </w:r>
          </w:p>
        </w:tc>
        <w:tc>
          <w:tcPr>
            <w:tcW w:w="298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3340" w:type="dxa"/>
            <w:vAlign w:val="bottom"/>
            <w:shd w:val="clear" w:color="auto" w:fill="EEECE1"/>
          </w:tcPr>
          <w:p>
            <w:pPr>
              <w:ind w:left="1560"/>
              <w:spacing w:after="0"/>
              <w:rPr>
                <w:sz w:val="20"/>
                <w:szCs w:val="20"/>
                <w:color w:val="auto"/>
              </w:rPr>
            </w:pPr>
            <w:r>
              <w:rPr>
                <w:rFonts w:ascii="Arial" w:cs="Arial" w:eastAsia="Arial" w:hAnsi="Arial"/>
                <w:sz w:val="14"/>
                <w:szCs w:val="14"/>
                <w:color w:val="auto"/>
              </w:rPr>
              <w:t>6</w:t>
            </w: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60" w:type="dxa"/>
            <w:vAlign w:val="bottom"/>
            <w:shd w:val="clear" w:color="auto" w:fill="EEECE1"/>
          </w:tcPr>
          <w:p>
            <w:pPr>
              <w:spacing w:after="0"/>
              <w:rPr>
                <w:sz w:val="14"/>
                <w:szCs w:val="14"/>
                <w:color w:val="auto"/>
              </w:rPr>
            </w:pPr>
          </w:p>
        </w:tc>
        <w:tc>
          <w:tcPr>
            <w:tcW w:w="920" w:type="dxa"/>
            <w:vAlign w:val="bottom"/>
            <w:shd w:val="clear" w:color="auto" w:fill="EEECE1"/>
          </w:tcPr>
          <w:p>
            <w:pPr>
              <w:spacing w:after="0"/>
              <w:rPr>
                <w:sz w:val="14"/>
                <w:szCs w:val="14"/>
                <w:color w:val="auto"/>
              </w:rPr>
            </w:pPr>
          </w:p>
        </w:tc>
        <w:tc>
          <w:tcPr>
            <w:tcW w:w="2980" w:type="dxa"/>
            <w:vAlign w:val="bottom"/>
            <w:shd w:val="clear" w:color="auto" w:fill="EEECE1"/>
          </w:tcPr>
          <w:p>
            <w:pPr>
              <w:spacing w:after="0"/>
              <w:rPr>
                <w:sz w:val="14"/>
                <w:szCs w:val="14"/>
                <w:color w:val="auto"/>
              </w:rPr>
            </w:pPr>
          </w:p>
        </w:tc>
        <w:tc>
          <w:tcPr>
            <w:tcW w:w="3340" w:type="dxa"/>
            <w:vAlign w:val="bottom"/>
            <w:shd w:val="clear" w:color="auto" w:fill="EEECE1"/>
          </w:tcPr>
          <w:p>
            <w:pPr>
              <w:spacing w:after="0"/>
              <w:rPr>
                <w:sz w:val="14"/>
                <w:szCs w:val="14"/>
                <w:color w:val="auto"/>
              </w:rPr>
            </w:pP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shd w:val="clear" w:color="auto" w:fill="EEECE1"/>
          </w:tcPr>
          <w:p>
            <w:pPr>
              <w:spacing w:after="0"/>
              <w:rPr>
                <w:sz w:val="12"/>
                <w:szCs w:val="12"/>
                <w:color w:val="auto"/>
              </w:rPr>
            </w:pPr>
          </w:p>
        </w:tc>
        <w:tc>
          <w:tcPr>
            <w:tcW w:w="1460" w:type="dxa"/>
            <w:vAlign w:val="bottom"/>
            <w:shd w:val="clear" w:color="auto" w:fill="EEECE1"/>
          </w:tcPr>
          <w:p>
            <w:pPr>
              <w:spacing w:after="0"/>
              <w:rPr>
                <w:sz w:val="12"/>
                <w:szCs w:val="12"/>
                <w:color w:val="auto"/>
              </w:rPr>
            </w:pPr>
          </w:p>
        </w:tc>
        <w:tc>
          <w:tcPr>
            <w:tcW w:w="860" w:type="dxa"/>
            <w:vAlign w:val="bottom"/>
            <w:shd w:val="clear" w:color="auto" w:fill="EEECE1"/>
          </w:tcPr>
          <w:p>
            <w:pPr>
              <w:spacing w:after="0"/>
              <w:rPr>
                <w:sz w:val="12"/>
                <w:szCs w:val="12"/>
                <w:color w:val="auto"/>
              </w:rPr>
            </w:pPr>
          </w:p>
        </w:tc>
        <w:tc>
          <w:tcPr>
            <w:tcW w:w="920" w:type="dxa"/>
            <w:vAlign w:val="bottom"/>
            <w:shd w:val="clear" w:color="auto" w:fill="EEECE1"/>
          </w:tcPr>
          <w:p>
            <w:pPr>
              <w:spacing w:after="0"/>
              <w:rPr>
                <w:sz w:val="12"/>
                <w:szCs w:val="12"/>
                <w:color w:val="auto"/>
              </w:rPr>
            </w:pPr>
          </w:p>
        </w:tc>
        <w:tc>
          <w:tcPr>
            <w:tcW w:w="2980" w:type="dxa"/>
            <w:vAlign w:val="bottom"/>
            <w:shd w:val="clear" w:color="auto" w:fill="EEECE1"/>
          </w:tcPr>
          <w:p>
            <w:pPr>
              <w:spacing w:after="0"/>
              <w:rPr>
                <w:sz w:val="12"/>
                <w:szCs w:val="12"/>
                <w:color w:val="auto"/>
              </w:rPr>
            </w:pPr>
          </w:p>
        </w:tc>
        <w:tc>
          <w:tcPr>
            <w:tcW w:w="3340" w:type="dxa"/>
            <w:vAlign w:val="bottom"/>
            <w:shd w:val="clear" w:color="auto" w:fill="EEECE1"/>
          </w:tcPr>
          <w:p>
            <w:pPr>
              <w:spacing w:after="0"/>
              <w:rPr>
                <w:sz w:val="12"/>
                <w:szCs w:val="12"/>
                <w:color w:val="auto"/>
              </w:rPr>
            </w:pPr>
          </w:p>
        </w:tc>
        <w:tc>
          <w:tcPr>
            <w:tcW w:w="126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GBP</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CA, Canada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w w:val="96"/>
              </w:rPr>
              <w:t>US, United States of America</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AT, Austria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BE, Belgium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DE, Germany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DK, Denmark</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ES, Spain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FI, Finland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FR, France</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IM, Isle of Man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IT, Italy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JE, Jersey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NL, Netherlands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NO, Norway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PT, Portugal</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SE, Sweden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UK, United Kingdom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CEEMEA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AU, Australia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JP, Japan</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HUF</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NOK</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CA, Canada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AT, Austria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BE, Belgium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DE, Germany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DK, Denmark</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ES, Spain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FI, Finland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FR, France</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NL, Netherlands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NO, Norway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PT, Portugal</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SE, Sweden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UK, United Kingdom</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NZD</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CA, Canada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DE, Germany</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FI, Finland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NL, Netherlands</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NO, Norway</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NZ, New Zealand</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SE, Sweden</w:t>
            </w:r>
          </w:p>
        </w:tc>
        <w:tc>
          <w:tcPr>
            <w:tcW w:w="126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Asia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AU, Australia</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4"/>
                <w:szCs w:val="14"/>
                <w:color w:val="auto"/>
              </w:rPr>
              <w:t>RUB</w:t>
            </w:r>
          </w:p>
        </w:tc>
        <w:tc>
          <w:tcPr>
            <w:tcW w:w="2980" w:type="dxa"/>
            <w:vAlign w:val="bottom"/>
            <w:vMerge w:val="restart"/>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DE, Germany</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00" w:name="page301"/>
    <w:bookmarkEnd w:id="3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620" w:type="dxa"/>
            <w:vAlign w:val="bottom"/>
            <w:shd w:val="clear" w:color="auto" w:fill="EEECE1"/>
          </w:tcPr>
          <w:p>
            <w:pPr>
              <w:jc w:val="right"/>
              <w:ind w:right="1168"/>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3</w:t>
            </w:r>
          </w:p>
        </w:tc>
        <w:tc>
          <w:tcPr>
            <w:tcW w:w="9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880" w:type="dxa"/>
            <w:vAlign w:val="bottom"/>
            <w:shd w:val="clear" w:color="auto" w:fill="EEECE1"/>
          </w:tcPr>
          <w:p>
            <w:pPr>
              <w:ind w:left="640"/>
              <w:spacing w:after="0"/>
              <w:rPr>
                <w:sz w:val="20"/>
                <w:szCs w:val="20"/>
                <w:color w:val="auto"/>
              </w:rPr>
            </w:pPr>
            <w:r>
              <w:rPr>
                <w:rFonts w:ascii="Arial" w:cs="Arial" w:eastAsia="Arial" w:hAnsi="Arial"/>
                <w:sz w:val="14"/>
                <w:szCs w:val="14"/>
                <w:b w:val="1"/>
                <w:bCs w:val="1"/>
                <w:color w:val="auto"/>
              </w:rPr>
              <w:t>5</w:t>
            </w:r>
          </w:p>
        </w:tc>
        <w:tc>
          <w:tcPr>
            <w:tcW w:w="2960" w:type="dxa"/>
            <w:vAlign w:val="bottom"/>
            <w:shd w:val="clear" w:color="auto" w:fill="EEECE1"/>
          </w:tcPr>
          <w:p>
            <w:pPr>
              <w:ind w:left="1820"/>
              <w:spacing w:after="0"/>
              <w:rPr>
                <w:sz w:val="20"/>
                <w:szCs w:val="20"/>
                <w:color w:val="auto"/>
              </w:rPr>
            </w:pPr>
            <w:r>
              <w:rPr>
                <w:rFonts w:ascii="Arial" w:cs="Arial" w:eastAsia="Arial" w:hAnsi="Arial"/>
                <w:sz w:val="14"/>
                <w:szCs w:val="14"/>
                <w:color w:val="auto"/>
              </w:rPr>
              <w:t>6</w:t>
            </w:r>
          </w:p>
        </w:tc>
        <w:tc>
          <w:tcPr>
            <w:tcW w:w="14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900" w:type="dxa"/>
            <w:vAlign w:val="bottom"/>
            <w:shd w:val="clear" w:color="auto" w:fill="EEECE1"/>
          </w:tcPr>
          <w:p>
            <w:pPr>
              <w:spacing w:after="0"/>
              <w:rPr>
                <w:sz w:val="14"/>
                <w:szCs w:val="14"/>
                <w:color w:val="auto"/>
              </w:rPr>
            </w:pPr>
          </w:p>
        </w:tc>
        <w:tc>
          <w:tcPr>
            <w:tcW w:w="980" w:type="dxa"/>
            <w:vAlign w:val="bottom"/>
            <w:shd w:val="clear" w:color="auto" w:fill="EEECE1"/>
          </w:tcPr>
          <w:p>
            <w:pPr>
              <w:spacing w:after="0"/>
              <w:rPr>
                <w:sz w:val="14"/>
                <w:szCs w:val="14"/>
                <w:color w:val="auto"/>
              </w:rPr>
            </w:pPr>
          </w:p>
        </w:tc>
        <w:tc>
          <w:tcPr>
            <w:tcW w:w="2880" w:type="dxa"/>
            <w:vAlign w:val="bottom"/>
            <w:shd w:val="clear" w:color="auto" w:fill="EEECE1"/>
          </w:tcPr>
          <w:p>
            <w:pPr>
              <w:spacing w:after="0"/>
              <w:rPr>
                <w:sz w:val="14"/>
                <w:szCs w:val="14"/>
                <w:color w:val="auto"/>
              </w:rPr>
            </w:pPr>
          </w:p>
        </w:tc>
        <w:tc>
          <w:tcPr>
            <w:tcW w:w="296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shd w:val="clear" w:color="auto" w:fill="EEECE1"/>
          </w:tcPr>
          <w:p>
            <w:pPr>
              <w:spacing w:after="0"/>
              <w:rPr>
                <w:sz w:val="12"/>
                <w:szCs w:val="12"/>
                <w:color w:val="auto"/>
              </w:rPr>
            </w:pPr>
          </w:p>
        </w:tc>
        <w:tc>
          <w:tcPr>
            <w:tcW w:w="1620" w:type="dxa"/>
            <w:vAlign w:val="bottom"/>
            <w:shd w:val="clear" w:color="auto" w:fill="EEECE1"/>
          </w:tcPr>
          <w:p>
            <w:pPr>
              <w:spacing w:after="0"/>
              <w:rPr>
                <w:sz w:val="12"/>
                <w:szCs w:val="12"/>
                <w:color w:val="auto"/>
              </w:rPr>
            </w:pPr>
          </w:p>
        </w:tc>
        <w:tc>
          <w:tcPr>
            <w:tcW w:w="900" w:type="dxa"/>
            <w:vAlign w:val="bottom"/>
            <w:shd w:val="clear" w:color="auto" w:fill="EEECE1"/>
          </w:tcPr>
          <w:p>
            <w:pPr>
              <w:spacing w:after="0"/>
              <w:rPr>
                <w:sz w:val="12"/>
                <w:szCs w:val="12"/>
                <w:color w:val="auto"/>
              </w:rPr>
            </w:pPr>
          </w:p>
        </w:tc>
        <w:tc>
          <w:tcPr>
            <w:tcW w:w="980" w:type="dxa"/>
            <w:vAlign w:val="bottom"/>
            <w:shd w:val="clear" w:color="auto" w:fill="EEECE1"/>
          </w:tcPr>
          <w:p>
            <w:pPr>
              <w:spacing w:after="0"/>
              <w:rPr>
                <w:sz w:val="12"/>
                <w:szCs w:val="12"/>
                <w:color w:val="auto"/>
              </w:rPr>
            </w:pPr>
          </w:p>
        </w:tc>
        <w:tc>
          <w:tcPr>
            <w:tcW w:w="2880" w:type="dxa"/>
            <w:vAlign w:val="bottom"/>
            <w:shd w:val="clear" w:color="auto" w:fill="EEECE1"/>
          </w:tcPr>
          <w:p>
            <w:pPr>
              <w:spacing w:after="0"/>
              <w:rPr>
                <w:sz w:val="12"/>
                <w:szCs w:val="12"/>
                <w:color w:val="auto"/>
              </w:rPr>
            </w:pPr>
          </w:p>
        </w:tc>
        <w:tc>
          <w:tcPr>
            <w:tcW w:w="2960" w:type="dxa"/>
            <w:vAlign w:val="bottom"/>
            <w:shd w:val="clear" w:color="auto" w:fill="EEECE1"/>
          </w:tcPr>
          <w:p>
            <w:pPr>
              <w:spacing w:after="0"/>
              <w:rPr>
                <w:sz w:val="12"/>
                <w:szCs w:val="12"/>
                <w:color w:val="auto"/>
              </w:rPr>
            </w:pPr>
          </w:p>
        </w:tc>
        <w:tc>
          <w:tcPr>
            <w:tcW w:w="14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Arial" w:cs="Arial" w:eastAsia="Arial" w:hAnsi="Arial"/>
                <w:sz w:val="14"/>
                <w:szCs w:val="14"/>
                <w:color w:val="auto"/>
              </w:rPr>
              <w:t>SEK</w:t>
            </w:r>
          </w:p>
        </w:tc>
        <w:tc>
          <w:tcPr>
            <w:tcW w:w="2880" w:type="dxa"/>
            <w:vAlign w:val="bottom"/>
            <w:vMerge w:val="restart"/>
          </w:tcPr>
          <w:p>
            <w:pPr>
              <w:ind w:left="640"/>
              <w:spacing w:after="0"/>
              <w:rPr>
                <w:sz w:val="20"/>
                <w:szCs w:val="20"/>
                <w:color w:val="auto"/>
              </w:rPr>
            </w:pPr>
            <w:r>
              <w:rPr>
                <w:rFonts w:ascii="Arial" w:cs="Arial" w:eastAsia="Arial" w:hAnsi="Arial"/>
                <w:sz w:val="14"/>
                <w:szCs w:val="14"/>
                <w:color w:val="auto"/>
              </w:rPr>
              <w:t>Europe</w:t>
            </w:r>
          </w:p>
        </w:tc>
        <w:tc>
          <w:tcPr>
            <w:tcW w:w="2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2960" w:type="dxa"/>
            <w:vAlign w:val="bottom"/>
            <w:vMerge w:val="restart"/>
          </w:tcPr>
          <w:p>
            <w:pPr>
              <w:ind w:left="1820"/>
              <w:spacing w:after="0"/>
              <w:rPr>
                <w:sz w:val="20"/>
                <w:szCs w:val="20"/>
                <w:color w:val="auto"/>
              </w:rPr>
            </w:pPr>
            <w:r>
              <w:rPr>
                <w:rFonts w:ascii="Arial" w:cs="Arial" w:eastAsia="Arial" w:hAnsi="Arial"/>
                <w:sz w:val="14"/>
                <w:szCs w:val="14"/>
                <w:color w:val="auto"/>
              </w:rPr>
              <w:t>DE, Germany</w:t>
            </w:r>
          </w:p>
        </w:tc>
        <w:tc>
          <w:tcPr>
            <w:tcW w:w="1480" w:type="dxa"/>
            <w:vAlign w:val="bottom"/>
            <w:vMerge w:val="restart"/>
          </w:tcPr>
          <w:p>
            <w:pPr>
              <w:ind w:left="1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DK, Denmark</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FI, Finland</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NL, Netherlands</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SE, Sweden</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960" w:type="dxa"/>
            <w:vAlign w:val="bottom"/>
          </w:tcPr>
          <w:p>
            <w:pPr>
              <w:ind w:left="1820"/>
              <w:spacing w:after="0"/>
              <w:rPr>
                <w:sz w:val="20"/>
                <w:szCs w:val="20"/>
                <w:color w:val="auto"/>
              </w:rPr>
            </w:pPr>
            <w:r>
              <w:rPr>
                <w:rFonts w:ascii="Arial" w:cs="Arial" w:eastAsia="Arial" w:hAnsi="Arial"/>
                <w:sz w:val="14"/>
                <w:szCs w:val="14"/>
                <w:color w:val="auto"/>
              </w:rPr>
              <w:t>XS, Eurobond</w:t>
            </w:r>
          </w:p>
        </w:tc>
        <w:tc>
          <w:tcPr>
            <w:tcW w:w="1480" w:type="dxa"/>
            <w:vAlign w:val="bottom"/>
          </w:tcPr>
          <w:p>
            <w:pPr>
              <w:ind w:left="1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4"/>
                <w:szCs w:val="14"/>
                <w:color w:val="auto"/>
              </w:rPr>
              <w:t>TRY</w:t>
            </w:r>
          </w:p>
        </w:tc>
        <w:tc>
          <w:tcPr>
            <w:tcW w:w="2880" w:type="dxa"/>
            <w:vAlign w:val="bottom"/>
            <w:vMerge w:val="restart"/>
          </w:tcPr>
          <w:p>
            <w:pPr>
              <w:ind w:left="640"/>
              <w:spacing w:after="0"/>
              <w:rPr>
                <w:sz w:val="20"/>
                <w:szCs w:val="20"/>
                <w:color w:val="auto"/>
              </w:rPr>
            </w:pPr>
            <w:r>
              <w:rPr>
                <w:rFonts w:ascii="Arial" w:cs="Arial" w:eastAsia="Arial" w:hAnsi="Arial"/>
                <w:sz w:val="14"/>
                <w:szCs w:val="14"/>
                <w:color w:val="auto"/>
              </w:rPr>
              <w:t>Europe</w:t>
            </w: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2960" w:type="dxa"/>
            <w:vAlign w:val="bottom"/>
            <w:vMerge w:val="restart"/>
          </w:tcPr>
          <w:p>
            <w:pPr>
              <w:ind w:left="1820"/>
              <w:spacing w:after="0"/>
              <w:rPr>
                <w:sz w:val="20"/>
                <w:szCs w:val="20"/>
                <w:color w:val="auto"/>
              </w:rPr>
            </w:pPr>
            <w:r>
              <w:rPr>
                <w:rFonts w:ascii="Arial" w:cs="Arial" w:eastAsia="Arial" w:hAnsi="Arial"/>
                <w:sz w:val="14"/>
                <w:szCs w:val="14"/>
                <w:color w:val="auto"/>
              </w:rPr>
              <w:t>DE, Germany</w:t>
            </w:r>
          </w:p>
        </w:tc>
        <w:tc>
          <w:tcPr>
            <w:tcW w:w="1480" w:type="dxa"/>
            <w:vAlign w:val="bottom"/>
            <w:vMerge w:val="restart"/>
          </w:tcPr>
          <w:p>
            <w:pPr>
              <w:ind w:left="1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FI, Finland</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NL, Netherlands</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NO, Norway</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SE, Sweden</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960" w:type="dxa"/>
            <w:vAlign w:val="bottom"/>
          </w:tcPr>
          <w:p>
            <w:pPr>
              <w:ind w:left="1820"/>
              <w:spacing w:after="0"/>
              <w:rPr>
                <w:sz w:val="20"/>
                <w:szCs w:val="20"/>
                <w:color w:val="auto"/>
              </w:rPr>
            </w:pPr>
            <w:r>
              <w:rPr>
                <w:rFonts w:ascii="Arial" w:cs="Arial" w:eastAsia="Arial" w:hAnsi="Arial"/>
                <w:sz w:val="14"/>
                <w:szCs w:val="14"/>
                <w:color w:val="auto"/>
              </w:rPr>
              <w:t>XS, Eurobond</w:t>
            </w:r>
          </w:p>
        </w:tc>
        <w:tc>
          <w:tcPr>
            <w:tcW w:w="1480" w:type="dxa"/>
            <w:vAlign w:val="bottom"/>
          </w:tcPr>
          <w:p>
            <w:pPr>
              <w:ind w:left="1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4"/>
                <w:szCs w:val="14"/>
                <w:color w:val="auto"/>
              </w:rPr>
              <w:t>ZAR</w:t>
            </w:r>
          </w:p>
        </w:tc>
        <w:tc>
          <w:tcPr>
            <w:tcW w:w="2880" w:type="dxa"/>
            <w:vAlign w:val="bottom"/>
            <w:vMerge w:val="restart"/>
          </w:tcPr>
          <w:p>
            <w:pPr>
              <w:ind w:left="640"/>
              <w:spacing w:after="0"/>
              <w:rPr>
                <w:sz w:val="20"/>
                <w:szCs w:val="20"/>
                <w:color w:val="auto"/>
              </w:rPr>
            </w:pPr>
            <w:r>
              <w:rPr>
                <w:rFonts w:ascii="Arial" w:cs="Arial" w:eastAsia="Arial" w:hAnsi="Arial"/>
                <w:sz w:val="14"/>
                <w:szCs w:val="14"/>
                <w:color w:val="auto"/>
              </w:rPr>
              <w:t>Europe</w:t>
            </w: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2960" w:type="dxa"/>
            <w:vAlign w:val="bottom"/>
            <w:vMerge w:val="restart"/>
          </w:tcPr>
          <w:p>
            <w:pPr>
              <w:ind w:left="1820"/>
              <w:spacing w:after="0"/>
              <w:rPr>
                <w:sz w:val="20"/>
                <w:szCs w:val="20"/>
                <w:color w:val="auto"/>
              </w:rPr>
            </w:pPr>
            <w:r>
              <w:rPr>
                <w:rFonts w:ascii="Arial" w:cs="Arial" w:eastAsia="Arial" w:hAnsi="Arial"/>
                <w:sz w:val="14"/>
                <w:szCs w:val="14"/>
                <w:color w:val="auto"/>
              </w:rPr>
              <w:t>DE, Germany</w:t>
            </w:r>
          </w:p>
        </w:tc>
        <w:tc>
          <w:tcPr>
            <w:tcW w:w="1480" w:type="dxa"/>
            <w:vAlign w:val="bottom"/>
            <w:vMerge w:val="restart"/>
          </w:tcPr>
          <w:p>
            <w:pPr>
              <w:ind w:left="1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FI, Finland</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NL, Netherlands</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NO, Norway</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ind w:left="1820"/>
              <w:spacing w:after="0" w:line="149" w:lineRule="exact"/>
              <w:rPr>
                <w:sz w:val="20"/>
                <w:szCs w:val="20"/>
                <w:color w:val="auto"/>
              </w:rPr>
            </w:pPr>
            <w:r>
              <w:rPr>
                <w:rFonts w:ascii="Arial" w:cs="Arial" w:eastAsia="Arial" w:hAnsi="Arial"/>
                <w:sz w:val="14"/>
                <w:szCs w:val="14"/>
                <w:color w:val="auto"/>
              </w:rPr>
              <w:t>SE, Sweden</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960" w:type="dxa"/>
            <w:vAlign w:val="bottom"/>
          </w:tcPr>
          <w:p>
            <w:pPr>
              <w:ind w:left="1820"/>
              <w:spacing w:after="0"/>
              <w:rPr>
                <w:sz w:val="20"/>
                <w:szCs w:val="20"/>
                <w:color w:val="auto"/>
              </w:rPr>
            </w:pPr>
            <w:r>
              <w:rPr>
                <w:rFonts w:ascii="Arial" w:cs="Arial" w:eastAsia="Arial" w:hAnsi="Arial"/>
                <w:sz w:val="14"/>
                <w:szCs w:val="14"/>
                <w:color w:val="auto"/>
              </w:rPr>
              <w:t>XS, Eurobond</w:t>
            </w:r>
          </w:p>
        </w:tc>
        <w:tc>
          <w:tcPr>
            <w:tcW w:w="1480" w:type="dxa"/>
            <w:vAlign w:val="bottom"/>
          </w:tcPr>
          <w:p>
            <w:pPr>
              <w:ind w:left="1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01" w:name="page302"/>
    <w:bookmarkEnd w:id="3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460" w:type="dxa"/>
            <w:vAlign w:val="bottom"/>
            <w:shd w:val="clear" w:color="auto" w:fill="EEECE1"/>
          </w:tcPr>
          <w:p>
            <w:pPr>
              <w:jc w:val="right"/>
              <w:ind w:right="1028"/>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0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660" w:type="dxa"/>
            <w:vAlign w:val="bottom"/>
            <w:shd w:val="clear" w:color="auto" w:fill="EEECE1"/>
          </w:tcPr>
          <w:p>
            <w:pPr>
              <w:ind w:left="460"/>
              <w:spacing w:after="0"/>
              <w:rPr>
                <w:sz w:val="20"/>
                <w:szCs w:val="20"/>
                <w:color w:val="auto"/>
              </w:rPr>
            </w:pPr>
            <w:r>
              <w:rPr>
                <w:rFonts w:ascii="Arial" w:cs="Arial" w:eastAsia="Arial" w:hAnsi="Arial"/>
                <w:sz w:val="14"/>
                <w:szCs w:val="14"/>
                <w:b w:val="1"/>
                <w:bCs w:val="1"/>
                <w:color w:val="auto"/>
              </w:rPr>
              <w:t>5</w:t>
            </w:r>
          </w:p>
        </w:tc>
        <w:tc>
          <w:tcPr>
            <w:tcW w:w="3540" w:type="dxa"/>
            <w:vAlign w:val="bottom"/>
            <w:shd w:val="clear" w:color="auto" w:fill="EEECE1"/>
          </w:tcPr>
          <w:p>
            <w:pPr>
              <w:ind w:left="1300"/>
              <w:spacing w:after="0"/>
              <w:rPr>
                <w:sz w:val="20"/>
                <w:szCs w:val="20"/>
                <w:color w:val="auto"/>
              </w:rPr>
            </w:pPr>
            <w:r>
              <w:rPr>
                <w:rFonts w:ascii="Arial" w:cs="Arial" w:eastAsia="Arial" w:hAnsi="Arial"/>
                <w:sz w:val="14"/>
                <w:szCs w:val="14"/>
                <w:color w:val="auto"/>
              </w:rPr>
              <w:t>6</w:t>
            </w: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900" w:type="dxa"/>
            <w:vAlign w:val="bottom"/>
            <w:shd w:val="clear" w:color="auto" w:fill="EEECE1"/>
          </w:tcPr>
          <w:p>
            <w:pPr>
              <w:spacing w:after="0"/>
              <w:rPr>
                <w:sz w:val="14"/>
                <w:szCs w:val="14"/>
                <w:color w:val="auto"/>
              </w:rPr>
            </w:pPr>
          </w:p>
        </w:tc>
        <w:tc>
          <w:tcPr>
            <w:tcW w:w="1000" w:type="dxa"/>
            <w:vAlign w:val="bottom"/>
            <w:shd w:val="clear" w:color="auto" w:fill="EEECE1"/>
          </w:tcPr>
          <w:p>
            <w:pPr>
              <w:spacing w:after="0"/>
              <w:rPr>
                <w:sz w:val="14"/>
                <w:szCs w:val="14"/>
                <w:color w:val="auto"/>
              </w:rPr>
            </w:pPr>
          </w:p>
        </w:tc>
        <w:tc>
          <w:tcPr>
            <w:tcW w:w="2660" w:type="dxa"/>
            <w:vAlign w:val="bottom"/>
            <w:shd w:val="clear" w:color="auto" w:fill="EEECE1"/>
          </w:tcPr>
          <w:p>
            <w:pPr>
              <w:spacing w:after="0"/>
              <w:rPr>
                <w:sz w:val="14"/>
                <w:szCs w:val="14"/>
                <w:color w:val="auto"/>
              </w:rPr>
            </w:pPr>
          </w:p>
        </w:tc>
        <w:tc>
          <w:tcPr>
            <w:tcW w:w="3540" w:type="dxa"/>
            <w:vAlign w:val="bottom"/>
            <w:shd w:val="clear" w:color="auto" w:fill="EEECE1"/>
          </w:tcPr>
          <w:p>
            <w:pPr>
              <w:spacing w:after="0"/>
              <w:rPr>
                <w:sz w:val="14"/>
                <w:szCs w:val="14"/>
                <w:color w:val="auto"/>
              </w:rPr>
            </w:pPr>
          </w:p>
        </w:tc>
        <w:tc>
          <w:tcPr>
            <w:tcW w:w="12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shd w:val="clear" w:color="auto" w:fill="EEECE1"/>
          </w:tcPr>
          <w:p>
            <w:pPr>
              <w:spacing w:after="0"/>
              <w:rPr>
                <w:sz w:val="12"/>
                <w:szCs w:val="12"/>
                <w:color w:val="auto"/>
              </w:rPr>
            </w:pPr>
          </w:p>
        </w:tc>
        <w:tc>
          <w:tcPr>
            <w:tcW w:w="1460" w:type="dxa"/>
            <w:vAlign w:val="bottom"/>
            <w:shd w:val="clear" w:color="auto" w:fill="EEECE1"/>
          </w:tcPr>
          <w:p>
            <w:pPr>
              <w:spacing w:after="0"/>
              <w:rPr>
                <w:sz w:val="12"/>
                <w:szCs w:val="12"/>
                <w:color w:val="auto"/>
              </w:rPr>
            </w:pPr>
          </w:p>
        </w:tc>
        <w:tc>
          <w:tcPr>
            <w:tcW w:w="900" w:type="dxa"/>
            <w:vAlign w:val="bottom"/>
            <w:shd w:val="clear" w:color="auto" w:fill="EEECE1"/>
          </w:tcPr>
          <w:p>
            <w:pPr>
              <w:spacing w:after="0"/>
              <w:rPr>
                <w:sz w:val="12"/>
                <w:szCs w:val="12"/>
                <w:color w:val="auto"/>
              </w:rPr>
            </w:pPr>
          </w:p>
        </w:tc>
        <w:tc>
          <w:tcPr>
            <w:tcW w:w="1000" w:type="dxa"/>
            <w:vAlign w:val="bottom"/>
            <w:shd w:val="clear" w:color="auto" w:fill="EEECE1"/>
          </w:tcPr>
          <w:p>
            <w:pPr>
              <w:spacing w:after="0"/>
              <w:rPr>
                <w:sz w:val="12"/>
                <w:szCs w:val="12"/>
                <w:color w:val="auto"/>
              </w:rPr>
            </w:pPr>
          </w:p>
        </w:tc>
        <w:tc>
          <w:tcPr>
            <w:tcW w:w="2660" w:type="dxa"/>
            <w:vAlign w:val="bottom"/>
            <w:shd w:val="clear" w:color="auto" w:fill="EEECE1"/>
          </w:tcPr>
          <w:p>
            <w:pPr>
              <w:spacing w:after="0"/>
              <w:rPr>
                <w:sz w:val="12"/>
                <w:szCs w:val="12"/>
                <w:color w:val="auto"/>
              </w:rPr>
            </w:pPr>
          </w:p>
        </w:tc>
        <w:tc>
          <w:tcPr>
            <w:tcW w:w="3540" w:type="dxa"/>
            <w:vAlign w:val="bottom"/>
            <w:shd w:val="clear" w:color="auto" w:fill="EEECE1"/>
          </w:tcPr>
          <w:p>
            <w:pPr>
              <w:spacing w:after="0"/>
              <w:rPr>
                <w:sz w:val="12"/>
                <w:szCs w:val="12"/>
                <w:color w:val="auto"/>
              </w:rPr>
            </w:pPr>
          </w:p>
        </w:tc>
        <w:tc>
          <w:tcPr>
            <w:tcW w:w="126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8"/>
              </w:rPr>
              <w:t>US Agencies</w:t>
            </w:r>
          </w:p>
        </w:tc>
        <w:tc>
          <w:tcPr>
            <w:tcW w:w="1000" w:type="dxa"/>
            <w:vAlign w:val="bottom"/>
            <w:shd w:val="clear" w:color="auto" w:fill="1F497D"/>
          </w:tcPr>
          <w:p>
            <w:pPr>
              <w:spacing w:after="0"/>
              <w:rPr>
                <w:sz w:val="12"/>
                <w:szCs w:val="12"/>
                <w:color w:val="auto"/>
              </w:rPr>
            </w:pPr>
          </w:p>
        </w:tc>
        <w:tc>
          <w:tcPr>
            <w:tcW w:w="2660" w:type="dxa"/>
            <w:vAlign w:val="bottom"/>
            <w:shd w:val="clear" w:color="auto" w:fill="1F497D"/>
          </w:tcPr>
          <w:p>
            <w:pPr>
              <w:spacing w:after="0"/>
              <w:rPr>
                <w:sz w:val="12"/>
                <w:szCs w:val="12"/>
                <w:color w:val="auto"/>
              </w:rPr>
            </w:pPr>
          </w:p>
        </w:tc>
        <w:tc>
          <w:tcPr>
            <w:tcW w:w="3540" w:type="dxa"/>
            <w:vAlign w:val="bottom"/>
            <w:shd w:val="clear" w:color="auto" w:fill="1F497D"/>
          </w:tcPr>
          <w:p>
            <w:pPr>
              <w:spacing w:after="0"/>
              <w:rPr>
                <w:sz w:val="12"/>
                <w:szCs w:val="12"/>
                <w:color w:val="auto"/>
              </w:rPr>
            </w:pPr>
          </w:p>
        </w:tc>
        <w:tc>
          <w:tcPr>
            <w:tcW w:w="12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Arial" w:cs="Arial" w:eastAsia="Arial" w:hAnsi="Arial"/>
                <w:sz w:val="14"/>
                <w:szCs w:val="14"/>
                <w:color w:val="auto"/>
              </w:rPr>
              <w:t>FNMA</w:t>
            </w: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Notes/Bonds</w:t>
            </w:r>
          </w:p>
        </w:tc>
        <w:tc>
          <w:tcPr>
            <w:tcW w:w="3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REGFNMA, On The Run</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Short Maturity</w:t>
            </w:r>
          </w:p>
        </w:tc>
        <w:tc>
          <w:tcPr>
            <w:tcW w:w="3540" w:type="dxa"/>
            <w:vAlign w:val="bottom"/>
          </w:tcPr>
          <w:p>
            <w:pPr>
              <w:ind w:left="1300"/>
              <w:spacing w:after="0"/>
              <w:rPr>
                <w:sz w:val="20"/>
                <w:szCs w:val="20"/>
                <w:color w:val="auto"/>
              </w:rPr>
            </w:pPr>
            <w:r>
              <w:rPr>
                <w:rFonts w:ascii="Arial" w:cs="Arial" w:eastAsia="Arial" w:hAnsi="Arial"/>
                <w:sz w:val="14"/>
                <w:szCs w:val="14"/>
                <w:color w:val="auto"/>
              </w:rPr>
              <w:t>REGFNMA, Off The Run</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REGFNMA, Short Maturity</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Callable</w:t>
            </w: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REGFNMACALL, Callable 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Discount Notes</w:t>
            </w:r>
          </w:p>
        </w:tc>
        <w:tc>
          <w:tcPr>
            <w:tcW w:w="35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4"/>
                <w:szCs w:val="14"/>
                <w:color w:val="auto"/>
              </w:rPr>
              <w:t>FHLMC</w:t>
            </w: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Notes/Bonds</w:t>
            </w:r>
          </w:p>
        </w:tc>
        <w:tc>
          <w:tcPr>
            <w:tcW w:w="3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REGFHLMC, On The Run</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Short Maturity</w:t>
            </w:r>
          </w:p>
        </w:tc>
        <w:tc>
          <w:tcPr>
            <w:tcW w:w="3540" w:type="dxa"/>
            <w:vAlign w:val="bottom"/>
          </w:tcPr>
          <w:p>
            <w:pPr>
              <w:ind w:left="1300"/>
              <w:spacing w:after="0"/>
              <w:rPr>
                <w:sz w:val="20"/>
                <w:szCs w:val="20"/>
                <w:color w:val="auto"/>
              </w:rPr>
            </w:pPr>
            <w:r>
              <w:rPr>
                <w:rFonts w:ascii="Arial" w:cs="Arial" w:eastAsia="Arial" w:hAnsi="Arial"/>
                <w:sz w:val="14"/>
                <w:szCs w:val="14"/>
                <w:color w:val="auto"/>
              </w:rPr>
              <w:t>REGFHLMC, Off The Run</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REGFHLMC, Short Maturity</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Callable Bonds</w:t>
            </w: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REGFHLMCCALL, Callable 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Discount Notes</w:t>
            </w:r>
          </w:p>
        </w:tc>
        <w:tc>
          <w:tcPr>
            <w:tcW w:w="35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4"/>
                <w:szCs w:val="14"/>
                <w:color w:val="auto"/>
              </w:rPr>
              <w:t>FHLB</w:t>
            </w: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Notes/Bonds</w:t>
            </w:r>
          </w:p>
        </w:tc>
        <w:tc>
          <w:tcPr>
            <w:tcW w:w="3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REGFHLB, On The Run</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Short Maturity</w:t>
            </w:r>
          </w:p>
        </w:tc>
        <w:tc>
          <w:tcPr>
            <w:tcW w:w="3540" w:type="dxa"/>
            <w:vAlign w:val="bottom"/>
          </w:tcPr>
          <w:p>
            <w:pPr>
              <w:ind w:left="1300"/>
              <w:spacing w:after="0"/>
              <w:rPr>
                <w:sz w:val="20"/>
                <w:szCs w:val="20"/>
                <w:color w:val="auto"/>
              </w:rPr>
            </w:pPr>
            <w:r>
              <w:rPr>
                <w:rFonts w:ascii="Arial" w:cs="Arial" w:eastAsia="Arial" w:hAnsi="Arial"/>
                <w:sz w:val="14"/>
                <w:szCs w:val="14"/>
                <w:color w:val="auto"/>
              </w:rPr>
              <w:t>REGFHLB, Off The Run</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REGFHLB, Notes/Bonds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Taps</w:t>
            </w:r>
          </w:p>
        </w:tc>
        <w:tc>
          <w:tcPr>
            <w:tcW w:w="3540" w:type="dxa"/>
            <w:vAlign w:val="bottom"/>
          </w:tcPr>
          <w:p>
            <w:pPr>
              <w:ind w:left="1300"/>
              <w:spacing w:after="0"/>
              <w:rPr>
                <w:sz w:val="20"/>
                <w:szCs w:val="20"/>
                <w:color w:val="auto"/>
              </w:rPr>
            </w:pPr>
            <w:r>
              <w:rPr>
                <w:rFonts w:ascii="Arial" w:cs="Arial" w:eastAsia="Arial" w:hAnsi="Arial"/>
                <w:sz w:val="14"/>
                <w:szCs w:val="14"/>
                <w:color w:val="auto"/>
              </w:rPr>
              <w:t>REGFHLB, Taps</w:t>
            </w: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REGFHLB, Notes/Bonds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Subordinated</w:t>
            </w: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REGFHLB, Notes/Bonds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Callable</w:t>
            </w: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REGFHLBCALL, Notes/Bonds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Discount Notes</w:t>
            </w:r>
          </w:p>
        </w:tc>
        <w:tc>
          <w:tcPr>
            <w:tcW w:w="35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4"/>
                <w:szCs w:val="14"/>
                <w:color w:val="auto"/>
              </w:rPr>
              <w:t>FFCB</w:t>
            </w: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Notes/Bonds</w:t>
            </w:r>
          </w:p>
        </w:tc>
        <w:tc>
          <w:tcPr>
            <w:tcW w:w="3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REGFFCB, Off the Run</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Callable</w:t>
            </w: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REGFFCBCALL, Notes/Bonds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4"/>
                <w:szCs w:val="14"/>
                <w:color w:val="auto"/>
              </w:rPr>
              <w:t>TVA</w:t>
            </w: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Notes/Bonds</w:t>
            </w:r>
          </w:p>
        </w:tc>
        <w:tc>
          <w:tcPr>
            <w:tcW w:w="3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REGTVA, Off the Run</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Callable</w:t>
            </w: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REGTVACALL, Notes/Bonds</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4"/>
                <w:szCs w:val="14"/>
                <w:color w:val="auto"/>
              </w:rPr>
              <w:t>TLG</w:t>
            </w: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Notes/Bonds</w:t>
            </w:r>
          </w:p>
        </w:tc>
        <w:tc>
          <w:tcPr>
            <w:tcW w:w="3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w w:val="95"/>
              </w:rPr>
              <w:t>REGAGCY, Government Guaranteed</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4"/>
                <w:szCs w:val="14"/>
                <w:color w:val="auto"/>
              </w:rPr>
              <w:t>FAMC</w:t>
            </w:r>
          </w:p>
        </w:tc>
        <w:tc>
          <w:tcPr>
            <w:tcW w:w="2660" w:type="dxa"/>
            <w:vAlign w:val="bottom"/>
            <w:vMerge w:val="restart"/>
          </w:tcPr>
          <w:p>
            <w:pPr>
              <w:ind w:left="460"/>
              <w:spacing w:after="0"/>
              <w:rPr>
                <w:sz w:val="20"/>
                <w:szCs w:val="20"/>
                <w:color w:val="auto"/>
              </w:rPr>
            </w:pPr>
            <w:r>
              <w:rPr>
                <w:rFonts w:ascii="Arial" w:cs="Arial" w:eastAsia="Arial" w:hAnsi="Arial"/>
                <w:sz w:val="14"/>
                <w:szCs w:val="14"/>
                <w:color w:val="auto"/>
              </w:rPr>
              <w:t>Notes/Bonds</w:t>
            </w:r>
          </w:p>
        </w:tc>
        <w:tc>
          <w:tcPr>
            <w:tcW w:w="3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3540" w:type="dxa"/>
            <w:vAlign w:val="bottom"/>
            <w:vMerge w:val="restart"/>
          </w:tcPr>
          <w:p>
            <w:pPr>
              <w:ind w:left="1300"/>
              <w:spacing w:after="0"/>
              <w:rPr>
                <w:sz w:val="20"/>
                <w:szCs w:val="20"/>
                <w:color w:val="auto"/>
              </w:rPr>
            </w:pPr>
            <w:r>
              <w:rPr>
                <w:rFonts w:ascii="Arial" w:cs="Arial" w:eastAsia="Arial" w:hAnsi="Arial"/>
                <w:sz w:val="14"/>
                <w:szCs w:val="14"/>
                <w:color w:val="auto"/>
              </w:rPr>
              <w:t>REGFAMC, Agricultural Mtge Corp</w:t>
            </w: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02" w:name="page303"/>
    <w:bookmarkEnd w:id="3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160" w:type="dxa"/>
            <w:vAlign w:val="bottom"/>
            <w:tcBorders>
              <w:right w:val="single" w:sz="8" w:color="EEECE1"/>
            </w:tcBorders>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660" w:type="dxa"/>
            <w:vAlign w:val="bottom"/>
            <w:shd w:val="clear" w:color="auto" w:fill="EEECE1"/>
          </w:tcPr>
          <w:p>
            <w:pPr>
              <w:spacing w:after="0"/>
              <w:rPr>
                <w:sz w:val="20"/>
                <w:szCs w:val="20"/>
                <w:color w:val="auto"/>
              </w:rPr>
            </w:pPr>
            <w:r>
              <w:rPr>
                <w:rFonts w:ascii="Arial" w:cs="Arial" w:eastAsia="Arial" w:hAnsi="Arial"/>
                <w:sz w:val="14"/>
                <w:szCs w:val="14"/>
                <w:b w:val="1"/>
                <w:bCs w:val="1"/>
                <w:color w:val="auto"/>
              </w:rPr>
              <w:t>3</w:t>
            </w:r>
          </w:p>
        </w:tc>
        <w:tc>
          <w:tcPr>
            <w:tcW w:w="1580" w:type="dxa"/>
            <w:vAlign w:val="bottom"/>
            <w:shd w:val="clear" w:color="auto" w:fill="EEECE1"/>
          </w:tcPr>
          <w:p>
            <w:pPr>
              <w:ind w:left="260"/>
              <w:spacing w:after="0"/>
              <w:rPr>
                <w:sz w:val="20"/>
                <w:szCs w:val="20"/>
                <w:color w:val="auto"/>
              </w:rPr>
            </w:pPr>
            <w:r>
              <w:rPr>
                <w:rFonts w:ascii="Arial" w:cs="Arial" w:eastAsia="Arial" w:hAnsi="Arial"/>
                <w:sz w:val="14"/>
                <w:szCs w:val="14"/>
                <w:b w:val="1"/>
                <w:bCs w:val="1"/>
                <w:color w:val="auto"/>
              </w:rPr>
              <w:t>4</w:t>
            </w:r>
          </w:p>
        </w:tc>
        <w:tc>
          <w:tcPr>
            <w:tcW w:w="5220" w:type="dxa"/>
            <w:vAlign w:val="bottom"/>
            <w:shd w:val="clear" w:color="auto" w:fill="EEECE1"/>
          </w:tcPr>
          <w:p>
            <w:pPr>
              <w:ind w:left="240"/>
              <w:spacing w:after="0"/>
              <w:rPr>
                <w:sz w:val="20"/>
                <w:szCs w:val="20"/>
                <w:color w:val="auto"/>
              </w:rPr>
            </w:pPr>
            <w:r>
              <w:rPr>
                <w:rFonts w:ascii="Arial" w:cs="Arial" w:eastAsia="Arial" w:hAnsi="Arial"/>
                <w:sz w:val="14"/>
                <w:szCs w:val="14"/>
                <w:b w:val="1"/>
                <w:bCs w:val="1"/>
                <w:color w:val="auto"/>
              </w:rPr>
              <w:t>5</w:t>
            </w:r>
          </w:p>
        </w:tc>
        <w:tc>
          <w:tcPr>
            <w:tcW w:w="1700" w:type="dxa"/>
            <w:vAlign w:val="bottom"/>
            <w:shd w:val="clear" w:color="auto" w:fill="EEECE1"/>
          </w:tcPr>
          <w:p>
            <w:pPr>
              <w:ind w:left="40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8"/>
        </w:trPr>
        <w:tc>
          <w:tcPr>
            <w:tcW w:w="2080" w:type="dxa"/>
            <w:vAlign w:val="bottom"/>
            <w:tcBorders>
              <w:right w:val="single" w:sz="8" w:color="EEECE1"/>
            </w:tcBorders>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60" w:type="dxa"/>
            <w:vAlign w:val="bottom"/>
            <w:shd w:val="clear" w:color="auto" w:fill="EEECE1"/>
          </w:tcPr>
          <w:p>
            <w:pPr>
              <w:spacing w:after="0"/>
              <w:rPr>
                <w:sz w:val="12"/>
                <w:szCs w:val="12"/>
                <w:color w:val="auto"/>
              </w:rPr>
            </w:pPr>
          </w:p>
        </w:tc>
        <w:tc>
          <w:tcPr>
            <w:tcW w:w="1580" w:type="dxa"/>
            <w:vAlign w:val="bottom"/>
            <w:shd w:val="clear" w:color="auto" w:fill="EEECE1"/>
          </w:tcPr>
          <w:p>
            <w:pPr>
              <w:spacing w:after="0"/>
              <w:rPr>
                <w:sz w:val="12"/>
                <w:szCs w:val="12"/>
                <w:color w:val="auto"/>
              </w:rPr>
            </w:pPr>
          </w:p>
        </w:tc>
        <w:tc>
          <w:tcPr>
            <w:tcW w:w="5220" w:type="dxa"/>
            <w:vAlign w:val="bottom"/>
            <w:shd w:val="clear" w:color="auto" w:fill="EEECE1"/>
          </w:tcPr>
          <w:p>
            <w:pPr>
              <w:spacing w:after="0"/>
              <w:rPr>
                <w:sz w:val="12"/>
                <w:szCs w:val="12"/>
                <w:color w:val="auto"/>
              </w:rPr>
            </w:pPr>
          </w:p>
        </w:tc>
        <w:tc>
          <w:tcPr>
            <w:tcW w:w="17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EEECE1"/>
          </w:tcPr>
          <w:p>
            <w:pPr>
              <w:spacing w:after="0"/>
              <w:rPr>
                <w:sz w:val="14"/>
                <w:szCs w:val="14"/>
                <w:color w:val="auto"/>
              </w:rPr>
            </w:pPr>
          </w:p>
        </w:tc>
        <w:tc>
          <w:tcPr>
            <w:tcW w:w="1160" w:type="dxa"/>
            <w:vAlign w:val="bottom"/>
            <w:tcBorders>
              <w:right w:val="single" w:sz="8" w:color="EEECE1"/>
            </w:tcBorders>
            <w:shd w:val="clear" w:color="auto" w:fill="EEECE1"/>
          </w:tcPr>
          <w:p>
            <w:pPr>
              <w:ind w:left="40"/>
              <w:spacing w:after="0"/>
              <w:rPr>
                <w:sz w:val="20"/>
                <w:szCs w:val="20"/>
                <w:color w:val="auto"/>
              </w:rPr>
            </w:pPr>
            <w:r>
              <w:rPr>
                <w:rFonts w:ascii="Arial" w:cs="Arial" w:eastAsia="Arial" w:hAnsi="Arial"/>
                <w:sz w:val="14"/>
                <w:szCs w:val="14"/>
                <w:b w:val="1"/>
                <w:bCs w:val="1"/>
                <w:color w:val="auto"/>
                <w:w w:val="91"/>
              </w:rPr>
              <w:t>Short Term Paper</w:t>
            </w:r>
          </w:p>
        </w:tc>
        <w:tc>
          <w:tcPr>
            <w:tcW w:w="660" w:type="dxa"/>
            <w:vAlign w:val="bottom"/>
            <w:shd w:val="clear" w:color="auto" w:fill="EEECE1"/>
          </w:tcPr>
          <w:p>
            <w:pPr>
              <w:spacing w:after="0"/>
              <w:rPr>
                <w:sz w:val="14"/>
                <w:szCs w:val="14"/>
                <w:color w:val="auto"/>
              </w:rPr>
            </w:pPr>
          </w:p>
        </w:tc>
        <w:tc>
          <w:tcPr>
            <w:tcW w:w="1580" w:type="dxa"/>
            <w:vAlign w:val="bottom"/>
            <w:shd w:val="clear" w:color="auto" w:fill="EEECE1"/>
          </w:tcPr>
          <w:p>
            <w:pPr>
              <w:spacing w:after="0"/>
              <w:rPr>
                <w:sz w:val="14"/>
                <w:szCs w:val="14"/>
                <w:color w:val="auto"/>
              </w:rPr>
            </w:pPr>
          </w:p>
        </w:tc>
        <w:tc>
          <w:tcPr>
            <w:tcW w:w="5220" w:type="dxa"/>
            <w:vAlign w:val="bottom"/>
            <w:shd w:val="clear" w:color="auto" w:fill="EEECE1"/>
          </w:tcPr>
          <w:p>
            <w:pPr>
              <w:spacing w:after="0"/>
              <w:rPr>
                <w:sz w:val="14"/>
                <w:szCs w:val="14"/>
                <w:color w:val="auto"/>
              </w:rPr>
            </w:pPr>
          </w:p>
        </w:tc>
        <w:tc>
          <w:tcPr>
            <w:tcW w:w="17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Borders>
              <w:right w:val="single" w:sz="8" w:color="C00000"/>
            </w:tcBorders>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Money Markets</w:t>
            </w:r>
          </w:p>
        </w:tc>
        <w:tc>
          <w:tcPr>
            <w:tcW w:w="660" w:type="dxa"/>
            <w:vAlign w:val="bottom"/>
            <w:shd w:val="clear" w:color="auto" w:fill="C00000"/>
          </w:tcPr>
          <w:p>
            <w:pPr>
              <w:spacing w:after="0"/>
              <w:rPr>
                <w:sz w:val="12"/>
                <w:szCs w:val="12"/>
                <w:color w:val="auto"/>
              </w:rPr>
            </w:pPr>
          </w:p>
        </w:tc>
        <w:tc>
          <w:tcPr>
            <w:tcW w:w="1580" w:type="dxa"/>
            <w:vAlign w:val="bottom"/>
            <w:shd w:val="clear" w:color="auto" w:fill="C00000"/>
          </w:tcPr>
          <w:p>
            <w:pPr>
              <w:spacing w:after="0"/>
              <w:rPr>
                <w:sz w:val="12"/>
                <w:szCs w:val="12"/>
                <w:color w:val="auto"/>
              </w:rPr>
            </w:pPr>
          </w:p>
        </w:tc>
        <w:tc>
          <w:tcPr>
            <w:tcW w:w="5220" w:type="dxa"/>
            <w:vAlign w:val="bottom"/>
            <w:shd w:val="clear" w:color="auto" w:fill="C00000"/>
          </w:tcPr>
          <w:p>
            <w:pPr>
              <w:spacing w:after="0"/>
              <w:rPr>
                <w:sz w:val="12"/>
                <w:szCs w:val="12"/>
                <w:color w:val="auto"/>
              </w:rPr>
            </w:pPr>
          </w:p>
        </w:tc>
        <w:tc>
          <w:tcPr>
            <w:tcW w:w="170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60" w:type="dxa"/>
            <w:vAlign w:val="bottom"/>
            <w:tcBorders>
              <w:right w:val="single" w:sz="8" w:color="1F497D"/>
            </w:tcBorders>
          </w:tcPr>
          <w:p>
            <w:pPr>
              <w:spacing w:after="0"/>
              <w:rPr>
                <w:sz w:val="12"/>
                <w:szCs w:val="12"/>
                <w:color w:val="auto"/>
              </w:rPr>
            </w:pPr>
          </w:p>
        </w:tc>
        <w:tc>
          <w:tcPr>
            <w:tcW w:w="660" w:type="dxa"/>
            <w:vAlign w:val="bottom"/>
            <w:shd w:val="clear" w:color="auto" w:fill="1F497D"/>
          </w:tcPr>
          <w:p>
            <w:pPr>
              <w:spacing w:after="0" w:line="149" w:lineRule="exact"/>
              <w:rPr>
                <w:sz w:val="20"/>
                <w:szCs w:val="20"/>
                <w:color w:val="auto"/>
              </w:rPr>
            </w:pPr>
            <w:r>
              <w:rPr>
                <w:rFonts w:ascii="Arial" w:cs="Arial" w:eastAsia="Arial" w:hAnsi="Arial"/>
                <w:sz w:val="14"/>
                <w:szCs w:val="14"/>
                <w:b w:val="1"/>
                <w:bCs w:val="1"/>
                <w:color w:val="FFFFFF"/>
              </w:rPr>
              <w:t>DEPO</w:t>
            </w:r>
          </w:p>
        </w:tc>
        <w:tc>
          <w:tcPr>
            <w:tcW w:w="1580" w:type="dxa"/>
            <w:vAlign w:val="bottom"/>
            <w:shd w:val="clear" w:color="auto" w:fill="1F497D"/>
          </w:tcPr>
          <w:p>
            <w:pPr>
              <w:spacing w:after="0"/>
              <w:rPr>
                <w:sz w:val="12"/>
                <w:szCs w:val="12"/>
                <w:color w:val="auto"/>
              </w:rPr>
            </w:pPr>
          </w:p>
        </w:tc>
        <w:tc>
          <w:tcPr>
            <w:tcW w:w="5220" w:type="dxa"/>
            <w:vAlign w:val="bottom"/>
            <w:shd w:val="clear" w:color="auto" w:fill="1F497D"/>
          </w:tcPr>
          <w:p>
            <w:pPr>
              <w:spacing w:after="0"/>
              <w:rPr>
                <w:sz w:val="12"/>
                <w:szCs w:val="12"/>
                <w:color w:val="auto"/>
              </w:rPr>
            </w:pPr>
          </w:p>
        </w:tc>
        <w:tc>
          <w:tcPr>
            <w:tcW w:w="1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tcPr>
          <w:p>
            <w:pPr>
              <w:ind w:left="260"/>
              <w:spacing w:after="0" w:line="130" w:lineRule="exact"/>
              <w:rPr>
                <w:sz w:val="20"/>
                <w:szCs w:val="20"/>
                <w:color w:val="auto"/>
              </w:rPr>
            </w:pPr>
            <w:r>
              <w:rPr>
                <w:rFonts w:ascii="Arial" w:cs="Arial" w:eastAsia="Arial" w:hAnsi="Arial"/>
                <w:sz w:val="14"/>
                <w:szCs w:val="14"/>
                <w:color w:val="auto"/>
              </w:rPr>
              <w:t>USD</w:t>
            </w:r>
          </w:p>
        </w:tc>
        <w:tc>
          <w:tcPr>
            <w:tcW w:w="5220" w:type="dxa"/>
            <w:vAlign w:val="bottom"/>
          </w:tcPr>
          <w:p>
            <w:pPr>
              <w:ind w:left="240"/>
              <w:spacing w:after="0" w:line="130" w:lineRule="exact"/>
              <w:rPr>
                <w:sz w:val="20"/>
                <w:szCs w:val="20"/>
                <w:color w:val="auto"/>
              </w:rPr>
            </w:pPr>
            <w:r>
              <w:rPr>
                <w:rFonts w:ascii="Arial" w:cs="Arial" w:eastAsia="Arial" w:hAnsi="Arial"/>
                <w:sz w:val="14"/>
                <w:szCs w:val="14"/>
                <w:color w:val="auto"/>
              </w:rPr>
              <w:t>DPUSD, USD Depo Rates</w:t>
            </w:r>
          </w:p>
        </w:tc>
        <w:tc>
          <w:tcPr>
            <w:tcW w:w="1700" w:type="dxa"/>
            <w:vAlign w:val="bottom"/>
          </w:tcPr>
          <w:p>
            <w:pPr>
              <w:ind w:left="400"/>
              <w:spacing w:after="0" w:line="130"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EUR</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DPEUR, EUR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GBP</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DPGBP, British Pound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CHF</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DPCHF, Swiss Franc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JPY</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DPJPY, Japanese Yen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CAD</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DPCAD, Canadian Dollar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HKD</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DPHKD, Hong Kong Dollar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NZD</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DPNZD, New Zealand Dollar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AUD</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DPAUD, Australian Dollar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DKK</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DPDKK, Danish Krone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NOK</w:t>
            </w:r>
          </w:p>
        </w:tc>
        <w:tc>
          <w:tcPr>
            <w:tcW w:w="5220" w:type="dxa"/>
            <w:vAlign w:val="bottom"/>
          </w:tcPr>
          <w:p>
            <w:pPr>
              <w:ind w:left="240"/>
              <w:spacing w:after="0" w:line="149" w:lineRule="exact"/>
              <w:rPr>
                <w:sz w:val="20"/>
                <w:szCs w:val="20"/>
                <w:color w:val="auto"/>
              </w:rPr>
            </w:pPr>
            <w:r>
              <w:rPr>
                <w:rFonts w:ascii="Arial" w:cs="Arial" w:eastAsia="Arial" w:hAnsi="Arial"/>
                <w:sz w:val="14"/>
                <w:szCs w:val="14"/>
                <w:color w:val="auto"/>
              </w:rPr>
              <w:t>DPNOK, Norwegian Krone Depo Rates</w:t>
            </w:r>
          </w:p>
        </w:tc>
        <w:tc>
          <w:tcPr>
            <w:tcW w:w="1700" w:type="dxa"/>
            <w:vAlign w:val="bottom"/>
          </w:tcPr>
          <w:p>
            <w:pPr>
              <w:ind w:left="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SEK</w:t>
            </w:r>
          </w:p>
        </w:tc>
        <w:tc>
          <w:tcPr>
            <w:tcW w:w="5220" w:type="dxa"/>
            <w:vAlign w:val="bottom"/>
          </w:tcPr>
          <w:p>
            <w:pPr>
              <w:ind w:left="240"/>
              <w:spacing w:after="0"/>
              <w:rPr>
                <w:sz w:val="20"/>
                <w:szCs w:val="20"/>
                <w:color w:val="auto"/>
              </w:rPr>
            </w:pPr>
            <w:r>
              <w:rPr>
                <w:rFonts w:ascii="Arial" w:cs="Arial" w:eastAsia="Arial" w:hAnsi="Arial"/>
                <w:sz w:val="14"/>
                <w:szCs w:val="14"/>
                <w:color w:val="auto"/>
              </w:rPr>
              <w:t>DPSEK, Swedish Krona Depo Rates</w:t>
            </w:r>
          </w:p>
        </w:tc>
        <w:tc>
          <w:tcPr>
            <w:tcW w:w="1700" w:type="dxa"/>
            <w:vAlign w:val="bottom"/>
          </w:tcPr>
          <w:p>
            <w:pPr>
              <w:ind w:left="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Borders>
              <w:right w:val="single" w:sz="8" w:color="1F497D"/>
            </w:tcBorders>
          </w:tcPr>
          <w:p>
            <w:pPr>
              <w:spacing w:after="0"/>
              <w:rPr>
                <w:sz w:val="12"/>
                <w:szCs w:val="12"/>
                <w:color w:val="auto"/>
              </w:rPr>
            </w:pPr>
          </w:p>
        </w:tc>
        <w:tc>
          <w:tcPr>
            <w:tcW w:w="660" w:type="dxa"/>
            <w:vAlign w:val="bottom"/>
            <w:shd w:val="clear" w:color="auto" w:fill="1F497D"/>
          </w:tcPr>
          <w:p>
            <w:pPr>
              <w:spacing w:after="0" w:line="149" w:lineRule="exact"/>
              <w:rPr>
                <w:sz w:val="20"/>
                <w:szCs w:val="20"/>
                <w:color w:val="auto"/>
              </w:rPr>
            </w:pPr>
            <w:r>
              <w:rPr>
                <w:rFonts w:ascii="Arial" w:cs="Arial" w:eastAsia="Arial" w:hAnsi="Arial"/>
                <w:sz w:val="14"/>
                <w:szCs w:val="14"/>
                <w:b w:val="1"/>
                <w:bCs w:val="1"/>
                <w:color w:val="FFFFFF"/>
              </w:rPr>
              <w:t>CD</w:t>
            </w:r>
          </w:p>
        </w:tc>
        <w:tc>
          <w:tcPr>
            <w:tcW w:w="1580" w:type="dxa"/>
            <w:vAlign w:val="bottom"/>
            <w:shd w:val="clear" w:color="auto" w:fill="1F497D"/>
          </w:tcPr>
          <w:p>
            <w:pPr>
              <w:spacing w:after="0"/>
              <w:rPr>
                <w:sz w:val="12"/>
                <w:szCs w:val="12"/>
                <w:color w:val="auto"/>
              </w:rPr>
            </w:pPr>
          </w:p>
        </w:tc>
        <w:tc>
          <w:tcPr>
            <w:tcW w:w="5220" w:type="dxa"/>
            <w:vAlign w:val="bottom"/>
            <w:shd w:val="clear" w:color="auto" w:fill="1F497D"/>
          </w:tcPr>
          <w:p>
            <w:pPr>
              <w:spacing w:after="0"/>
              <w:rPr>
                <w:sz w:val="12"/>
                <w:szCs w:val="12"/>
                <w:color w:val="auto"/>
              </w:rPr>
            </w:pPr>
          </w:p>
        </w:tc>
        <w:tc>
          <w:tcPr>
            <w:tcW w:w="1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EUR</w:t>
            </w:r>
          </w:p>
        </w:tc>
        <w:tc>
          <w:tcPr>
            <w:tcW w:w="5220" w:type="dxa"/>
            <w:vAlign w:val="bottom"/>
            <w:vMerge w:val="restart"/>
          </w:tcPr>
          <w:p>
            <w:pPr>
              <w:ind w:left="240"/>
              <w:spacing w:after="0"/>
              <w:rPr>
                <w:sz w:val="20"/>
                <w:szCs w:val="20"/>
                <w:color w:val="auto"/>
              </w:rPr>
            </w:pPr>
            <w:r>
              <w:rPr>
                <w:rFonts w:ascii="Arial" w:cs="Arial" w:eastAsia="Arial" w:hAnsi="Arial"/>
                <w:sz w:val="14"/>
                <w:szCs w:val="14"/>
                <w:color w:val="auto"/>
              </w:rPr>
              <w:t>ECD, European CDs issued by European Banks</w:t>
            </w:r>
          </w:p>
        </w:tc>
        <w:tc>
          <w:tcPr>
            <w:tcW w:w="1700" w:type="dxa"/>
            <w:vAlign w:val="bottom"/>
            <w:vMerge w:val="restart"/>
          </w:tcPr>
          <w:p>
            <w:pPr>
              <w:ind w:left="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vMerge w:val="restart"/>
          </w:tcPr>
          <w:p>
            <w:pPr>
              <w:ind w:left="260"/>
              <w:spacing w:after="0"/>
              <w:rPr>
                <w:sz w:val="20"/>
                <w:szCs w:val="20"/>
                <w:color w:val="auto"/>
              </w:rPr>
            </w:pPr>
            <w:r>
              <w:rPr>
                <w:rFonts w:ascii="Arial" w:cs="Arial" w:eastAsia="Arial" w:hAnsi="Arial"/>
                <w:sz w:val="14"/>
                <w:szCs w:val="14"/>
                <w:color w:val="auto"/>
              </w:rPr>
              <w:t>GBP</w:t>
            </w:r>
          </w:p>
        </w:tc>
        <w:tc>
          <w:tcPr>
            <w:tcW w:w="5220" w:type="dxa"/>
            <w:vAlign w:val="bottom"/>
          </w:tcPr>
          <w:p>
            <w:pPr>
              <w:ind w:left="240"/>
              <w:spacing w:after="0"/>
              <w:rPr>
                <w:sz w:val="20"/>
                <w:szCs w:val="20"/>
                <w:color w:val="auto"/>
              </w:rPr>
            </w:pPr>
            <w:r>
              <w:rPr>
                <w:rFonts w:ascii="Arial" w:cs="Arial" w:eastAsia="Arial" w:hAnsi="Arial"/>
                <w:sz w:val="14"/>
                <w:szCs w:val="14"/>
                <w:color w:val="auto"/>
              </w:rPr>
              <w:t>FCD, French CDs issued by French Banks regulated by the COB</w:t>
            </w:r>
          </w:p>
        </w:tc>
        <w:tc>
          <w:tcPr>
            <w:tcW w:w="1700" w:type="dxa"/>
            <w:vAlign w:val="bottom"/>
          </w:tcPr>
          <w:p>
            <w:pPr>
              <w:ind w:left="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5220" w:type="dxa"/>
            <w:vAlign w:val="bottom"/>
            <w:vMerge w:val="restart"/>
          </w:tcPr>
          <w:p>
            <w:pPr>
              <w:ind w:left="240"/>
              <w:spacing w:after="0"/>
              <w:rPr>
                <w:sz w:val="20"/>
                <w:szCs w:val="20"/>
                <w:color w:val="auto"/>
              </w:rPr>
            </w:pPr>
            <w:r>
              <w:rPr>
                <w:rFonts w:ascii="Arial" w:cs="Arial" w:eastAsia="Arial" w:hAnsi="Arial"/>
                <w:sz w:val="14"/>
                <w:szCs w:val="14"/>
                <w:color w:val="auto"/>
              </w:rPr>
              <w:t>LCD, London CDs issued by London Banks regulated by the Bank of England.</w:t>
            </w:r>
          </w:p>
        </w:tc>
        <w:tc>
          <w:tcPr>
            <w:tcW w:w="1700" w:type="dxa"/>
            <w:vAlign w:val="bottom"/>
            <w:vMerge w:val="restart"/>
          </w:tcPr>
          <w:p>
            <w:pPr>
              <w:ind w:left="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2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160" w:type="dxa"/>
            <w:vAlign w:val="bottom"/>
            <w:tcBorders>
              <w:right w:val="single" w:sz="8" w:color="1F497D"/>
            </w:tcBorders>
          </w:tcPr>
          <w:p>
            <w:pPr>
              <w:spacing w:after="0"/>
              <w:rPr>
                <w:sz w:val="12"/>
                <w:szCs w:val="12"/>
                <w:color w:val="auto"/>
              </w:rPr>
            </w:pPr>
          </w:p>
        </w:tc>
        <w:tc>
          <w:tcPr>
            <w:tcW w:w="2240" w:type="dxa"/>
            <w:vAlign w:val="bottom"/>
            <w:gridSpan w:val="2"/>
            <w:shd w:val="clear" w:color="auto" w:fill="1F497D"/>
          </w:tcPr>
          <w:p>
            <w:pPr>
              <w:spacing w:after="0" w:line="149" w:lineRule="exact"/>
              <w:rPr>
                <w:sz w:val="20"/>
                <w:szCs w:val="20"/>
                <w:color w:val="auto"/>
              </w:rPr>
            </w:pPr>
            <w:r>
              <w:rPr>
                <w:rFonts w:ascii="Arial" w:cs="Arial" w:eastAsia="Arial" w:hAnsi="Arial"/>
                <w:sz w:val="14"/>
                <w:szCs w:val="14"/>
                <w:b w:val="1"/>
                <w:bCs w:val="1"/>
                <w:color w:val="FFFFFF"/>
              </w:rPr>
              <w:t>Commercial Paper</w:t>
            </w:r>
          </w:p>
        </w:tc>
        <w:tc>
          <w:tcPr>
            <w:tcW w:w="5220" w:type="dxa"/>
            <w:vAlign w:val="bottom"/>
            <w:shd w:val="clear" w:color="auto" w:fill="1F497D"/>
          </w:tcPr>
          <w:p>
            <w:pPr>
              <w:spacing w:after="0"/>
              <w:rPr>
                <w:sz w:val="12"/>
                <w:szCs w:val="12"/>
                <w:color w:val="auto"/>
              </w:rPr>
            </w:pPr>
          </w:p>
        </w:tc>
        <w:tc>
          <w:tcPr>
            <w:tcW w:w="1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Commercial Paper</w:t>
            </w:r>
          </w:p>
        </w:tc>
        <w:tc>
          <w:tcPr>
            <w:tcW w:w="5220" w:type="dxa"/>
            <w:vAlign w:val="bottom"/>
            <w:vMerge w:val="restart"/>
          </w:tcPr>
          <w:p>
            <w:pPr>
              <w:ind w:left="240"/>
              <w:spacing w:after="0"/>
              <w:rPr>
                <w:sz w:val="20"/>
                <w:szCs w:val="20"/>
                <w:color w:val="auto"/>
              </w:rPr>
            </w:pPr>
            <w:r>
              <w:rPr>
                <w:rFonts w:ascii="Arial" w:cs="Arial" w:eastAsia="Arial" w:hAnsi="Arial"/>
                <w:sz w:val="14"/>
                <w:szCs w:val="14"/>
                <w:color w:val="auto"/>
              </w:rPr>
              <w:t>USD</w:t>
            </w:r>
          </w:p>
        </w:tc>
        <w:tc>
          <w:tcPr>
            <w:tcW w:w="1700" w:type="dxa"/>
            <w:vAlign w:val="bottom"/>
            <w:vMerge w:val="restart"/>
          </w:tcPr>
          <w:p>
            <w:pPr>
              <w:ind w:left="400"/>
              <w:spacing w:after="0"/>
              <w:rPr>
                <w:sz w:val="20"/>
                <w:szCs w:val="20"/>
                <w:color w:val="auto"/>
              </w:rPr>
            </w:pPr>
            <w:r>
              <w:rPr>
                <w:rFonts w:ascii="Arial" w:cs="Arial" w:eastAsia="Arial" w:hAnsi="Arial"/>
                <w:sz w:val="14"/>
                <w:szCs w:val="14"/>
                <w:color w:val="auto"/>
              </w:rPr>
              <w:t>Summary Data</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220" w:type="dxa"/>
            <w:vAlign w:val="bottom"/>
          </w:tcPr>
          <w:p>
            <w:pPr>
              <w:ind w:left="240"/>
              <w:spacing w:after="0"/>
              <w:rPr>
                <w:sz w:val="20"/>
                <w:szCs w:val="20"/>
                <w:color w:val="auto"/>
              </w:rPr>
            </w:pPr>
            <w:r>
              <w:rPr>
                <w:rFonts w:ascii="Arial" w:cs="Arial" w:eastAsia="Arial" w:hAnsi="Arial"/>
                <w:sz w:val="14"/>
                <w:szCs w:val="14"/>
                <w:color w:val="auto"/>
              </w:rPr>
              <w:t>Non - USD</w:t>
            </w:r>
          </w:p>
        </w:tc>
        <w:tc>
          <w:tcPr>
            <w:tcW w:w="1700" w:type="dxa"/>
            <w:vAlign w:val="bottom"/>
          </w:tcPr>
          <w:p>
            <w:pPr>
              <w:ind w:left="400"/>
              <w:spacing w:after="0"/>
              <w:rPr>
                <w:sz w:val="20"/>
                <w:szCs w:val="20"/>
                <w:color w:val="auto"/>
              </w:rPr>
            </w:pPr>
            <w:r>
              <w:rPr>
                <w:rFonts w:ascii="Arial" w:cs="Arial" w:eastAsia="Arial" w:hAnsi="Arial"/>
                <w:sz w:val="14"/>
                <w:szCs w:val="14"/>
                <w:color w:val="auto"/>
              </w:rPr>
              <w:t>Inventory</w:t>
            </w:r>
          </w:p>
        </w:tc>
        <w:tc>
          <w:tcPr>
            <w:tcW w:w="0" w:type="dxa"/>
            <w:vAlign w:val="bottom"/>
          </w:tcPr>
          <w:p>
            <w:pPr>
              <w:spacing w:after="0"/>
              <w:rPr>
                <w:sz w:val="1"/>
                <w:szCs w:val="1"/>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03" w:name="page304"/>
    <w:bookmarkEnd w:id="3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3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5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4</w:t>
            </w:r>
          </w:p>
        </w:tc>
        <w:tc>
          <w:tcPr>
            <w:tcW w:w="4940" w:type="dxa"/>
            <w:vAlign w:val="bottom"/>
            <w:shd w:val="clear" w:color="auto" w:fill="EEECE1"/>
          </w:tcPr>
          <w:p>
            <w:pPr>
              <w:ind w:left="100"/>
              <w:spacing w:after="0"/>
              <w:rPr>
                <w:sz w:val="20"/>
                <w:szCs w:val="20"/>
                <w:color w:val="auto"/>
              </w:rPr>
            </w:pPr>
            <w:r>
              <w:rPr>
                <w:rFonts w:ascii="Arial" w:cs="Arial" w:eastAsia="Arial" w:hAnsi="Arial"/>
                <w:sz w:val="14"/>
                <w:szCs w:val="14"/>
                <w:b w:val="1"/>
                <w:bCs w:val="1"/>
                <w:color w:val="auto"/>
              </w:rPr>
              <w:t>5</w:t>
            </w:r>
          </w:p>
        </w:tc>
        <w:tc>
          <w:tcPr>
            <w:tcW w:w="1620" w:type="dxa"/>
            <w:vAlign w:val="bottom"/>
            <w:shd w:val="clear" w:color="auto" w:fill="EEECE1"/>
          </w:tcPr>
          <w:p>
            <w:pPr>
              <w:jc w:val="right"/>
              <w:ind w:right="1148"/>
              <w:spacing w:after="0"/>
              <w:rPr>
                <w:sz w:val="20"/>
                <w:szCs w:val="20"/>
                <w:color w:val="auto"/>
              </w:rPr>
            </w:pPr>
            <w:r>
              <w:rPr>
                <w:rFonts w:ascii="Arial" w:cs="Arial" w:eastAsia="Arial" w:hAnsi="Arial"/>
                <w:sz w:val="14"/>
                <w:szCs w:val="14"/>
                <w:b w:val="1"/>
                <w:bCs w:val="1"/>
                <w:color w:val="auto"/>
              </w:rPr>
              <w:t>6</w:t>
            </w:r>
          </w:p>
        </w:tc>
      </w:tr>
      <w:tr>
        <w:trPr>
          <w:trHeight w:val="171"/>
        </w:trPr>
        <w:tc>
          <w:tcPr>
            <w:tcW w:w="226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Direct</w:t>
            </w:r>
          </w:p>
        </w:tc>
        <w:tc>
          <w:tcPr>
            <w:tcW w:w="900" w:type="dxa"/>
            <w:vAlign w:val="bottom"/>
            <w:shd w:val="clear" w:color="auto" w:fill="EEECE1"/>
          </w:tcPr>
          <w:p>
            <w:pPr>
              <w:spacing w:after="0"/>
              <w:rPr>
                <w:sz w:val="14"/>
                <w:szCs w:val="14"/>
                <w:color w:val="auto"/>
              </w:rPr>
            </w:pPr>
          </w:p>
        </w:tc>
        <w:tc>
          <w:tcPr>
            <w:tcW w:w="1520" w:type="dxa"/>
            <w:vAlign w:val="bottom"/>
            <w:shd w:val="clear" w:color="auto" w:fill="EEECE1"/>
          </w:tcPr>
          <w:p>
            <w:pPr>
              <w:spacing w:after="0"/>
              <w:rPr>
                <w:sz w:val="14"/>
                <w:szCs w:val="14"/>
                <w:color w:val="auto"/>
              </w:rPr>
            </w:pPr>
          </w:p>
        </w:tc>
        <w:tc>
          <w:tcPr>
            <w:tcW w:w="4940" w:type="dxa"/>
            <w:vAlign w:val="bottom"/>
            <w:shd w:val="clear" w:color="auto" w:fill="EEECE1"/>
          </w:tcPr>
          <w:p>
            <w:pPr>
              <w:spacing w:after="0"/>
              <w:rPr>
                <w:sz w:val="14"/>
                <w:szCs w:val="14"/>
                <w:color w:val="auto"/>
              </w:rPr>
            </w:pPr>
          </w:p>
        </w:tc>
        <w:tc>
          <w:tcPr>
            <w:tcW w:w="1620" w:type="dxa"/>
            <w:vAlign w:val="bottom"/>
            <w:shd w:val="clear" w:color="auto" w:fill="EEECE1"/>
          </w:tcPr>
          <w:p>
            <w:pPr>
              <w:spacing w:after="0"/>
              <w:rPr>
                <w:sz w:val="14"/>
                <w:szCs w:val="14"/>
                <w:color w:val="auto"/>
              </w:rPr>
            </w:pPr>
          </w:p>
        </w:tc>
      </w:tr>
      <w:tr>
        <w:trPr>
          <w:trHeight w:val="148"/>
        </w:trPr>
        <w:tc>
          <w:tcPr>
            <w:tcW w:w="920" w:type="dxa"/>
            <w:vAlign w:val="bottom"/>
            <w:shd w:val="clear" w:color="auto" w:fill="EEECE1"/>
          </w:tcPr>
          <w:p>
            <w:pPr>
              <w:spacing w:after="0"/>
              <w:rPr>
                <w:sz w:val="12"/>
                <w:szCs w:val="12"/>
                <w:color w:val="auto"/>
              </w:rPr>
            </w:pPr>
          </w:p>
        </w:tc>
        <w:tc>
          <w:tcPr>
            <w:tcW w:w="1340" w:type="dxa"/>
            <w:vAlign w:val="bottom"/>
            <w:shd w:val="clear" w:color="auto" w:fill="EEECE1"/>
          </w:tcPr>
          <w:p>
            <w:pPr>
              <w:spacing w:after="0"/>
              <w:rPr>
                <w:sz w:val="12"/>
                <w:szCs w:val="12"/>
                <w:color w:val="auto"/>
              </w:rPr>
            </w:pPr>
          </w:p>
        </w:tc>
        <w:tc>
          <w:tcPr>
            <w:tcW w:w="900" w:type="dxa"/>
            <w:vAlign w:val="bottom"/>
            <w:shd w:val="clear" w:color="auto" w:fill="EEECE1"/>
          </w:tcPr>
          <w:p>
            <w:pPr>
              <w:spacing w:after="0"/>
              <w:rPr>
                <w:sz w:val="12"/>
                <w:szCs w:val="12"/>
                <w:color w:val="auto"/>
              </w:rPr>
            </w:pPr>
          </w:p>
        </w:tc>
        <w:tc>
          <w:tcPr>
            <w:tcW w:w="1520" w:type="dxa"/>
            <w:vAlign w:val="bottom"/>
            <w:shd w:val="clear" w:color="auto" w:fill="EEECE1"/>
          </w:tcPr>
          <w:p>
            <w:pPr>
              <w:spacing w:after="0"/>
              <w:rPr>
                <w:sz w:val="12"/>
                <w:szCs w:val="12"/>
                <w:color w:val="auto"/>
              </w:rPr>
            </w:pPr>
          </w:p>
        </w:tc>
        <w:tc>
          <w:tcPr>
            <w:tcW w:w="4940" w:type="dxa"/>
            <w:vAlign w:val="bottom"/>
            <w:shd w:val="clear" w:color="auto" w:fill="EEECE1"/>
          </w:tcPr>
          <w:p>
            <w:pPr>
              <w:spacing w:after="0"/>
              <w:rPr>
                <w:sz w:val="12"/>
                <w:szCs w:val="12"/>
                <w:color w:val="auto"/>
              </w:rPr>
            </w:pPr>
          </w:p>
        </w:tc>
        <w:tc>
          <w:tcPr>
            <w:tcW w:w="1620" w:type="dxa"/>
            <w:vAlign w:val="bottom"/>
            <w:shd w:val="clear" w:color="auto" w:fill="EEECE1"/>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340" w:type="dxa"/>
            <w:vAlign w:val="bottom"/>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900" w:type="dxa"/>
            <w:vAlign w:val="bottom"/>
            <w:shd w:val="clear" w:color="auto" w:fill="C00000"/>
          </w:tcPr>
          <w:p>
            <w:pPr>
              <w:spacing w:after="0"/>
              <w:rPr>
                <w:sz w:val="12"/>
                <w:szCs w:val="12"/>
                <w:color w:val="auto"/>
              </w:rPr>
            </w:pPr>
          </w:p>
        </w:tc>
        <w:tc>
          <w:tcPr>
            <w:tcW w:w="1520" w:type="dxa"/>
            <w:vAlign w:val="bottom"/>
            <w:shd w:val="clear" w:color="auto" w:fill="C00000"/>
          </w:tcPr>
          <w:p>
            <w:pPr>
              <w:spacing w:after="0"/>
              <w:rPr>
                <w:sz w:val="12"/>
                <w:szCs w:val="12"/>
                <w:color w:val="auto"/>
              </w:rPr>
            </w:pPr>
          </w:p>
        </w:tc>
        <w:tc>
          <w:tcPr>
            <w:tcW w:w="4940" w:type="dxa"/>
            <w:vAlign w:val="bottom"/>
            <w:shd w:val="clear" w:color="auto" w:fill="C00000"/>
          </w:tcPr>
          <w:p>
            <w:pPr>
              <w:spacing w:after="0"/>
              <w:rPr>
                <w:sz w:val="12"/>
                <w:szCs w:val="12"/>
                <w:color w:val="auto"/>
              </w:rPr>
            </w:pPr>
          </w:p>
        </w:tc>
        <w:tc>
          <w:tcPr>
            <w:tcW w:w="1620" w:type="dxa"/>
            <w:vAlign w:val="bottom"/>
            <w:shd w:val="clear" w:color="auto" w:fill="C00000"/>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ABS</w:t>
            </w:r>
          </w:p>
        </w:tc>
        <w:tc>
          <w:tcPr>
            <w:tcW w:w="1520" w:type="dxa"/>
            <w:vAlign w:val="bottom"/>
            <w:shd w:val="clear" w:color="auto" w:fill="1F497D"/>
          </w:tcPr>
          <w:p>
            <w:pPr>
              <w:spacing w:after="0"/>
              <w:rPr>
                <w:sz w:val="12"/>
                <w:szCs w:val="12"/>
                <w:color w:val="auto"/>
              </w:rPr>
            </w:pP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Certificates of Deposit (CDs)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8"/>
              </w:rPr>
              <w:t>Collateralized Mortgage Obligations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Corporate Bond</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Composite Data</w:t>
            </w:r>
          </w:p>
        </w:tc>
        <w:tc>
          <w:tcPr>
            <w:tcW w:w="49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Mortgage-Backed Securities (MBS)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Municipal Bonds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Preferred Securities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Unit Investment Trusts (UITs)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89"/>
              </w:rPr>
              <w:t>U.S. Agencies</w:t>
            </w:r>
          </w:p>
        </w:tc>
        <w:tc>
          <w:tcPr>
            <w:tcW w:w="1520" w:type="dxa"/>
            <w:vAlign w:val="bottom"/>
            <w:shd w:val="clear" w:color="auto" w:fill="1F497D"/>
          </w:tcPr>
          <w:p>
            <w:pPr>
              <w:spacing w:after="0"/>
              <w:rPr>
                <w:sz w:val="12"/>
                <w:szCs w:val="12"/>
                <w:color w:val="auto"/>
              </w:rPr>
            </w:pP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 Corporate Bonds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 Treasuries</w:t>
            </w:r>
          </w:p>
        </w:tc>
        <w:tc>
          <w:tcPr>
            <w:tcW w:w="4940" w:type="dxa"/>
            <w:vAlign w:val="bottom"/>
            <w:shd w:val="clear" w:color="auto" w:fill="1F497D"/>
          </w:tcPr>
          <w:p>
            <w:pPr>
              <w:spacing w:after="0"/>
              <w:rPr>
                <w:sz w:val="12"/>
                <w:szCs w:val="12"/>
                <w:color w:val="auto"/>
              </w:rPr>
            </w:pPr>
          </w:p>
        </w:tc>
        <w:tc>
          <w:tcPr>
            <w:tcW w:w="162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ind w:left="60"/>
              <w:spacing w:after="0" w:line="130" w:lineRule="exact"/>
              <w:rPr>
                <w:sz w:val="20"/>
                <w:szCs w:val="20"/>
                <w:color w:val="auto"/>
              </w:rPr>
            </w:pPr>
            <w:r>
              <w:rPr>
                <w:rFonts w:ascii="Arial" w:cs="Arial" w:eastAsia="Arial" w:hAnsi="Arial"/>
                <w:sz w:val="14"/>
                <w:szCs w:val="14"/>
                <w:color w:val="auto"/>
              </w:rPr>
              <w:t>Inventory</w:t>
            </w:r>
          </w:p>
        </w:tc>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Response to RFQ</w:t>
            </w:r>
          </w:p>
        </w:tc>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w w:val="98"/>
              </w:rPr>
              <w:t>pre-trade bids and offers from. Responses for unfilled RFQs are delayed 24hrs</w:t>
            </w:r>
          </w:p>
        </w:tc>
        <w:tc>
          <w:tcPr>
            <w:tcW w:w="1620" w:type="dxa"/>
            <w:vAlign w:val="bottom"/>
          </w:tcPr>
          <w:p>
            <w:pPr>
              <w:spacing w:after="0"/>
              <w:rPr>
                <w:sz w:val="12"/>
                <w:szCs w:val="12"/>
                <w:color w:val="auto"/>
              </w:rPr>
            </w:pPr>
          </w:p>
        </w:tc>
      </w:tr>
      <w:tr>
        <w:trPr>
          <w:trHeight w:val="182"/>
        </w:trPr>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Trade Reports</w:t>
            </w:r>
          </w:p>
        </w:tc>
        <w:tc>
          <w:tcPr>
            <w:tcW w:w="4940" w:type="dxa"/>
            <w:vAlign w:val="bottom"/>
          </w:tcPr>
          <w:p>
            <w:pPr>
              <w:ind w:left="100"/>
              <w:spacing w:after="0"/>
              <w:rPr>
                <w:sz w:val="20"/>
                <w:szCs w:val="20"/>
                <w:color w:val="auto"/>
              </w:rPr>
            </w:pPr>
            <w:r>
              <w:rPr>
                <w:rFonts w:ascii="Arial" w:cs="Arial" w:eastAsia="Arial" w:hAnsi="Arial"/>
                <w:sz w:val="14"/>
                <w:szCs w:val="14"/>
                <w:color w:val="auto"/>
              </w:rPr>
              <w:t>Price and Side</w:t>
            </w:r>
          </w:p>
        </w:tc>
        <w:tc>
          <w:tcPr>
            <w:tcW w:w="1620" w:type="dxa"/>
            <w:vAlign w:val="bottom"/>
          </w:tcPr>
          <w:p>
            <w:pPr>
              <w:spacing w:after="0"/>
              <w:rPr>
                <w:sz w:val="15"/>
                <w:szCs w:val="15"/>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304" w:name="page305"/>
    <w:bookmarkEnd w:id="3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8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2320" w:type="dxa"/>
            <w:vAlign w:val="bottom"/>
            <w:shd w:val="clear" w:color="auto" w:fill="EEECE1"/>
          </w:tcPr>
          <w:p>
            <w:pPr>
              <w:ind w:left="100"/>
              <w:spacing w:after="0"/>
              <w:rPr>
                <w:sz w:val="20"/>
                <w:szCs w:val="20"/>
                <w:color w:val="auto"/>
              </w:rPr>
            </w:pPr>
            <w:r>
              <w:rPr>
                <w:rFonts w:ascii="Arial" w:cs="Arial" w:eastAsia="Arial" w:hAnsi="Arial"/>
                <w:sz w:val="14"/>
                <w:szCs w:val="14"/>
                <w:b w:val="1"/>
                <w:bCs w:val="1"/>
                <w:color w:val="auto"/>
              </w:rPr>
              <w:t>4</w:t>
            </w:r>
          </w:p>
        </w:tc>
        <w:tc>
          <w:tcPr>
            <w:tcW w:w="5140" w:type="dxa"/>
            <w:vAlign w:val="bottom"/>
            <w:shd w:val="clear" w:color="auto" w:fill="EEECE1"/>
          </w:tcPr>
          <w:p>
            <w:pPr>
              <w:ind w:left="260"/>
              <w:spacing w:after="0"/>
              <w:rPr>
                <w:sz w:val="20"/>
                <w:szCs w:val="20"/>
                <w:color w:val="auto"/>
              </w:rPr>
            </w:pPr>
            <w:r>
              <w:rPr>
                <w:rFonts w:ascii="Arial" w:cs="Arial" w:eastAsia="Arial" w:hAnsi="Arial"/>
                <w:sz w:val="14"/>
                <w:szCs w:val="14"/>
                <w:b w:val="1"/>
                <w:bCs w:val="1"/>
                <w:color w:val="auto"/>
              </w:rPr>
              <w:t>5</w:t>
            </w:r>
          </w:p>
        </w:tc>
        <w:tc>
          <w:tcPr>
            <w:tcW w:w="780" w:type="dxa"/>
            <w:vAlign w:val="bottom"/>
            <w:shd w:val="clear" w:color="auto" w:fill="EEECE1"/>
          </w:tcPr>
          <w:p>
            <w:pPr>
              <w:jc w:val="right"/>
              <w:ind w:right="468"/>
              <w:spacing w:after="0"/>
              <w:rPr>
                <w:sz w:val="20"/>
                <w:szCs w:val="20"/>
                <w:color w:val="auto"/>
              </w:rPr>
            </w:pPr>
            <w:r>
              <w:rPr>
                <w:rFonts w:ascii="Arial" w:cs="Arial" w:eastAsia="Arial" w:hAnsi="Arial"/>
                <w:sz w:val="14"/>
                <w:szCs w:val="14"/>
                <w:b w:val="1"/>
                <w:bCs w:val="1"/>
                <w:color w:val="auto"/>
              </w:rPr>
              <w:t>6</w:t>
            </w:r>
          </w:p>
        </w:tc>
      </w:tr>
      <w:tr>
        <w:trPr>
          <w:trHeight w:val="17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Dealerweb</w:t>
            </w:r>
          </w:p>
        </w:tc>
        <w:tc>
          <w:tcPr>
            <w:tcW w:w="1240" w:type="dxa"/>
            <w:vAlign w:val="bottom"/>
            <w:shd w:val="clear" w:color="auto" w:fill="EEECE1"/>
          </w:tcPr>
          <w:p>
            <w:pPr>
              <w:spacing w:after="0"/>
              <w:rPr>
                <w:sz w:val="14"/>
                <w:szCs w:val="14"/>
                <w:color w:val="auto"/>
              </w:rPr>
            </w:pPr>
          </w:p>
        </w:tc>
        <w:tc>
          <w:tcPr>
            <w:tcW w:w="840" w:type="dxa"/>
            <w:vAlign w:val="bottom"/>
            <w:shd w:val="clear" w:color="auto" w:fill="EEECE1"/>
          </w:tcPr>
          <w:p>
            <w:pPr>
              <w:spacing w:after="0"/>
              <w:rPr>
                <w:sz w:val="14"/>
                <w:szCs w:val="14"/>
                <w:color w:val="auto"/>
              </w:rPr>
            </w:pPr>
          </w:p>
        </w:tc>
        <w:tc>
          <w:tcPr>
            <w:tcW w:w="2320" w:type="dxa"/>
            <w:vAlign w:val="bottom"/>
            <w:shd w:val="clear" w:color="auto" w:fill="EEECE1"/>
          </w:tcPr>
          <w:p>
            <w:pPr>
              <w:spacing w:after="0"/>
              <w:rPr>
                <w:sz w:val="14"/>
                <w:szCs w:val="14"/>
                <w:color w:val="auto"/>
              </w:rPr>
            </w:pPr>
          </w:p>
        </w:tc>
        <w:tc>
          <w:tcPr>
            <w:tcW w:w="5140" w:type="dxa"/>
            <w:vAlign w:val="bottom"/>
            <w:shd w:val="clear" w:color="auto" w:fill="EEECE1"/>
          </w:tcPr>
          <w:p>
            <w:pPr>
              <w:spacing w:after="0"/>
              <w:rPr>
                <w:sz w:val="14"/>
                <w:szCs w:val="14"/>
                <w:color w:val="auto"/>
              </w:rPr>
            </w:pPr>
          </w:p>
        </w:tc>
        <w:tc>
          <w:tcPr>
            <w:tcW w:w="780" w:type="dxa"/>
            <w:vAlign w:val="bottom"/>
            <w:shd w:val="clear" w:color="auto" w:fill="EEECE1"/>
          </w:tcPr>
          <w:p>
            <w:pPr>
              <w:spacing w:after="0"/>
              <w:rPr>
                <w:sz w:val="14"/>
                <w:szCs w:val="14"/>
                <w:color w:val="auto"/>
              </w:rPr>
            </w:pPr>
          </w:p>
        </w:tc>
      </w:tr>
      <w:tr>
        <w:trPr>
          <w:trHeight w:val="148"/>
        </w:trPr>
        <w:tc>
          <w:tcPr>
            <w:tcW w:w="920" w:type="dxa"/>
            <w:vAlign w:val="bottom"/>
            <w:shd w:val="clear" w:color="auto" w:fill="EEECE1"/>
          </w:tcPr>
          <w:p>
            <w:pPr>
              <w:spacing w:after="0"/>
              <w:rPr>
                <w:sz w:val="12"/>
                <w:szCs w:val="12"/>
                <w:color w:val="auto"/>
              </w:rPr>
            </w:pPr>
          </w:p>
        </w:tc>
        <w:tc>
          <w:tcPr>
            <w:tcW w:w="1240" w:type="dxa"/>
            <w:vAlign w:val="bottom"/>
            <w:shd w:val="clear" w:color="auto" w:fill="EEECE1"/>
          </w:tcPr>
          <w:p>
            <w:pPr>
              <w:spacing w:after="0"/>
              <w:rPr>
                <w:sz w:val="12"/>
                <w:szCs w:val="12"/>
                <w:color w:val="auto"/>
              </w:rPr>
            </w:pPr>
          </w:p>
        </w:tc>
        <w:tc>
          <w:tcPr>
            <w:tcW w:w="840" w:type="dxa"/>
            <w:vAlign w:val="bottom"/>
            <w:shd w:val="clear" w:color="auto" w:fill="EEECE1"/>
          </w:tcPr>
          <w:p>
            <w:pPr>
              <w:spacing w:after="0"/>
              <w:rPr>
                <w:sz w:val="12"/>
                <w:szCs w:val="12"/>
                <w:color w:val="auto"/>
              </w:rPr>
            </w:pPr>
          </w:p>
        </w:tc>
        <w:tc>
          <w:tcPr>
            <w:tcW w:w="2320" w:type="dxa"/>
            <w:vAlign w:val="bottom"/>
            <w:shd w:val="clear" w:color="auto" w:fill="EEECE1"/>
          </w:tcPr>
          <w:p>
            <w:pPr>
              <w:spacing w:after="0"/>
              <w:rPr>
                <w:sz w:val="12"/>
                <w:szCs w:val="12"/>
                <w:color w:val="auto"/>
              </w:rPr>
            </w:pPr>
          </w:p>
        </w:tc>
        <w:tc>
          <w:tcPr>
            <w:tcW w:w="5140" w:type="dxa"/>
            <w:vAlign w:val="bottom"/>
            <w:shd w:val="clear" w:color="auto" w:fill="EEECE1"/>
          </w:tcPr>
          <w:p>
            <w:pPr>
              <w:spacing w:after="0"/>
              <w:rPr>
                <w:sz w:val="12"/>
                <w:szCs w:val="12"/>
                <w:color w:val="auto"/>
              </w:rPr>
            </w:pPr>
          </w:p>
        </w:tc>
        <w:tc>
          <w:tcPr>
            <w:tcW w:w="780" w:type="dxa"/>
            <w:vAlign w:val="bottom"/>
            <w:shd w:val="clear" w:color="auto" w:fill="EEECE1"/>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840" w:type="dxa"/>
            <w:vAlign w:val="bottom"/>
            <w:shd w:val="clear" w:color="auto" w:fill="C00000"/>
          </w:tcPr>
          <w:p>
            <w:pPr>
              <w:spacing w:after="0"/>
              <w:rPr>
                <w:sz w:val="12"/>
                <w:szCs w:val="12"/>
                <w:color w:val="auto"/>
              </w:rPr>
            </w:pPr>
          </w:p>
        </w:tc>
        <w:tc>
          <w:tcPr>
            <w:tcW w:w="2320" w:type="dxa"/>
            <w:vAlign w:val="bottom"/>
            <w:shd w:val="clear" w:color="auto" w:fill="C00000"/>
          </w:tcPr>
          <w:p>
            <w:pPr>
              <w:spacing w:after="0"/>
              <w:rPr>
                <w:sz w:val="12"/>
                <w:szCs w:val="12"/>
                <w:color w:val="auto"/>
              </w:rPr>
            </w:pPr>
          </w:p>
        </w:tc>
        <w:tc>
          <w:tcPr>
            <w:tcW w:w="5140" w:type="dxa"/>
            <w:vAlign w:val="bottom"/>
            <w:shd w:val="clear" w:color="auto" w:fill="C00000"/>
          </w:tcPr>
          <w:p>
            <w:pPr>
              <w:spacing w:after="0"/>
              <w:rPr>
                <w:sz w:val="12"/>
                <w:szCs w:val="12"/>
                <w:color w:val="auto"/>
              </w:rPr>
            </w:pPr>
          </w:p>
        </w:tc>
        <w:tc>
          <w:tcPr>
            <w:tcW w:w="780" w:type="dxa"/>
            <w:vAlign w:val="bottom"/>
            <w:shd w:val="clear" w:color="auto" w:fill="C00000"/>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Actives</w:t>
            </w:r>
          </w:p>
        </w:tc>
        <w:tc>
          <w:tcPr>
            <w:tcW w:w="2320" w:type="dxa"/>
            <w:vAlign w:val="bottom"/>
            <w:shd w:val="clear" w:color="auto" w:fill="1F497D"/>
          </w:tcPr>
          <w:p>
            <w:pPr>
              <w:spacing w:after="0"/>
              <w:rPr>
                <w:sz w:val="12"/>
                <w:szCs w:val="12"/>
                <w:color w:val="auto"/>
              </w:rPr>
            </w:pPr>
          </w:p>
        </w:tc>
        <w:tc>
          <w:tcPr>
            <w:tcW w:w="5140" w:type="dxa"/>
            <w:vAlign w:val="bottom"/>
            <w:shd w:val="clear" w:color="auto" w:fill="1F497D"/>
          </w:tcPr>
          <w:p>
            <w:pPr>
              <w:spacing w:after="0"/>
              <w:rPr>
                <w:sz w:val="12"/>
                <w:szCs w:val="12"/>
                <w:color w:val="auto"/>
              </w:rPr>
            </w:pPr>
          </w:p>
        </w:tc>
        <w:tc>
          <w:tcPr>
            <w:tcW w:w="7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tcPr>
          <w:p>
            <w:pPr>
              <w:ind w:left="100"/>
              <w:spacing w:after="0" w:line="130" w:lineRule="exact"/>
              <w:rPr>
                <w:sz w:val="20"/>
                <w:szCs w:val="20"/>
                <w:color w:val="auto"/>
              </w:rPr>
            </w:pPr>
            <w:r>
              <w:rPr>
                <w:rFonts w:ascii="Arial" w:cs="Arial" w:eastAsia="Arial" w:hAnsi="Arial"/>
                <w:sz w:val="14"/>
                <w:szCs w:val="14"/>
                <w:color w:val="auto"/>
              </w:rPr>
              <w:t>US Treasury On-the-Run Quotes</w:t>
            </w:r>
          </w:p>
        </w:tc>
        <w:tc>
          <w:tcPr>
            <w:tcW w:w="5140" w:type="dxa"/>
            <w:vAlign w:val="bottom"/>
          </w:tcPr>
          <w:p>
            <w:pPr>
              <w:ind w:left="260"/>
              <w:spacing w:after="0" w:line="130" w:lineRule="exact"/>
              <w:rPr>
                <w:sz w:val="20"/>
                <w:szCs w:val="20"/>
                <w:color w:val="auto"/>
              </w:rPr>
            </w:pPr>
            <w:r>
              <w:rPr>
                <w:rFonts w:ascii="Arial" w:cs="Arial" w:eastAsia="Arial" w:hAnsi="Arial"/>
                <w:sz w:val="14"/>
                <w:szCs w:val="14"/>
                <w:color w:val="auto"/>
              </w:rPr>
              <w:t>Top of Book</w:t>
            </w:r>
          </w:p>
        </w:tc>
        <w:tc>
          <w:tcPr>
            <w:tcW w:w="780" w:type="dxa"/>
            <w:vAlign w:val="bottom"/>
          </w:tcPr>
          <w:p>
            <w:pPr>
              <w:spacing w:after="0"/>
              <w:rPr>
                <w:sz w:val="11"/>
                <w:szCs w:val="11"/>
                <w:color w:val="auto"/>
              </w:rPr>
            </w:pPr>
          </w:p>
        </w:tc>
      </w:tr>
      <w:tr>
        <w:trPr>
          <w:trHeight w:val="167"/>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US Treasury On-the-Run Trades</w:t>
            </w:r>
          </w:p>
        </w:tc>
        <w:tc>
          <w:tcPr>
            <w:tcW w:w="5140" w:type="dxa"/>
            <w:vAlign w:val="bottom"/>
          </w:tcPr>
          <w:p>
            <w:pPr>
              <w:ind w:left="260"/>
              <w:spacing w:after="0"/>
              <w:rPr>
                <w:sz w:val="20"/>
                <w:szCs w:val="20"/>
                <w:color w:val="auto"/>
              </w:rPr>
            </w:pPr>
            <w:r>
              <w:rPr>
                <w:rFonts w:ascii="Arial" w:cs="Arial" w:eastAsia="Arial" w:hAnsi="Arial"/>
                <w:sz w:val="14"/>
                <w:szCs w:val="14"/>
                <w:color w:val="auto"/>
              </w:rPr>
              <w:t>Hit and Take Indication</w:t>
            </w:r>
          </w:p>
        </w:tc>
        <w:tc>
          <w:tcPr>
            <w:tcW w:w="78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Equities</w:t>
            </w:r>
          </w:p>
        </w:tc>
        <w:tc>
          <w:tcPr>
            <w:tcW w:w="2320" w:type="dxa"/>
            <w:vAlign w:val="bottom"/>
            <w:shd w:val="clear" w:color="auto" w:fill="1F497D"/>
          </w:tcPr>
          <w:p>
            <w:pPr>
              <w:spacing w:after="0"/>
              <w:rPr>
                <w:sz w:val="12"/>
                <w:szCs w:val="12"/>
                <w:color w:val="auto"/>
              </w:rPr>
            </w:pPr>
          </w:p>
        </w:tc>
        <w:tc>
          <w:tcPr>
            <w:tcW w:w="5140" w:type="dxa"/>
            <w:vAlign w:val="bottom"/>
            <w:shd w:val="clear" w:color="auto" w:fill="1F497D"/>
          </w:tcPr>
          <w:p>
            <w:pPr>
              <w:spacing w:after="0"/>
              <w:rPr>
                <w:sz w:val="12"/>
                <w:szCs w:val="12"/>
                <w:color w:val="auto"/>
              </w:rPr>
            </w:pPr>
          </w:p>
        </w:tc>
        <w:tc>
          <w:tcPr>
            <w:tcW w:w="7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tcPr>
          <w:p>
            <w:pPr>
              <w:ind w:left="100"/>
              <w:spacing w:after="0" w:line="130" w:lineRule="exact"/>
              <w:rPr>
                <w:sz w:val="20"/>
                <w:szCs w:val="20"/>
                <w:color w:val="auto"/>
              </w:rPr>
            </w:pPr>
            <w:r>
              <w:rPr>
                <w:rFonts w:ascii="Arial" w:cs="Arial" w:eastAsia="Arial" w:hAnsi="Arial"/>
                <w:sz w:val="14"/>
                <w:szCs w:val="14"/>
                <w:color w:val="auto"/>
              </w:rPr>
              <w:t>Delta One - EFP (DW)</w:t>
            </w:r>
          </w:p>
        </w:tc>
        <w:tc>
          <w:tcPr>
            <w:tcW w:w="5140" w:type="dxa"/>
            <w:vAlign w:val="bottom"/>
          </w:tcPr>
          <w:p>
            <w:pPr>
              <w:ind w:left="260"/>
              <w:spacing w:after="0" w:line="130" w:lineRule="exact"/>
              <w:rPr>
                <w:sz w:val="20"/>
                <w:szCs w:val="20"/>
                <w:color w:val="auto"/>
              </w:rPr>
            </w:pPr>
            <w:r>
              <w:rPr>
                <w:rFonts w:ascii="Arial" w:cs="Arial" w:eastAsia="Arial" w:hAnsi="Arial"/>
                <w:sz w:val="14"/>
                <w:szCs w:val="14"/>
                <w:color w:val="auto"/>
              </w:rPr>
              <w:t>Trades and quotes</w:t>
            </w:r>
          </w:p>
        </w:tc>
        <w:tc>
          <w:tcPr>
            <w:tcW w:w="780" w:type="dxa"/>
            <w:vAlign w:val="bottom"/>
          </w:tcPr>
          <w:p>
            <w:pPr>
              <w:spacing w:after="0"/>
              <w:rPr>
                <w:sz w:val="11"/>
                <w:szCs w:val="11"/>
                <w:color w:val="auto"/>
              </w:rPr>
            </w:pPr>
          </w:p>
        </w:tc>
      </w:tr>
      <w:tr>
        <w:trPr>
          <w:trHeight w:val="167"/>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ETF NAV Cross (DW)</w:t>
            </w:r>
          </w:p>
        </w:tc>
        <w:tc>
          <w:tcPr>
            <w:tcW w:w="5140" w:type="dxa"/>
            <w:vAlign w:val="bottom"/>
          </w:tcPr>
          <w:p>
            <w:pPr>
              <w:ind w:left="260"/>
              <w:spacing w:after="0"/>
              <w:rPr>
                <w:sz w:val="20"/>
                <w:szCs w:val="20"/>
                <w:color w:val="auto"/>
              </w:rPr>
            </w:pPr>
            <w:r>
              <w:rPr>
                <w:rFonts w:ascii="Arial" w:cs="Arial" w:eastAsia="Arial" w:hAnsi="Arial"/>
                <w:sz w:val="14"/>
                <w:szCs w:val="14"/>
                <w:color w:val="auto"/>
              </w:rPr>
              <w:t>Trades and quotes</w:t>
            </w:r>
          </w:p>
        </w:tc>
        <w:tc>
          <w:tcPr>
            <w:tcW w:w="78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Finance</w:t>
            </w:r>
          </w:p>
        </w:tc>
        <w:tc>
          <w:tcPr>
            <w:tcW w:w="2320" w:type="dxa"/>
            <w:vAlign w:val="bottom"/>
            <w:shd w:val="clear" w:color="auto" w:fill="1F497D"/>
          </w:tcPr>
          <w:p>
            <w:pPr>
              <w:spacing w:after="0"/>
              <w:rPr>
                <w:sz w:val="12"/>
                <w:szCs w:val="12"/>
                <w:color w:val="auto"/>
              </w:rPr>
            </w:pPr>
          </w:p>
        </w:tc>
        <w:tc>
          <w:tcPr>
            <w:tcW w:w="5140" w:type="dxa"/>
            <w:vAlign w:val="bottom"/>
            <w:shd w:val="clear" w:color="auto" w:fill="1F497D"/>
          </w:tcPr>
          <w:p>
            <w:pPr>
              <w:spacing w:after="0"/>
              <w:rPr>
                <w:sz w:val="12"/>
                <w:szCs w:val="12"/>
                <w:color w:val="auto"/>
              </w:rPr>
            </w:pPr>
          </w:p>
        </w:tc>
        <w:tc>
          <w:tcPr>
            <w:tcW w:w="7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tcPr>
          <w:p>
            <w:pPr>
              <w:ind w:left="100"/>
              <w:spacing w:after="0" w:line="130" w:lineRule="exact"/>
              <w:rPr>
                <w:sz w:val="20"/>
                <w:szCs w:val="20"/>
                <w:color w:val="auto"/>
              </w:rPr>
            </w:pPr>
            <w:r>
              <w:rPr>
                <w:rFonts w:ascii="Arial" w:cs="Arial" w:eastAsia="Arial" w:hAnsi="Arial"/>
                <w:sz w:val="14"/>
                <w:szCs w:val="14"/>
                <w:color w:val="auto"/>
              </w:rPr>
              <w:t>US TSY Repo Regular Start</w:t>
            </w:r>
          </w:p>
        </w:tc>
        <w:tc>
          <w:tcPr>
            <w:tcW w:w="5140" w:type="dxa"/>
            <w:vAlign w:val="bottom"/>
          </w:tcPr>
          <w:p>
            <w:pPr>
              <w:ind w:left="260"/>
              <w:spacing w:after="0" w:line="130" w:lineRule="exact"/>
              <w:rPr>
                <w:sz w:val="20"/>
                <w:szCs w:val="20"/>
                <w:color w:val="auto"/>
              </w:rPr>
            </w:pPr>
            <w:r>
              <w:rPr>
                <w:rFonts w:ascii="Arial" w:cs="Arial" w:eastAsia="Arial" w:hAnsi="Arial"/>
                <w:sz w:val="14"/>
                <w:szCs w:val="14"/>
                <w:color w:val="auto"/>
                <w:w w:val="96"/>
              </w:rPr>
              <w:t>Snap quotes at 10am, 12pm, 3pm, 5:30pm. Quotes include High, Low and VWAP</w:t>
            </w:r>
          </w:p>
        </w:tc>
        <w:tc>
          <w:tcPr>
            <w:tcW w:w="78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US TSY Cash Start , Benchmarks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w w:val="96"/>
              </w:rPr>
              <w:t>Snap quotes at 10am, 12pm, 3pm, 5:30pm. Quotes include High, Low and VWAP</w:t>
            </w:r>
          </w:p>
        </w:tc>
        <w:tc>
          <w:tcPr>
            <w:tcW w:w="78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US Repo Specials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w w:val="96"/>
              </w:rPr>
              <w:t>Snap quotes at 10am, 12pm, 3pm, 5:30pm. Quotes include High, Low and VWAP</w:t>
            </w:r>
          </w:p>
        </w:tc>
        <w:tc>
          <w:tcPr>
            <w:tcW w:w="7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GC and GCF</w:t>
            </w:r>
          </w:p>
        </w:tc>
        <w:tc>
          <w:tcPr>
            <w:tcW w:w="5140" w:type="dxa"/>
            <w:vAlign w:val="bottom"/>
          </w:tcPr>
          <w:p>
            <w:pPr>
              <w:ind w:left="260"/>
              <w:spacing w:after="0"/>
              <w:rPr>
                <w:sz w:val="20"/>
                <w:szCs w:val="20"/>
                <w:color w:val="auto"/>
              </w:rPr>
            </w:pPr>
            <w:r>
              <w:rPr>
                <w:rFonts w:ascii="Arial" w:cs="Arial" w:eastAsia="Arial" w:hAnsi="Arial"/>
                <w:sz w:val="14"/>
                <w:szCs w:val="14"/>
                <w:color w:val="auto"/>
                <w:w w:val="96"/>
              </w:rPr>
              <w:t>Snap quotes at 10am, 12pm, 3pm, 5:30pm. Quotes include High, Low and VWAP</w:t>
            </w:r>
          </w:p>
        </w:tc>
        <w:tc>
          <w:tcPr>
            <w:tcW w:w="7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Mortgages</w:t>
            </w:r>
          </w:p>
        </w:tc>
        <w:tc>
          <w:tcPr>
            <w:tcW w:w="2320" w:type="dxa"/>
            <w:vAlign w:val="bottom"/>
            <w:shd w:val="clear" w:color="auto" w:fill="1F497D"/>
          </w:tcPr>
          <w:p>
            <w:pPr>
              <w:spacing w:after="0"/>
              <w:rPr>
                <w:sz w:val="12"/>
                <w:szCs w:val="12"/>
                <w:color w:val="auto"/>
              </w:rPr>
            </w:pPr>
          </w:p>
        </w:tc>
        <w:tc>
          <w:tcPr>
            <w:tcW w:w="5140" w:type="dxa"/>
            <w:vAlign w:val="bottom"/>
            <w:shd w:val="clear" w:color="auto" w:fill="1F497D"/>
          </w:tcPr>
          <w:p>
            <w:pPr>
              <w:spacing w:after="0"/>
              <w:rPr>
                <w:sz w:val="12"/>
                <w:szCs w:val="12"/>
                <w:color w:val="auto"/>
              </w:rPr>
            </w:pPr>
          </w:p>
        </w:tc>
        <w:tc>
          <w:tcPr>
            <w:tcW w:w="7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tcPr>
          <w:p>
            <w:pPr>
              <w:ind w:left="100"/>
              <w:spacing w:after="0" w:line="130" w:lineRule="exact"/>
              <w:rPr>
                <w:sz w:val="20"/>
                <w:szCs w:val="20"/>
                <w:color w:val="auto"/>
              </w:rPr>
            </w:pPr>
            <w:r>
              <w:rPr>
                <w:rFonts w:ascii="Arial" w:cs="Arial" w:eastAsia="Arial" w:hAnsi="Arial"/>
                <w:sz w:val="14"/>
                <w:szCs w:val="14"/>
                <w:color w:val="auto"/>
              </w:rPr>
              <w:t>TBA-MBS Outright Quotes</w:t>
            </w:r>
          </w:p>
        </w:tc>
        <w:tc>
          <w:tcPr>
            <w:tcW w:w="5140" w:type="dxa"/>
            <w:vAlign w:val="bottom"/>
          </w:tcPr>
          <w:p>
            <w:pPr>
              <w:ind w:left="260"/>
              <w:spacing w:after="0" w:line="130" w:lineRule="exact"/>
              <w:rPr>
                <w:sz w:val="20"/>
                <w:szCs w:val="20"/>
                <w:color w:val="auto"/>
              </w:rPr>
            </w:pPr>
            <w:r>
              <w:rPr>
                <w:rFonts w:ascii="Arial" w:cs="Arial" w:eastAsia="Arial" w:hAnsi="Arial"/>
                <w:sz w:val="14"/>
                <w:szCs w:val="14"/>
                <w:color w:val="auto"/>
              </w:rPr>
              <w:t>Top of Book</w:t>
            </w:r>
          </w:p>
        </w:tc>
        <w:tc>
          <w:tcPr>
            <w:tcW w:w="78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TBA-MBS Outright Trades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Price</w:t>
            </w:r>
          </w:p>
        </w:tc>
        <w:tc>
          <w:tcPr>
            <w:tcW w:w="78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TBA Swaps Quotes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Top of Book</w:t>
            </w:r>
          </w:p>
        </w:tc>
        <w:tc>
          <w:tcPr>
            <w:tcW w:w="78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TBA Swaps Trades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Price</w:t>
            </w:r>
          </w:p>
        </w:tc>
        <w:tc>
          <w:tcPr>
            <w:tcW w:w="78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TBA Butterflies Quotes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Top of Book</w:t>
            </w:r>
          </w:p>
        </w:tc>
        <w:tc>
          <w:tcPr>
            <w:tcW w:w="78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TBA Butterflies Trades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Price</w:t>
            </w:r>
          </w:p>
        </w:tc>
        <w:tc>
          <w:tcPr>
            <w:tcW w:w="7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TBA-Mortgage Roll</w:t>
            </w:r>
          </w:p>
        </w:tc>
        <w:tc>
          <w:tcPr>
            <w:tcW w:w="5140" w:type="dxa"/>
            <w:vAlign w:val="bottom"/>
          </w:tcPr>
          <w:p>
            <w:pPr>
              <w:ind w:left="260"/>
              <w:spacing w:after="0"/>
              <w:rPr>
                <w:sz w:val="20"/>
                <w:szCs w:val="20"/>
                <w:color w:val="auto"/>
              </w:rPr>
            </w:pPr>
            <w:r>
              <w:rPr>
                <w:rFonts w:ascii="Arial" w:cs="Arial" w:eastAsia="Arial" w:hAnsi="Arial"/>
                <w:sz w:val="14"/>
                <w:szCs w:val="14"/>
                <w:color w:val="auto"/>
              </w:rPr>
              <w:t>Month End Summary Data</w:t>
            </w:r>
          </w:p>
        </w:tc>
        <w:tc>
          <w:tcPr>
            <w:tcW w:w="78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Municipals</w:t>
            </w:r>
          </w:p>
        </w:tc>
        <w:tc>
          <w:tcPr>
            <w:tcW w:w="2320" w:type="dxa"/>
            <w:vAlign w:val="bottom"/>
            <w:shd w:val="clear" w:color="auto" w:fill="1F497D"/>
          </w:tcPr>
          <w:p>
            <w:pPr>
              <w:spacing w:after="0"/>
              <w:rPr>
                <w:sz w:val="12"/>
                <w:szCs w:val="12"/>
                <w:color w:val="auto"/>
              </w:rPr>
            </w:pPr>
          </w:p>
        </w:tc>
        <w:tc>
          <w:tcPr>
            <w:tcW w:w="5140" w:type="dxa"/>
            <w:vAlign w:val="bottom"/>
            <w:shd w:val="clear" w:color="auto" w:fill="1F497D"/>
          </w:tcPr>
          <w:p>
            <w:pPr>
              <w:spacing w:after="0"/>
              <w:rPr>
                <w:sz w:val="12"/>
                <w:szCs w:val="12"/>
                <w:color w:val="auto"/>
              </w:rPr>
            </w:pPr>
          </w:p>
        </w:tc>
        <w:tc>
          <w:tcPr>
            <w:tcW w:w="7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tcPr>
          <w:p>
            <w:pPr>
              <w:ind w:left="100"/>
              <w:spacing w:after="0" w:line="130" w:lineRule="exact"/>
              <w:rPr>
                <w:sz w:val="20"/>
                <w:szCs w:val="20"/>
                <w:color w:val="auto"/>
              </w:rPr>
            </w:pPr>
            <w:r>
              <w:rPr>
                <w:rFonts w:ascii="Arial" w:cs="Arial" w:eastAsia="Arial" w:hAnsi="Arial"/>
                <w:sz w:val="14"/>
                <w:szCs w:val="14"/>
                <w:color w:val="auto"/>
              </w:rPr>
              <w:t>Tax Free Quotes Voice</w:t>
            </w:r>
          </w:p>
        </w:tc>
        <w:tc>
          <w:tcPr>
            <w:tcW w:w="5140" w:type="dxa"/>
            <w:vAlign w:val="bottom"/>
          </w:tcPr>
          <w:p>
            <w:pPr>
              <w:ind w:left="260"/>
              <w:spacing w:after="0" w:line="130"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780" w:type="dxa"/>
            <w:vAlign w:val="bottom"/>
          </w:tcPr>
          <w:p>
            <w:pPr>
              <w:spacing w:after="0"/>
              <w:rPr>
                <w:sz w:val="11"/>
                <w:szCs w:val="11"/>
                <w:color w:val="auto"/>
              </w:rPr>
            </w:pPr>
          </w:p>
        </w:tc>
      </w:tr>
      <w:tr>
        <w:trPr>
          <w:trHeight w:val="167"/>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Tax Free Trades Voice</w:t>
            </w:r>
          </w:p>
        </w:tc>
        <w:tc>
          <w:tcPr>
            <w:tcW w:w="5140" w:type="dxa"/>
            <w:vAlign w:val="bottom"/>
          </w:tcPr>
          <w:p>
            <w:pPr>
              <w:ind w:left="260"/>
              <w:spacing w:after="0"/>
              <w:rPr>
                <w:sz w:val="20"/>
                <w:szCs w:val="20"/>
                <w:color w:val="auto"/>
              </w:rPr>
            </w:pPr>
            <w:r>
              <w:rPr>
                <w:rFonts w:ascii="Arial" w:cs="Arial" w:eastAsia="Arial" w:hAnsi="Arial"/>
                <w:sz w:val="14"/>
                <w:szCs w:val="14"/>
                <w:color w:val="auto"/>
              </w:rPr>
              <w:t>Price</w:t>
            </w:r>
          </w:p>
        </w:tc>
        <w:tc>
          <w:tcPr>
            <w:tcW w:w="78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Rates</w:t>
            </w:r>
          </w:p>
        </w:tc>
        <w:tc>
          <w:tcPr>
            <w:tcW w:w="2320" w:type="dxa"/>
            <w:vAlign w:val="bottom"/>
            <w:shd w:val="clear" w:color="auto" w:fill="1F497D"/>
          </w:tcPr>
          <w:p>
            <w:pPr>
              <w:spacing w:after="0"/>
              <w:rPr>
                <w:sz w:val="12"/>
                <w:szCs w:val="12"/>
                <w:color w:val="auto"/>
              </w:rPr>
            </w:pPr>
          </w:p>
        </w:tc>
        <w:tc>
          <w:tcPr>
            <w:tcW w:w="5140" w:type="dxa"/>
            <w:vAlign w:val="bottom"/>
            <w:shd w:val="clear" w:color="auto" w:fill="1F497D"/>
          </w:tcPr>
          <w:p>
            <w:pPr>
              <w:spacing w:after="0"/>
              <w:rPr>
                <w:sz w:val="12"/>
                <w:szCs w:val="12"/>
                <w:color w:val="auto"/>
              </w:rPr>
            </w:pPr>
          </w:p>
        </w:tc>
        <w:tc>
          <w:tcPr>
            <w:tcW w:w="7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tcPr>
          <w:p>
            <w:pPr>
              <w:ind w:left="100"/>
              <w:spacing w:after="0" w:line="130" w:lineRule="exact"/>
              <w:rPr>
                <w:sz w:val="20"/>
                <w:szCs w:val="20"/>
                <w:color w:val="auto"/>
              </w:rPr>
            </w:pPr>
            <w:r>
              <w:rPr>
                <w:rFonts w:ascii="Arial" w:cs="Arial" w:eastAsia="Arial" w:hAnsi="Arial"/>
                <w:sz w:val="14"/>
                <w:szCs w:val="14"/>
                <w:color w:val="auto"/>
              </w:rPr>
              <w:t>US Dollar Swaps Voice</w:t>
            </w:r>
          </w:p>
        </w:tc>
        <w:tc>
          <w:tcPr>
            <w:tcW w:w="5140" w:type="dxa"/>
            <w:vAlign w:val="bottom"/>
          </w:tcPr>
          <w:p>
            <w:pPr>
              <w:ind w:left="260"/>
              <w:spacing w:after="0" w:line="130" w:lineRule="exact"/>
              <w:rPr>
                <w:sz w:val="20"/>
                <w:szCs w:val="20"/>
                <w:color w:val="auto"/>
              </w:rPr>
            </w:pPr>
            <w:r>
              <w:rPr>
                <w:rFonts w:ascii="Arial" w:cs="Arial" w:eastAsia="Arial" w:hAnsi="Arial"/>
                <w:sz w:val="14"/>
                <w:szCs w:val="14"/>
                <w:color w:val="auto"/>
              </w:rPr>
              <w:t>Voice Tades</w:t>
            </w:r>
          </w:p>
        </w:tc>
        <w:tc>
          <w:tcPr>
            <w:tcW w:w="78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US Dollar Swaps Quotes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Full Stack</w:t>
            </w:r>
          </w:p>
        </w:tc>
        <w:tc>
          <w:tcPr>
            <w:tcW w:w="78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US Dollar Swaps Trades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Price and Side</w:t>
            </w:r>
          </w:p>
        </w:tc>
        <w:tc>
          <w:tcPr>
            <w:tcW w:w="78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US Treasury Bills Quotes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Full Stack</w:t>
            </w:r>
          </w:p>
        </w:tc>
        <w:tc>
          <w:tcPr>
            <w:tcW w:w="78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US Treasury Bills Trades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Price</w:t>
            </w:r>
          </w:p>
        </w:tc>
        <w:tc>
          <w:tcPr>
            <w:tcW w:w="78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tcPr>
          <w:p>
            <w:pPr>
              <w:ind w:left="100"/>
              <w:spacing w:after="0" w:line="149" w:lineRule="exact"/>
              <w:rPr>
                <w:sz w:val="20"/>
                <w:szCs w:val="20"/>
                <w:color w:val="auto"/>
              </w:rPr>
            </w:pPr>
            <w:r>
              <w:rPr>
                <w:rFonts w:ascii="Arial" w:cs="Arial" w:eastAsia="Arial" w:hAnsi="Arial"/>
                <w:sz w:val="14"/>
                <w:szCs w:val="14"/>
                <w:color w:val="auto"/>
              </w:rPr>
              <w:t>US Treasury Off-the-Run Quotes</w:t>
            </w:r>
          </w:p>
        </w:tc>
        <w:tc>
          <w:tcPr>
            <w:tcW w:w="5140" w:type="dxa"/>
            <w:vAlign w:val="bottom"/>
          </w:tcPr>
          <w:p>
            <w:pPr>
              <w:ind w:left="260"/>
              <w:spacing w:after="0" w:line="149" w:lineRule="exact"/>
              <w:rPr>
                <w:sz w:val="20"/>
                <w:szCs w:val="20"/>
                <w:color w:val="auto"/>
              </w:rPr>
            </w:pPr>
            <w:r>
              <w:rPr>
                <w:rFonts w:ascii="Arial" w:cs="Arial" w:eastAsia="Arial" w:hAnsi="Arial"/>
                <w:sz w:val="14"/>
                <w:szCs w:val="14"/>
                <w:color w:val="auto"/>
              </w:rPr>
              <w:t>Top of Book</w:t>
            </w:r>
          </w:p>
        </w:tc>
        <w:tc>
          <w:tcPr>
            <w:tcW w:w="780" w:type="dxa"/>
            <w:vAlign w:val="bottom"/>
          </w:tcPr>
          <w:p>
            <w:pPr>
              <w:spacing w:after="0"/>
              <w:rPr>
                <w:sz w:val="12"/>
                <w:szCs w:val="12"/>
                <w:color w:val="auto"/>
              </w:rPr>
            </w:pPr>
          </w:p>
        </w:tc>
      </w:tr>
      <w:tr>
        <w:trPr>
          <w:trHeight w:val="182"/>
        </w:trPr>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20" w:type="dxa"/>
            <w:vAlign w:val="bottom"/>
          </w:tcPr>
          <w:p>
            <w:pPr>
              <w:ind w:left="100"/>
              <w:spacing w:after="0"/>
              <w:rPr>
                <w:sz w:val="20"/>
                <w:szCs w:val="20"/>
                <w:color w:val="auto"/>
              </w:rPr>
            </w:pPr>
            <w:r>
              <w:rPr>
                <w:rFonts w:ascii="Arial" w:cs="Arial" w:eastAsia="Arial" w:hAnsi="Arial"/>
                <w:sz w:val="14"/>
                <w:szCs w:val="14"/>
                <w:color w:val="auto"/>
              </w:rPr>
              <w:t>US Treasury Off-the-Run Trades</w:t>
            </w:r>
          </w:p>
        </w:tc>
        <w:tc>
          <w:tcPr>
            <w:tcW w:w="5140" w:type="dxa"/>
            <w:vAlign w:val="bottom"/>
          </w:tcPr>
          <w:p>
            <w:pPr>
              <w:ind w:left="260"/>
              <w:spacing w:after="0"/>
              <w:rPr>
                <w:sz w:val="20"/>
                <w:szCs w:val="20"/>
                <w:color w:val="auto"/>
              </w:rPr>
            </w:pPr>
            <w:r>
              <w:rPr>
                <w:rFonts w:ascii="Arial" w:cs="Arial" w:eastAsia="Arial" w:hAnsi="Arial"/>
                <w:sz w:val="14"/>
                <w:szCs w:val="14"/>
                <w:color w:val="auto"/>
              </w:rPr>
              <w:t>Price</w:t>
            </w:r>
          </w:p>
        </w:tc>
        <w:tc>
          <w:tcPr>
            <w:tcW w:w="780" w:type="dxa"/>
            <w:vAlign w:val="bottom"/>
          </w:tcPr>
          <w:p>
            <w:pPr>
              <w:spacing w:after="0"/>
              <w:rPr>
                <w:sz w:val="15"/>
                <w:szCs w:val="15"/>
                <w:color w:val="auto"/>
              </w:rPr>
            </w:pPr>
          </w:p>
        </w:tc>
      </w:tr>
      <w:tr>
        <w:trPr>
          <w:trHeight w:val="876"/>
        </w:trPr>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305" w:name="page306"/>
    <w:bookmarkEnd w:id="305"/>
    <w:p>
      <w:pPr>
        <w:jc w:val="center"/>
        <w:ind w:right="-99"/>
        <w:spacing w:after="0"/>
        <w:rPr>
          <w:sz w:val="20"/>
          <w:szCs w:val="20"/>
          <w:color w:val="auto"/>
        </w:rPr>
      </w:pPr>
      <w:r>
        <w:rPr>
          <w:rFonts w:ascii="Arial" w:cs="Arial" w:eastAsia="Arial" w:hAnsi="Arial"/>
          <w:sz w:val="18"/>
          <w:szCs w:val="18"/>
          <w:b w:val="1"/>
          <w:bCs w:val="1"/>
          <w:u w:val="single" w:color="auto"/>
          <w:color w:val="auto"/>
        </w:rPr>
        <w:t>SCHEDULE B-1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Treasuries Actives Data</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Anonymous, on-the-run single Bid/Ask price and yield from the fully executable Dealerweb Actives Central Limit Order Book and Dealerweb Active Streams marketplaces, as supplemented, as necessary, by other Tradeweb UST data, for UST benchmarks 2, 3, 5, 7, 10 and 30Y, and additionally includes the following information derived from such data or made available from the Dealerweb platform:</w:t>
      </w:r>
    </w:p>
    <w:p>
      <w:pPr>
        <w:spacing w:after="0" w:line="184" w:lineRule="exact"/>
        <w:rPr>
          <w:sz w:val="20"/>
          <w:szCs w:val="20"/>
          <w:color w:val="auto"/>
        </w:rPr>
      </w:pPr>
    </w:p>
    <w:p>
      <w:pPr>
        <w:ind w:left="700" w:hanging="368"/>
        <w:spacing w:after="0"/>
        <w:tabs>
          <w:tab w:leader="none" w:pos="7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Mid-Yield for the above benchmark tenors</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Hit/Take direction signal</w:t>
      </w:r>
    </w:p>
    <w:p>
      <w:pPr>
        <w:spacing w:after="0" w:line="9" w:lineRule="exact"/>
        <w:rPr>
          <w:rFonts w:ascii="Arial" w:cs="Arial" w:eastAsia="Arial" w:hAnsi="Arial"/>
          <w:sz w:val="18"/>
          <w:szCs w:val="18"/>
          <w:color w:val="auto"/>
        </w:rPr>
      </w:pPr>
    </w:p>
    <w:p>
      <w:pPr>
        <w:ind w:left="640" w:hanging="308"/>
        <w:spacing w:after="0" w:line="185" w:lineRule="auto"/>
        <w:tabs>
          <w:tab w:leader="none" w:pos="6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Official O/H/L/C</w:t>
      </w:r>
      <w:r>
        <w:rPr>
          <w:rFonts w:ascii="Arial" w:cs="Arial" w:eastAsia="Arial" w:hAnsi="Arial"/>
          <w:sz w:val="29"/>
          <w:szCs w:val="29"/>
          <w:color w:val="auto"/>
          <w:vertAlign w:val="superscript"/>
        </w:rPr>
        <w:t>*</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Last traded price and yield</w:t>
      </w:r>
    </w:p>
    <w:p>
      <w:pPr>
        <w:spacing w:after="0" w:line="7" w:lineRule="exact"/>
        <w:rPr>
          <w:rFonts w:ascii="Arial" w:cs="Arial" w:eastAsia="Arial" w:hAnsi="Arial"/>
          <w:sz w:val="18"/>
          <w:szCs w:val="18"/>
          <w:color w:val="auto"/>
        </w:rPr>
      </w:pPr>
    </w:p>
    <w:p>
      <w:pPr>
        <w:ind w:left="640" w:hanging="308"/>
        <w:spacing w:after="0"/>
        <w:tabs>
          <w:tab w:leader="none" w:pos="6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Mid-Yield for interpolated tenors (4, 6, 8, 9, 12, 15, 20, 25Y)</w:t>
      </w:r>
    </w:p>
    <w:p>
      <w:pPr>
        <w:spacing w:after="0" w:line="210"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Will be included promptly after such time as Tradeweb and/or Dealerweb create and implement such data point, which process shall not be unreasonably delayed by Tradeweb or Dealerweb.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Non-Exclusive Licensed Market Data Sets</w:t>
      </w:r>
    </w:p>
    <w:p>
      <w:pPr>
        <w:spacing w:after="0" w:line="229" w:lineRule="exact"/>
        <w:rPr>
          <w:sz w:val="20"/>
          <w:szCs w:val="20"/>
          <w:color w:val="auto"/>
        </w:rPr>
      </w:pPr>
    </w:p>
    <w:p>
      <w:pPr>
        <w:ind w:left="700" w:hanging="368"/>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UK Gilts</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MiFID II Outbound Data (APA and MTF)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acknowledge and agree that the consideration for the Market Data License and Limited Trading Data License in respect of delayed (but for the avoidance of doubt, not real-time) MiFID II Outbound Data (other than pre-trade APA data (“</w:t>
      </w:r>
      <w:r>
        <w:rPr>
          <w:rFonts w:ascii="Arial" w:cs="Arial" w:eastAsia="Arial" w:hAnsi="Arial"/>
          <w:sz w:val="18"/>
          <w:szCs w:val="18"/>
          <w:u w:val="single" w:color="auto"/>
          <w:color w:val="auto"/>
        </w:rPr>
        <w:t>MiFID II Pre-Trade APA Market Data</w:t>
      </w:r>
      <w:r>
        <w:rPr>
          <w:rFonts w:ascii="Arial" w:cs="Arial" w:eastAsia="Arial" w:hAnsi="Arial"/>
          <w:sz w:val="18"/>
          <w:szCs w:val="18"/>
          <w:color w:val="auto"/>
        </w:rPr>
        <w:t xml:space="preserve">”)) shall be [***]. Tradeweb agrees that the restrictions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this Second A&amp;R Agreement related to TW Competitors and UST Competitors, as applicable, shall not apply to delayed MiFID II Outbound Data (other than MiFID II Pre-Trade APA Market Data).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Tradeweb acknowledges that Refinitiv has created an aggregated bond service, which includes delayed post-trade MiFID II Outbound Data (APA and MTF). Tradeweb agrees that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 this Second A&amp;R Agreement will not apply, and that GRC and its Affiliates shall not be obligated to provide attribution to Tradeweb or any of its Subsidiaries, in connection with such aggregated bond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GRC and its Affiliates intend to create marketing and other promotional materials that provide attribution, and to the extent that such parties do so, Tradeweb shall be included in such attribution;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that GRC provides additional attribution to other similarly situated third party providers to the aggregated bond service, GRC or its Affiliates shall provide attribution to Tradeweb consistent therewith. For the avoidance of doubt, GRC and its Affiliates shall not be obligated to pay any additional fees in respect of the aggregated bond service, except to the extent Licensed Market Data included therein is subject to a revenue share fee as explicitly set forth in this Second A&amp;R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0" w:type="dxa"/>
            <w:vAlign w:val="bottom"/>
            <w:gridSpan w:val="4"/>
          </w:tcPr>
          <w:p>
            <w:pPr>
              <w:jc w:val="center"/>
              <w:ind w:right="2240"/>
              <w:spacing w:after="0"/>
              <w:rPr>
                <w:sz w:val="20"/>
                <w:szCs w:val="20"/>
                <w:color w:val="auto"/>
              </w:rPr>
            </w:pPr>
            <w:r>
              <w:rPr>
                <w:rFonts w:ascii="Arial" w:cs="Arial" w:eastAsia="Arial" w:hAnsi="Arial"/>
                <w:sz w:val="18"/>
                <w:szCs w:val="18"/>
                <w:b w:val="1"/>
                <w:bCs w:val="1"/>
                <w:color w:val="auto"/>
                <w:w w:val="99"/>
              </w:rPr>
              <w:t>SCHEDULE D</w:t>
            </w:r>
          </w:p>
        </w:tc>
        <w:tc>
          <w:tcPr>
            <w:tcW w:w="280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53"/>
        </w:trPr>
        <w:tc>
          <w:tcPr>
            <w:tcW w:w="2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920" w:type="dxa"/>
            <w:vAlign w:val="bottom"/>
            <w:gridSpan w:val="5"/>
          </w:tcPr>
          <w:p>
            <w:pPr>
              <w:jc w:val="center"/>
              <w:ind w:right="1720"/>
              <w:spacing w:after="0"/>
              <w:rPr>
                <w:sz w:val="20"/>
                <w:szCs w:val="20"/>
                <w:color w:val="auto"/>
              </w:rPr>
            </w:pPr>
            <w:r>
              <w:rPr>
                <w:rFonts w:ascii="Arial" w:cs="Arial" w:eastAsia="Arial" w:hAnsi="Arial"/>
                <w:sz w:val="18"/>
                <w:szCs w:val="18"/>
                <w:b w:val="1"/>
                <w:bCs w:val="1"/>
                <w:color w:val="auto"/>
                <w:w w:val="89"/>
              </w:rPr>
              <w:t>Annual License Fee</w:t>
            </w:r>
          </w:p>
        </w:tc>
        <w:tc>
          <w:tcPr>
            <w:tcW w:w="2800" w:type="dxa"/>
            <w:vAlign w:val="bottom"/>
          </w:tcPr>
          <w:p>
            <w:pPr>
              <w:spacing w:after="0"/>
              <w:rPr>
                <w:sz w:val="24"/>
                <w:szCs w:val="24"/>
                <w:color w:val="auto"/>
              </w:rPr>
            </w:pPr>
          </w:p>
        </w:tc>
      </w:tr>
      <w:tr>
        <w:trPr>
          <w:trHeight w:val="439"/>
        </w:trPr>
        <w:tc>
          <w:tcPr>
            <w:tcW w:w="2820" w:type="dxa"/>
            <w:vAlign w:val="bottom"/>
          </w:tcPr>
          <w:p>
            <w:pPr>
              <w:spacing w:after="0"/>
              <w:rPr>
                <w:sz w:val="24"/>
                <w:szCs w:val="24"/>
                <w:color w:val="auto"/>
              </w:rPr>
            </w:pPr>
          </w:p>
        </w:tc>
        <w:tc>
          <w:tcPr>
            <w:tcW w:w="17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2"/>
              </w:rPr>
              <w:t>Year</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Annual License Fee</w:t>
            </w:r>
          </w:p>
        </w:tc>
        <w:tc>
          <w:tcPr>
            <w:tcW w:w="28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Year 1</w:t>
            </w:r>
          </w:p>
        </w:tc>
        <w:tc>
          <w:tcPr>
            <w:tcW w:w="392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Year 2</w:t>
            </w:r>
          </w:p>
        </w:tc>
        <w:tc>
          <w:tcPr>
            <w:tcW w:w="392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Year 3</w:t>
            </w:r>
          </w:p>
        </w:tc>
        <w:tc>
          <w:tcPr>
            <w:tcW w:w="392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Year 4</w:t>
            </w:r>
          </w:p>
        </w:tc>
        <w:tc>
          <w:tcPr>
            <w:tcW w:w="392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Year 5</w:t>
            </w:r>
          </w:p>
        </w:tc>
        <w:tc>
          <w:tcPr>
            <w:tcW w:w="392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r>
      <w:tr>
        <w:trPr>
          <w:trHeight w:val="675"/>
        </w:trPr>
        <w:tc>
          <w:tcPr>
            <w:tcW w:w="2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u w:val="single" w:color="auto"/>
          <w:color w:val="auto"/>
        </w:rPr>
        <w:t>SCHEDULE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Level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Preface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the circumstances require and as determined exclusively by GRC on notice to Tradeweb, references in this Service Level Agreement (“</w:t>
      </w:r>
      <w:r>
        <w:rPr>
          <w:rFonts w:ascii="Arial" w:cs="Arial" w:eastAsia="Arial" w:hAnsi="Arial"/>
          <w:sz w:val="18"/>
          <w:szCs w:val="18"/>
          <w:u w:val="single" w:color="auto"/>
          <w:color w:val="auto"/>
        </w:rPr>
        <w:t>SLA</w:t>
      </w:r>
      <w:r>
        <w:rPr>
          <w:rFonts w:ascii="Arial" w:cs="Arial" w:eastAsia="Arial" w:hAnsi="Arial"/>
          <w:sz w:val="18"/>
          <w:szCs w:val="18"/>
          <w:color w:val="auto"/>
        </w:rPr>
        <w:t>”) to GRC shall be understood to include GRC’s Affiliate sublicensees and subcontractors, including TRM.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Tradeweb will use commercially reasonable efforts to provide GRC with the Licensed Data as set forth in this SLA. If there is a conflict between the SLA and this Second A&amp;R Agreement, the terms of the SLA shall control. The Parties agree that Tradeweb’s obligations and liability under this SLA are subject to (i) any Force Majeure Event, (ii) any Tradeweb obligation that is contingent upon a Refinitiv Party’s performance, and (iii) any downtime that is permitted under this SLA or otherwise agreed to by the Parties.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Definition of Terms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Below are the agreed definitions for the terms used throughout this SLA which set forth the quality of service that Tradeweb will provide to GRC with respect to the Licensed Data. Capitalized terms used but not defined in this SLA shall have the meanings given to them in this Second A&amp;R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Manner of Transmission – </w:t>
      </w:r>
      <w:r>
        <w:rPr>
          <w:rFonts w:ascii="Arial" w:cs="Arial" w:eastAsia="Arial" w:hAnsi="Arial"/>
          <w:sz w:val="18"/>
          <w:szCs w:val="18"/>
          <w:color w:val="auto"/>
        </w:rPr>
        <w:t>Transmissions of Licensed Data will be transmitted to GRC in the form and manner as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Second A&amp;R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Accuracy – </w:t>
      </w:r>
      <w:r>
        <w:rPr>
          <w:rFonts w:ascii="Arial" w:cs="Arial" w:eastAsia="Arial" w:hAnsi="Arial"/>
          <w:sz w:val="18"/>
          <w:szCs w:val="18"/>
          <w:color w:val="auto"/>
        </w:rPr>
        <w:t>Transmissions of Licensed Data shall be at least as accurate in all material respects as the Licensed Data that Tradeweb provides to</w:t>
      </w:r>
      <w:r>
        <w:rPr>
          <w:rFonts w:ascii="Arial" w:cs="Arial" w:eastAsia="Arial" w:hAnsi="Arial"/>
          <w:sz w:val="18"/>
          <w:szCs w:val="18"/>
          <w:b w:val="1"/>
          <w:bCs w:val="1"/>
          <w:color w:val="auto"/>
        </w:rPr>
        <w:t xml:space="preserve"> </w:t>
      </w:r>
      <w:r>
        <w:rPr>
          <w:rFonts w:ascii="Arial" w:cs="Arial" w:eastAsia="Arial" w:hAnsi="Arial"/>
          <w:sz w:val="18"/>
          <w:szCs w:val="18"/>
          <w:color w:val="auto"/>
        </w:rPr>
        <w:t>Users, except with respect to variances between what a Tradeweb Viewer and a user of Refinitiv Services is permitted to view as reasonably determined and documented by Tradeweb in consultation with GRC.</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Completeness – </w:t>
      </w:r>
      <w:r>
        <w:rPr>
          <w:rFonts w:ascii="Arial" w:cs="Arial" w:eastAsia="Arial" w:hAnsi="Arial"/>
          <w:sz w:val="17"/>
          <w:szCs w:val="17"/>
          <w:color w:val="auto"/>
        </w:rPr>
        <w:t>Transmissions of Licensed Data shall be at least as complete in all material respects as the Licensed Data that Tradeweb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to Users. Tradeweb will ensure that the Refinitiv Parties are aware of all current and future fields available for Licensed Data.</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Data Set </w:t>
      </w:r>
      <w:r>
        <w:rPr>
          <w:rFonts w:ascii="Arial" w:cs="Arial" w:eastAsia="Arial" w:hAnsi="Arial"/>
          <w:sz w:val="18"/>
          <w:szCs w:val="18"/>
          <w:color w:val="auto"/>
        </w:rPr>
        <w:t>– has the meaning set forth in this Second A&amp;R Agreement. As of the Effective Date, there are twelve (12) Data Sets that make up the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Licensed Market Data and two (2) Data Sets that make up Non-Exclusive Licensed Market Data.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Resolution </w:t>
      </w:r>
      <w:r>
        <w:rPr>
          <w:rFonts w:ascii="Arial" w:cs="Arial" w:eastAsia="Arial" w:hAnsi="Arial"/>
          <w:sz w:val="18"/>
          <w:szCs w:val="18"/>
          <w:color w:val="auto"/>
        </w:rPr>
        <w:t>– means Tradeweb has researched and replied with findings to a query.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Fee Per Data Set </w:t>
      </w:r>
      <w:r>
        <w:rPr>
          <w:rFonts w:ascii="Arial" w:cs="Arial" w:eastAsia="Arial" w:hAnsi="Arial"/>
          <w:sz w:val="18"/>
          <w:szCs w:val="18"/>
          <w:color w:val="auto"/>
        </w:rPr>
        <w:t>– (1) for each Data Set that constitutes Non-Exclusive Licensed Market Data, the Non-Exclusive Licensed Market Data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Distributor Fee with respect thereto; and (2) for each Data Set that constitutes Exclusive Licensed Market Data, the Annual License Fee then in effect </w:t>
      </w:r>
      <w:r>
        <w:rPr>
          <w:rFonts w:ascii="Arial" w:cs="Arial" w:eastAsia="Arial" w:hAnsi="Arial"/>
          <w:sz w:val="18"/>
          <w:szCs w:val="18"/>
          <w:i w:val="1"/>
          <w:iCs w:val="1"/>
          <w:color w:val="auto"/>
        </w:rPr>
        <w:t xml:space="preserve">minus </w:t>
      </w:r>
      <w:r>
        <w:rPr>
          <w:rFonts w:ascii="Arial" w:cs="Arial" w:eastAsia="Arial" w:hAnsi="Arial"/>
          <w:sz w:val="18"/>
          <w:szCs w:val="18"/>
          <w:color w:val="auto"/>
        </w:rPr>
        <w:t>all Non-Exclusive Licensed Market Data Distributor Fees hereunder, such result</w:t>
      </w:r>
      <w:r>
        <w:rPr>
          <w:rFonts w:ascii="Arial" w:cs="Arial" w:eastAsia="Arial" w:hAnsi="Arial"/>
          <w:sz w:val="18"/>
          <w:szCs w:val="18"/>
          <w:i w:val="1"/>
          <w:iCs w:val="1"/>
          <w:color w:val="auto"/>
        </w:rPr>
        <w:t xml:space="preserve"> divided by </w:t>
      </w:r>
      <w:r>
        <w:rPr>
          <w:rFonts w:ascii="Arial" w:cs="Arial" w:eastAsia="Arial" w:hAnsi="Arial"/>
          <w:sz w:val="18"/>
          <w:szCs w:val="18"/>
          <w:color w:val="auto"/>
        </w:rPr>
        <w:t>the number of Data Sets then provided by Tradeweb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up the Exclusive Licensed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Support Hours </w:t>
      </w:r>
      <w:r>
        <w:rPr>
          <w:rFonts w:ascii="Arial" w:cs="Arial" w:eastAsia="Arial" w:hAnsi="Arial"/>
          <w:sz w:val="18"/>
          <w:szCs w:val="18"/>
          <w:color w:val="auto"/>
        </w:rPr>
        <w:t>- 9AM London Time to 4PM New York Time, subject to local holidays and weekends. The Parties commit to a formal review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Support Hours on or about the first anniversary 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Timeliness – </w:t>
      </w:r>
      <w:r>
        <w:rPr>
          <w:rFonts w:ascii="Arial" w:cs="Arial" w:eastAsia="Arial" w:hAnsi="Arial"/>
          <w:sz w:val="18"/>
          <w:szCs w:val="18"/>
          <w:color w:val="auto"/>
        </w:rPr>
        <w:t>Transmission of Licensed Data will update at least as frequently as Licensed Data provided to Users.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Service Response – </w:t>
      </w:r>
      <w:r>
        <w:rPr>
          <w:rFonts w:ascii="Arial" w:cs="Arial" w:eastAsia="Arial" w:hAnsi="Arial"/>
          <w:sz w:val="18"/>
          <w:szCs w:val="18"/>
          <w:color w:val="auto"/>
        </w:rPr>
        <w:t>means that Tradeweb will act on an issue reported by GRC within the agreed time periods and according to the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outlined in this SLA.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Quality Measurements Methodology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requirements to provide high quality data and service to its customers are actively promoted and supported throughout Refinitiv. Quality is defined in terms of the following parameters:</w:t>
      </w:r>
    </w:p>
    <w:p>
      <w:pPr>
        <w:spacing w:after="0" w:line="170"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Accuracy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Completeness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Timeliness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Service Response/Resolution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a month, a random sample of records and associated fields will be selected for assessment of data quality for all or some of the above parameters.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 bi-monthly basis, Tradeweb and GRC will discuss performance service issues (covering the above quality parameters) of which they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bi-monthly schedule to review and publish data quality measurements and results will be set up with the Tradeweb vendor relation manager. Meetings will initially be conducted on a bi-monthly basis, covering issues around the Licensed Data. Subject to progress and performance, GRC and Tradeweb will review the meeting frequency on a bi-monthly basis.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Should GRC detect a decline in performance below the agreed service levels over a period of two (2) months, GRC has the right to arrange a meeting with Tradeweb at a mutually agreed date and time to further discuss the issue. GRC and Tradeweb shall make reasonable efforts to hold such meeting within seven (7) Business Days after a request.</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Section 2</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targets are set out for Service Response times from Tradeweb to GRC’s queries. All support will be during Support Hours. All metrics around response times will include the proviso that the clock stops when the Support Hours end in a day, and begins at that time when the Support Hours next begin (for example, if a query is received thirty-five (35) minutes before the 4pm New York time deadline, then an acknowledgement of receipt is required within twenty-five (25) minutes of London opening in greater than ninety percent ( &gt;90%) of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GRC agrees that all communication with Tradeweb will be channeled through the Tradeweb Customer Support desks (see Section 5 below for contact details).</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Missing data</w:t>
      </w:r>
      <w:r>
        <w:rPr>
          <w:rFonts w:ascii="Arial" w:cs="Arial" w:eastAsia="Arial" w:hAnsi="Arial"/>
          <w:sz w:val="18"/>
          <w:szCs w:val="18"/>
          <w:color w:val="auto"/>
        </w:rPr>
        <w:t>: Tradeweb must provide a response to GRC’s requests providing acknowledgement of receipt, the status of the request, and the likely resolution time. Tradeweb will target resolution of fifty percent (50%) of queries within ninety (90) minutes of receipt, ninety-five percent (95%) of queries within eighteen (18) hours of receipt and greater than ninety percent (&gt;90%) of GRC requests to be acknowledged within sixty (60) minutes of request submission.</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Suspect data</w:t>
      </w:r>
      <w:r>
        <w:rPr>
          <w:rFonts w:ascii="Arial" w:cs="Arial" w:eastAsia="Arial" w:hAnsi="Arial"/>
          <w:sz w:val="18"/>
          <w:szCs w:val="18"/>
          <w:color w:val="auto"/>
        </w:rPr>
        <w:t>: Tradeweb must provide a response to GRC’s requests providing acknowledgement of receipt, the status of the request, and the likely resolution time. Tradeweb will target resolution of fifty percent (50%) of queries within ninety (90) minutes of receipt, ninety-five percent (95%) of queries within eighteen (18) hours of receipt and greater than ninety percent (&gt;90%) of GRC requests to be acknowledged within sixty (60) minutes of request submission.</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Explanation and clarifications/searches</w:t>
      </w:r>
      <w:r>
        <w:rPr>
          <w:rFonts w:ascii="Arial" w:cs="Arial" w:eastAsia="Arial" w:hAnsi="Arial"/>
          <w:sz w:val="18"/>
          <w:szCs w:val="18"/>
          <w:color w:val="auto"/>
        </w:rPr>
        <w:t>: Tradeweb must provide a response to GRC’s requests providing acknowledgement of receipt, the status of the request, and the likely resolution time. Tradeweb will target resolution of fifty percent (50%) of queries within ninety (90) minutes of receipt, ninety-five (95%) of queries within eighteen (18) hours of receipt and greater than ninety percent (&gt;90%) of GRC requests to be acknowledged within sixty (60) minutes of request submission.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queries where a material data correction is made must contain the following elements within the response:</w:t>
      </w:r>
    </w:p>
    <w:p>
      <w:pPr>
        <w:spacing w:after="0" w:line="225"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Root Cause - What was the root cause of the problem for the incorrect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Corrective Action - What action has been taken to correct the problem?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Prevention - What sustainable action has been taken to prevent recurrence of the problem or to significantly reduce the risk of recurrence?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Expectations on Responsiveness/Actions to Issues by Severity</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inquiry responsiveness targets shown above represent the targets for the typical inquiries. The table below provides information on responsiveness targets by severity level as well as escalation paths to be followed by GRC and action items that Tradeweb must progress as the inquiries are received by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center"/>
        <w:ind w:right="-19"/>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spacing w:after="0"/>
        <w:tabs>
          <w:tab w:leader="none" w:pos="3100" w:val="left"/>
          <w:tab w:leader="none" w:pos="7160" w:val="left"/>
        </w:tabs>
        <w:rPr>
          <w:sz w:val="20"/>
          <w:szCs w:val="20"/>
          <w:color w:val="auto"/>
        </w:rPr>
      </w:pPr>
      <w:r>
        <w:rPr>
          <w:rFonts w:ascii="Arial" w:cs="Arial" w:eastAsia="Arial" w:hAnsi="Arial"/>
          <w:sz w:val="18"/>
          <w:szCs w:val="18"/>
          <w:b w:val="1"/>
          <w:bCs w:val="1"/>
          <w:color w:val="auto"/>
        </w:rPr>
        <w:t>Severity</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5"/>
          <w:szCs w:val="15"/>
          <w:b w:val="1"/>
          <w:bCs w:val="1"/>
          <w:color w:val="auto"/>
        </w:rPr>
        <w:t>Responsiveness/Escalations/Actions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 – Critical</w:t>
      </w:r>
      <w:r>
        <w:rPr>
          <w:sz w:val="20"/>
          <w:szCs w:val="20"/>
          <w:color w:val="auto"/>
        </w:rPr>
        <w:tab/>
      </w:r>
      <w:r>
        <w:rPr>
          <w:rFonts w:ascii="Arial" w:cs="Arial" w:eastAsia="Arial" w:hAnsi="Arial"/>
          <w:sz w:val="16"/>
          <w:szCs w:val="16"/>
          <w:color w:val="auto"/>
        </w:rPr>
        <w:t>Single Outages for Data Set(s) over 10 minutes.</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27" w:right="460" w:hanging="327"/>
        <w:spacing w:after="0" w:line="276" w:lineRule="auto"/>
        <w:tabs>
          <w:tab w:leader="none" w:pos="26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Tradeweb Support Desk to call GRC within 10 minutes of a feed outage being identified by Tradeweb.</w:t>
      </w:r>
    </w:p>
    <w:p>
      <w:pPr>
        <w:spacing w:after="0" w:line="185" w:lineRule="exact"/>
        <w:rPr>
          <w:sz w:val="20"/>
          <w:szCs w:val="20"/>
          <w:color w:val="auto"/>
        </w:rPr>
      </w:pPr>
    </w:p>
    <w:p>
      <w:pPr>
        <w:sectPr>
          <w:pgSz w:w="11900" w:h="16838" w:orient="portrait"/>
          <w:cols w:equalWidth="0" w:num="2">
            <w:col w:w="5133" w:space="720"/>
            <w:col w:w="5387"/>
          </w:cols>
          <w:pgMar w:left="320" w:top="904" w:right="339" w:bottom="1440" w:gutter="0" w:footer="0" w:header="0"/>
          <w:type w:val="continuous"/>
        </w:sectPr>
      </w:pPr>
    </w:p>
    <w:p>
      <w:pPr>
        <w:spacing w:after="0" w:line="202" w:lineRule="exact"/>
        <w:rPr>
          <w:sz w:val="20"/>
          <w:szCs w:val="20"/>
          <w:color w:val="auto"/>
        </w:rPr>
      </w:pPr>
    </w:p>
    <w:p>
      <w:pPr>
        <w:ind w:left="1380"/>
        <w:spacing w:after="0" w:line="258" w:lineRule="auto"/>
        <w:rPr>
          <w:sz w:val="20"/>
          <w:szCs w:val="20"/>
          <w:color w:val="auto"/>
        </w:rPr>
      </w:pPr>
      <w:r>
        <w:rPr>
          <w:rFonts w:ascii="Arial" w:cs="Arial" w:eastAsia="Arial" w:hAnsi="Arial"/>
          <w:sz w:val="18"/>
          <w:szCs w:val="18"/>
          <w:color w:val="auto"/>
        </w:rPr>
        <w:t>Latency of over 30 seconds lasting over 2 hours on Data Set(s).</w:t>
      </w:r>
    </w:p>
    <w:p>
      <w:pPr>
        <w:spacing w:after="0" w:line="20" w:lineRule="exact"/>
        <w:rPr>
          <w:sz w:val="20"/>
          <w:szCs w:val="20"/>
          <w:color w:val="auto"/>
        </w:rPr>
      </w:pPr>
      <w:r>
        <w:rPr>
          <w:sz w:val="20"/>
          <w:szCs w:val="20"/>
          <w:color w:val="auto"/>
        </w:rPr>
        <w:br w:type="column"/>
      </w:r>
    </w:p>
    <w:p>
      <w:pPr>
        <w:ind w:left="327" w:right="200" w:hanging="327"/>
        <w:spacing w:after="0" w:line="260" w:lineRule="auto"/>
        <w:tabs>
          <w:tab w:leader="none" w:pos="27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199" w:lineRule="exact"/>
        <w:rPr>
          <w:sz w:val="20"/>
          <w:szCs w:val="20"/>
          <w:color w:val="auto"/>
        </w:rPr>
      </w:pPr>
    </w:p>
    <w:p>
      <w:pPr>
        <w:sectPr>
          <w:pgSz w:w="11900" w:h="16838" w:orient="portrait"/>
          <w:cols w:equalWidth="0" w:num="2">
            <w:col w:w="5420" w:space="433"/>
            <w:col w:w="5387"/>
          </w:cols>
          <w:pgMar w:left="320" w:top="904" w:right="339" w:bottom="1440" w:gutter="0" w:footer="0" w:header="0"/>
          <w:type w:val="continuous"/>
        </w:sectPr>
      </w:pPr>
    </w:p>
    <w:p>
      <w:pPr>
        <w:ind w:left="5860"/>
        <w:spacing w:after="0"/>
        <w:tabs>
          <w:tab w:leader="none" w:pos="6100" w:val="left"/>
        </w:tabs>
        <w:rPr>
          <w:sz w:val="20"/>
          <w:szCs w:val="20"/>
          <w:color w:val="auto"/>
        </w:rPr>
      </w:pPr>
      <w:r>
        <w:rPr>
          <w:rFonts w:ascii="Arial" w:cs="Arial" w:eastAsia="Arial" w:hAnsi="Arial"/>
          <w:sz w:val="16"/>
          <w:szCs w:val="16"/>
          <w:color w:val="auto"/>
        </w:rPr>
        <w:t>·</w:t>
        <w:tab/>
        <w:t>Upon receipt by Tradeweb of a GRC sublicensee customer’s request,</w:t>
      </w:r>
    </w:p>
    <w:p>
      <w:pPr>
        <w:spacing w:after="0" w:line="32" w:lineRule="exact"/>
        <w:rPr>
          <w:sz w:val="20"/>
          <w:szCs w:val="20"/>
          <w:color w:val="auto"/>
        </w:rPr>
      </w:pPr>
    </w:p>
    <w:p>
      <w:pPr>
        <w:ind w:left="1380"/>
        <w:spacing w:after="0"/>
        <w:tabs>
          <w:tab w:leader="none" w:pos="616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Tradeweb will provide GRC with a customer statement within two (2)</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Business Days of such receipt. GRC will communicate the Tradeweb</w:t>
      </w:r>
    </w:p>
    <w:p>
      <w:pPr>
        <w:spacing w:after="0" w:line="32" w:lineRule="exact"/>
        <w:rPr>
          <w:sz w:val="20"/>
          <w:szCs w:val="20"/>
          <w:color w:val="auto"/>
        </w:rPr>
      </w:pPr>
    </w:p>
    <w:p>
      <w:pPr>
        <w:ind w:left="1380"/>
        <w:spacing w:after="0"/>
        <w:tabs>
          <w:tab w:leader="none" w:pos="6160" w:val="left"/>
        </w:tabs>
        <w:rPr>
          <w:sz w:val="20"/>
          <w:szCs w:val="20"/>
          <w:color w:val="auto"/>
        </w:rPr>
      </w:pPr>
      <w:r>
        <w:rPr>
          <w:rFonts w:ascii="Arial" w:cs="Arial" w:eastAsia="Arial" w:hAnsi="Arial"/>
          <w:sz w:val="18"/>
          <w:szCs w:val="18"/>
          <w:color w:val="auto"/>
        </w:rPr>
        <w:t>Widespread Data corruption of Data Set(s) over 1 hour.</w:t>
      </w:r>
      <w:r>
        <w:rPr>
          <w:sz w:val="20"/>
          <w:szCs w:val="20"/>
          <w:color w:val="auto"/>
        </w:rPr>
        <w:tab/>
      </w:r>
      <w:r>
        <w:rPr>
          <w:rFonts w:ascii="Arial" w:cs="Arial" w:eastAsia="Arial" w:hAnsi="Arial"/>
          <w:sz w:val="16"/>
          <w:szCs w:val="16"/>
          <w:color w:val="auto"/>
        </w:rPr>
        <w:t>customer statement as provided by Tradeweb with no edits 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additional interpretation, however GRC is fully responsible for any</w:t>
      </w:r>
    </w:p>
    <w:p>
      <w:pPr>
        <w:spacing w:after="0" w:line="21" w:lineRule="exact"/>
        <w:rPr>
          <w:sz w:val="20"/>
          <w:szCs w:val="20"/>
          <w:color w:val="auto"/>
        </w:rPr>
      </w:pPr>
    </w:p>
    <w:p>
      <w:pPr>
        <w:ind w:left="1380"/>
        <w:spacing w:after="0"/>
        <w:tabs>
          <w:tab w:leader="none" w:pos="6160" w:val="left"/>
        </w:tabs>
        <w:rPr>
          <w:sz w:val="20"/>
          <w:szCs w:val="20"/>
          <w:color w:val="auto"/>
        </w:rPr>
      </w:pP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additional GRC statements provided to sublicensee customers.</w:t>
      </w:r>
    </w:p>
    <w:p>
      <w:pPr>
        <w:spacing w:after="0" w:line="211" w:lineRule="exact"/>
        <w:rPr>
          <w:sz w:val="20"/>
          <w:szCs w:val="20"/>
          <w:color w:val="auto"/>
        </w:rPr>
      </w:pPr>
    </w:p>
    <w:p>
      <w:pPr>
        <w:ind w:left="1380"/>
        <w:spacing w:after="0"/>
        <w:tabs>
          <w:tab w:leader="none" w:pos="5840" w:val="left"/>
          <w:tab w:leader="none" w:pos="6100" w:val="left"/>
        </w:tabs>
        <w:rPr>
          <w:sz w:val="20"/>
          <w:szCs w:val="20"/>
          <w:color w:val="auto"/>
        </w:rPr>
      </w:pPr>
      <w:r>
        <w:rPr>
          <w:rFonts w:ascii="Arial" w:cs="Arial" w:eastAsia="Arial" w:hAnsi="Arial"/>
          <w:sz w:val="18"/>
          <w:szCs w:val="18"/>
          <w:color w:val="auto"/>
        </w:rPr>
        <w:t>Missing Data 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Root Cause analysis provided to GRC by Tradeweb within one (1)</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Business Day from the time the Root Cause is determined 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Tradeweb.</w:t>
      </w:r>
    </w:p>
    <w:p>
      <w:pPr>
        <w:sectPr>
          <w:pgSz w:w="11900" w:h="16838" w:orient="portrait"/>
          <w:cols w:equalWidth="0" w:num="1">
            <w:col w:w="1124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 High</w:t>
            </w:r>
          </w:p>
        </w:tc>
        <w:tc>
          <w:tcPr>
            <w:tcW w:w="4540" w:type="dxa"/>
            <w:vAlign w:val="bottom"/>
          </w:tcPr>
          <w:p>
            <w:pPr>
              <w:ind w:left="260"/>
              <w:spacing w:after="0"/>
              <w:rPr>
                <w:sz w:val="20"/>
                <w:szCs w:val="20"/>
                <w:color w:val="auto"/>
              </w:rPr>
            </w:pPr>
            <w:r>
              <w:rPr>
                <w:rFonts w:ascii="Arial" w:cs="Arial" w:eastAsia="Arial" w:hAnsi="Arial"/>
                <w:sz w:val="18"/>
                <w:szCs w:val="18"/>
                <w:color w:val="auto"/>
                <w:w w:val="93"/>
              </w:rPr>
              <w:t>Latency of more than 30 seconds for less than two hours.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(Serious)</w:t>
            </w:r>
          </w:p>
        </w:tc>
        <w:tc>
          <w:tcPr>
            <w:tcW w:w="4540" w:type="dxa"/>
            <w:vAlign w:val="bottom"/>
            <w:vMerge w:val="restart"/>
          </w:tcPr>
          <w:p>
            <w:pPr>
              <w:ind w:left="26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w w:val="94"/>
              </w:rPr>
              <w:t>Missing data from Data Set over market (Eurobonds, US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Treasuries, etc.).</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Continual corrupt data for 1 hour for any Data Set.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w w:val="91"/>
              </w:rPr>
              <w:t>Missing data on highly liquid Data Set (UST, US Agencies,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etc.).</w:t>
            </w:r>
          </w:p>
        </w:tc>
        <w:tc>
          <w:tcPr>
            <w:tcW w:w="0" w:type="dxa"/>
            <w:vAlign w:val="bottom"/>
          </w:tcPr>
          <w:p>
            <w:pPr>
              <w:spacing w:after="0"/>
              <w:rPr>
                <w:sz w:val="1"/>
                <w:szCs w:val="1"/>
                <w:color w:val="auto"/>
              </w:rPr>
            </w:pPr>
          </w:p>
        </w:tc>
      </w:tr>
      <w:tr>
        <w:trPr>
          <w:trHeight w:val="648"/>
        </w:trPr>
        <w:tc>
          <w:tcPr>
            <w:tcW w:w="1120" w:type="dxa"/>
            <w:vAlign w:val="bottom"/>
          </w:tcPr>
          <w:p>
            <w:pPr>
              <w:spacing w:after="0"/>
              <w:rPr>
                <w:sz w:val="20"/>
                <w:szCs w:val="20"/>
                <w:color w:val="auto"/>
              </w:rPr>
            </w:pPr>
            <w:r>
              <w:rPr>
                <w:rFonts w:ascii="Arial" w:cs="Arial" w:eastAsia="Arial" w:hAnsi="Arial"/>
                <w:sz w:val="18"/>
                <w:szCs w:val="18"/>
                <w:color w:val="auto"/>
              </w:rPr>
              <w:t>3 – Medium</w:t>
            </w:r>
          </w:p>
        </w:tc>
        <w:tc>
          <w:tcPr>
            <w:tcW w:w="4540" w:type="dxa"/>
            <w:vAlign w:val="bottom"/>
          </w:tcPr>
          <w:p>
            <w:pPr>
              <w:ind w:left="260"/>
              <w:spacing w:after="0"/>
              <w:rPr>
                <w:sz w:val="20"/>
                <w:szCs w:val="20"/>
                <w:color w:val="auto"/>
              </w:rPr>
            </w:pPr>
            <w:r>
              <w:rPr>
                <w:rFonts w:ascii="Arial" w:cs="Arial" w:eastAsia="Arial" w:hAnsi="Arial"/>
                <w:sz w:val="18"/>
                <w:szCs w:val="18"/>
                <w:color w:val="auto"/>
              </w:rPr>
              <w:t>Intermittent corruption of data.</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w w:val="93"/>
              </w:rPr>
              <w:t>Missing data of remaining data sets (outside of country or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highly liquid items).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327" w:right="80" w:hanging="327"/>
        <w:spacing w:after="0" w:line="277" w:lineRule="auto"/>
        <w:tabs>
          <w:tab w:leader="none" w:pos="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GRC may require a meeting with Tradeweb senior management when critical issues are escalated.</w:t>
      </w:r>
    </w:p>
    <w:p>
      <w:pPr>
        <w:spacing w:after="0" w:line="170" w:lineRule="exact"/>
        <w:rPr>
          <w:rFonts w:ascii="Arial" w:cs="Arial" w:eastAsia="Arial" w:hAnsi="Arial"/>
          <w:sz w:val="18"/>
          <w:szCs w:val="18"/>
          <w:color w:val="auto"/>
        </w:rPr>
      </w:pPr>
    </w:p>
    <w:p>
      <w:pPr>
        <w:ind w:left="327" w:right="40" w:hanging="327"/>
        <w:spacing w:after="0" w:line="277" w:lineRule="auto"/>
        <w:tabs>
          <w:tab w:leader="none" w:pos="2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Tradeweb Support Desk to call GRC within 15 minutes in the instance that stale data /corruption is identified by Tradeweb.</w:t>
      </w:r>
    </w:p>
    <w:p>
      <w:pPr>
        <w:spacing w:after="0" w:line="170" w:lineRule="exact"/>
        <w:rPr>
          <w:rFonts w:ascii="Arial" w:cs="Arial" w:eastAsia="Arial" w:hAnsi="Arial"/>
          <w:sz w:val="18"/>
          <w:szCs w:val="18"/>
          <w:color w:val="auto"/>
        </w:rPr>
      </w:pPr>
    </w:p>
    <w:p>
      <w:pPr>
        <w:ind w:left="327" w:right="200" w:hanging="327"/>
        <w:spacing w:after="0" w:line="277" w:lineRule="auto"/>
        <w:tabs>
          <w:tab w:leader="none" w:pos="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170" w:lineRule="exact"/>
        <w:rPr>
          <w:rFonts w:ascii="Arial" w:cs="Arial" w:eastAsia="Arial" w:hAnsi="Arial"/>
          <w:sz w:val="18"/>
          <w:szCs w:val="18"/>
          <w:color w:val="auto"/>
        </w:rPr>
      </w:pPr>
    </w:p>
    <w:p>
      <w:pPr>
        <w:ind w:left="327" w:right="20" w:hanging="327"/>
        <w:spacing w:after="0" w:line="273" w:lineRule="auto"/>
        <w:tabs>
          <w:tab w:leader="none" w:pos="27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Upon receipt by Tradeweb of a GRC sublicensee customer’s request, Tradeweb will provide GRC with a customer statement within two (2) Business Days of receipt. GRC will communicate the customer statement as provided by Tradeweb with no edits or additional interpretation, however GRC is fully responsible for any additional GRC statements provided to sublicensee customers.</w:t>
      </w:r>
    </w:p>
    <w:p>
      <w:pPr>
        <w:spacing w:after="0" w:line="177" w:lineRule="exact"/>
        <w:rPr>
          <w:rFonts w:ascii="Arial" w:cs="Arial" w:eastAsia="Arial" w:hAnsi="Arial"/>
          <w:sz w:val="17"/>
          <w:szCs w:val="17"/>
          <w:color w:val="auto"/>
        </w:rPr>
      </w:pPr>
    </w:p>
    <w:p>
      <w:pPr>
        <w:ind w:left="327" w:right="320" w:hanging="327"/>
        <w:spacing w:after="0" w:line="263" w:lineRule="auto"/>
        <w:tabs>
          <w:tab w:leader="none" w:pos="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Root Cause analysis provided to GRC by Tradeweb within one (1) Business Day from the time the Root Cause is determined by Tradeweb.</w:t>
      </w:r>
    </w:p>
    <w:p>
      <w:pPr>
        <w:spacing w:after="0" w:line="183" w:lineRule="exact"/>
        <w:rPr>
          <w:rFonts w:ascii="Arial" w:cs="Arial" w:eastAsia="Arial" w:hAnsi="Arial"/>
          <w:sz w:val="18"/>
          <w:szCs w:val="18"/>
          <w:color w:val="auto"/>
        </w:rPr>
      </w:pPr>
    </w:p>
    <w:p>
      <w:pPr>
        <w:ind w:left="327" w:right="40" w:hanging="327"/>
        <w:spacing w:after="0" w:line="277" w:lineRule="auto"/>
        <w:tabs>
          <w:tab w:leader="none" w:pos="2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Tradeweb Support Desk to call GRC within 20 minutes in the instance that stale data /corruption is identified by Tradeweb.</w:t>
      </w:r>
    </w:p>
    <w:p>
      <w:pPr>
        <w:spacing w:after="0" w:line="170" w:lineRule="exact"/>
        <w:rPr>
          <w:rFonts w:ascii="Arial" w:cs="Arial" w:eastAsia="Arial" w:hAnsi="Arial"/>
          <w:sz w:val="18"/>
          <w:szCs w:val="18"/>
          <w:color w:val="auto"/>
        </w:rPr>
      </w:pPr>
    </w:p>
    <w:p>
      <w:pPr>
        <w:ind w:left="327" w:right="200" w:hanging="327"/>
        <w:spacing w:after="0" w:line="277" w:lineRule="auto"/>
        <w:tabs>
          <w:tab w:leader="none" w:pos="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170" w:lineRule="exact"/>
        <w:rPr>
          <w:rFonts w:ascii="Arial" w:cs="Arial" w:eastAsia="Arial" w:hAnsi="Arial"/>
          <w:sz w:val="18"/>
          <w:szCs w:val="18"/>
          <w:color w:val="auto"/>
        </w:rPr>
      </w:pPr>
    </w:p>
    <w:p>
      <w:pPr>
        <w:ind w:left="327" w:hanging="327"/>
        <w:spacing w:after="0" w:line="263" w:lineRule="auto"/>
        <w:tabs>
          <w:tab w:leader="none" w:pos="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GRC may request that Tradeweb to conduct Root Cause analysis on some severity 3 items owed to GRC within three (3) Business Days of the occurrence of the Severity 3 event.</w:t>
      </w:r>
    </w:p>
    <w:p>
      <w:pPr>
        <w:sectPr>
          <w:pgSz w:w="11900" w:h="16838" w:orient="portrait"/>
          <w:cols w:equalWidth="0" w:num="2">
            <w:col w:w="5660" w:space="193"/>
            <w:col w:w="5387"/>
          </w:cols>
          <w:pgMar w:left="320" w:top="904" w:right="339" w:bottom="1440" w:gutter="0" w:footer="0" w:header="0"/>
          <w:type w:val="continuous"/>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ind w:left="40"/>
        <w:spacing w:after="0"/>
        <w:tabs>
          <w:tab w:leader="none" w:pos="1420" w:val="left"/>
        </w:tabs>
        <w:rPr>
          <w:sz w:val="20"/>
          <w:szCs w:val="20"/>
          <w:color w:val="auto"/>
        </w:rPr>
      </w:pPr>
      <w:r>
        <w:rPr>
          <w:rFonts w:ascii="Arial" w:cs="Arial" w:eastAsia="Arial" w:hAnsi="Arial"/>
          <w:sz w:val="18"/>
          <w:szCs w:val="18"/>
          <w:color w:val="auto"/>
        </w:rPr>
        <w:t>4 – Minor</w:t>
      </w:r>
      <w:r>
        <w:rPr>
          <w:sz w:val="20"/>
          <w:szCs w:val="20"/>
          <w:color w:val="auto"/>
        </w:rPr>
        <w:tab/>
      </w:r>
      <w:r>
        <w:rPr>
          <w:rFonts w:ascii="Arial" w:cs="Arial" w:eastAsia="Arial" w:hAnsi="Arial"/>
          <w:sz w:val="16"/>
          <w:szCs w:val="16"/>
          <w:color w:val="auto"/>
        </w:rPr>
        <w:t>GRC has a query on one or more elements within a Data</w:t>
      </w:r>
    </w:p>
    <w:p>
      <w:pPr>
        <w:spacing w:after="0" w:line="23" w:lineRule="exact"/>
        <w:rPr>
          <w:sz w:val="20"/>
          <w:szCs w:val="20"/>
          <w:color w:val="auto"/>
        </w:rPr>
      </w:pPr>
    </w:p>
    <w:p>
      <w:pPr>
        <w:ind w:left="1440"/>
        <w:spacing w:after="0" w:line="255" w:lineRule="auto"/>
        <w:rPr>
          <w:sz w:val="20"/>
          <w:szCs w:val="20"/>
          <w:color w:val="auto"/>
        </w:rPr>
      </w:pPr>
      <w:r>
        <w:rPr>
          <w:rFonts w:ascii="Arial" w:cs="Arial" w:eastAsia="Arial" w:hAnsi="Arial"/>
          <w:sz w:val="18"/>
          <w:szCs w:val="18"/>
          <w:color w:val="auto"/>
        </w:rPr>
        <w:t>Set and requires Tradeweb to validate such data element or clarify the lack of updates on a small sub-set of data records.</w:t>
      </w:r>
    </w:p>
    <w:p>
      <w:pPr>
        <w:spacing w:after="0" w:line="190" w:lineRule="exact"/>
        <w:rPr>
          <w:sz w:val="20"/>
          <w:szCs w:val="20"/>
          <w:color w:val="auto"/>
        </w:rPr>
      </w:pPr>
    </w:p>
    <w:p>
      <w:pPr>
        <w:ind w:left="1440" w:right="20"/>
        <w:spacing w:after="0" w:line="263" w:lineRule="auto"/>
        <w:rPr>
          <w:sz w:val="20"/>
          <w:szCs w:val="20"/>
          <w:color w:val="auto"/>
        </w:rPr>
      </w:pPr>
      <w:r>
        <w:rPr>
          <w:rFonts w:ascii="Arial" w:cs="Arial" w:eastAsia="Arial" w:hAnsi="Arial"/>
          <w:sz w:val="18"/>
          <w:szCs w:val="18"/>
          <w:color w:val="auto"/>
        </w:rPr>
        <w:t>Impacts data quality/quantity without completely disabling GRC sublicensee customers from using the sub-set of Licensed Data.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33" w:right="280" w:hanging="333"/>
        <w:spacing w:after="0" w:line="277" w:lineRule="auto"/>
        <w:tabs>
          <w:tab w:leader="none" w:pos="27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Tradeweb to respond within one (1) hour of receipt acknowledging receipt of the query.</w:t>
      </w:r>
    </w:p>
    <w:p>
      <w:pPr>
        <w:spacing w:after="0" w:line="170" w:lineRule="exact"/>
        <w:rPr>
          <w:rFonts w:ascii="Arial" w:cs="Arial" w:eastAsia="Arial" w:hAnsi="Arial"/>
          <w:sz w:val="18"/>
          <w:szCs w:val="18"/>
          <w:color w:val="auto"/>
        </w:rPr>
      </w:pPr>
    </w:p>
    <w:p>
      <w:pPr>
        <w:ind w:left="333" w:right="200" w:hanging="333"/>
        <w:spacing w:after="0" w:line="277" w:lineRule="auto"/>
        <w:tabs>
          <w:tab w:leader="none" w:pos="27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814" w:lineRule="exact"/>
        <w:rPr>
          <w:sz w:val="20"/>
          <w:szCs w:val="20"/>
          <w:color w:val="auto"/>
        </w:rPr>
      </w:pPr>
    </w:p>
    <w:p>
      <w:pPr>
        <w:sectPr>
          <w:pgSz w:w="11900" w:h="16838" w:orient="portrait"/>
          <w:cols w:equalWidth="0" w:num="2">
            <w:col w:w="5700" w:space="167"/>
            <w:col w:w="5373"/>
          </w:cols>
          <w:pgMar w:left="320" w:top="904"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Section 3</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Tradeweb is responsible for formally communicating to GRC about any material changes made to the Licensed Data, tags, data definitions, coverage, data feeds or the data delivery systems. Changes are divided into major, minor and exceptional and each type requires a minimum notification period that Tradeweb needs to provide GRC so that it can prepare for such changes. For the avoidance of doubt, this Section 3 shall apply to major, minor and exceptional changes, whatever their cause, including without limitation any such changes resulting from or necessitated by any Third Party Agreement entered into by Tradeweb during the term of this Second A&amp;R Agreement.</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order to help understand the implications of changes and manage the process smoothly, Tradeweb will establish, formalise and make available to GRC a data dictionary. In addition Tradeweb and GRC will agree on a set of critical tags on the Tradeweb feed/s and any change to these tags will be considered a major change and require agreement on both the change and the scheduling of the change from both Tradeweb and GRC.</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Tradeweb is also responsible for setting and communicating its procedures through which it will control modifications to its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Management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Major Change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Tradeweb will provide a minimum of ninety (90) days’ notice for Major Change projects unless such notice is not permitted or practicable as a reasonable result of changes in regulation or market convention.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13" w:name="page314"/>
    <w:bookmarkEnd w:id="313"/>
    <w:p>
      <w:pPr>
        <w:ind w:left="4860"/>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major changes. A Major Change is defined as:</w:t>
      </w:r>
    </w:p>
    <w:p>
      <w:pPr>
        <w:spacing w:after="0" w:line="225" w:lineRule="exact"/>
        <w:rPr>
          <w:sz w:val="20"/>
          <w:szCs w:val="20"/>
          <w:color w:val="auto"/>
        </w:rPr>
      </w:pPr>
    </w:p>
    <w:p>
      <w:pPr>
        <w:ind w:left="660" w:hanging="328"/>
        <w:spacing w:after="0" w:line="27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change that will cause a material service disruption if GRC is unable to implement the required changes prior to Tradeweb rolling out the change;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change that causes a significant portion of the feed to stop updating (greater than fifty percent (50%) of the feed);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change that requires GRC to carry out a significant amount of work to implement the change (more than thirty (30) working days continuous development work).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any of the above are true for any proposed change from Tradeweb to any material portion of the Licensed Data, then Tradeweb will use commercially reasonable efforts to provide a sixty (60) day parallel run of old and new data files prior to cutting over if the feed is a streaming feed from Tradeweb, unless Tradeweb determines in consultation with GRC that it is reasonably necessary to release the change sooner than sixty (60) days, in which case Tradeweb will provide at least fifteen (15) days of such parallel run. GRC will evaluate the work required and provide Tradeweb an estimated release date within five (5) Business Days of notification. Both GRC and Tradeweb will then agree upon a mutually acceptable development and release schedule, provided that Tradeweb may make any release in its discretion to support its own business. GRC will make best endeavours to support such a release schedule.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Examples of Major Changes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examples of major changes (not an exhaustive list):</w:t>
      </w:r>
    </w:p>
    <w:p>
      <w:pPr>
        <w:spacing w:after="0" w:line="225"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Tradeweb changes the feed delivery mechanism, data files, message formats, etc.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Tradeweb changes the location into which it feeds the data to GRC.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Should a Severity 1, 2 or 3 event occur due to Tradeweb failing to provide the minimum notice period, then the associated SLA events will be triggered.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Minor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minor change constitutes one that requires less than fifteen (15) days’ work for GRC to implement. Tradeweb will provide a minimum of fifteen</w:t>
      </w:r>
    </w:p>
    <w:p>
      <w:pPr>
        <w:spacing w:after="0" w:line="46" w:lineRule="exact"/>
        <w:rPr>
          <w:sz w:val="20"/>
          <w:szCs w:val="20"/>
          <w:color w:val="auto"/>
        </w:rPr>
      </w:pPr>
    </w:p>
    <w:p>
      <w:pPr>
        <w:jc w:val="both"/>
        <w:ind w:firstLine="8"/>
        <w:spacing w:after="0" w:line="255" w:lineRule="auto"/>
        <w:tabs>
          <w:tab w:leader="none" w:pos="3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days’ notice before such changes are implemented and rolled out to production,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notice period is subject to market conditions that may not allow Tradeweb to provide such notice. In such case, Tradeweb shall provide as much prior notice as is reasonably practicable under the circumstances.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Examples of Minor Changes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examples of minor changes (not an exhaustive list):</w:t>
      </w:r>
    </w:p>
    <w:p>
      <w:pPr>
        <w:spacing w:after="0" w:line="225"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Large new set of instruments added to a feed (&gt;25 records).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New data fields added to the files without changing the existing format. Hence not a production impact if the new fields are not read.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Should a Severity 1, 2 or 3 event occur due to Tradeweb failing to provide the minimum notice period, then the associated SLA events will be triggered.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Exceptional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represents large scale changes which require notification periods greater than 120 days and will be agreed upon by Tradeweb and GRC.</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Examples of Exceptional Changes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examples of exceptional changes (not an exhaustive list):</w:t>
      </w:r>
    </w:p>
    <w:p>
      <w:pPr>
        <w:spacing w:after="0" w:line="225" w:lineRule="exact"/>
        <w:rPr>
          <w:sz w:val="20"/>
          <w:szCs w:val="20"/>
          <w:color w:val="auto"/>
        </w:rPr>
      </w:pPr>
    </w:p>
    <w:p>
      <w:pPr>
        <w:ind w:left="660" w:right="2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Changes to technical specifications related to network protocols or application level protocols, feed/file format, migration to a new feed or data file formats.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Implementation of a New Market Data Set.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event that a change is required for regulatory or trading convention changes, Tradeweb will notify GRC as soon as practicable of becoming aware that the change will impact Licensed Data.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GRC will endeavour to work with Tradeweb on exceptional changes to ensure that release times are kept to a minimum.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Should a Severity 1, 2 or 3 event occur due to Tradeweb failing to provide the minimum notice period, then the associated SLA events will be triggered.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Data Removal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Tradeweb will provide GRC with a minimum of thirty (30) days’ notice prior to material data removal on the feeds of Licensed Data,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notice period is subject to market conditions that may not allow Tradeweb to provide such notice. In such case, Tradeweb shall provide as much prior notice as is reasonably practicable under the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E-Mail Distribution List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facilitate efficient implementation of scheduled interruptions and ongoing maintenance, Tradeweb will send notification and supporting documentation via e-mail to an established GRC mailbox (e.g., rdacontributedpricing@thomsonreuters.com) from which GRC can distribute the information internally and an up-to-date distribution list supplied by GRC. In addition, each Party will ensure that its escalation and contact information remains current and will review and verify the accuracy of such information on at least an annual basis.</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Unplanned Interruptions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It is critical that Tradeweb notify GRC about unscheduled interruptions/outages. The following recommendations are limited to issues related to notification schedules/communication processes and include the following elements:</w:t>
      </w:r>
    </w:p>
    <w:p>
      <w:pPr>
        <w:spacing w:after="0" w:line="170"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Initial notice of problem including what is affected and an estimate for restoring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Periodic follow-up, subject to the notifications below, until the problem is resolved.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Notice when service has been restored.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a GRC sublicensee customer’s request, a description of the problem and when it was, or will be, fixed, and as appropriate and determined by Tradeweb, how the problem was fixed will be provided by Tradeweb. All communications to GRC sublicensee customers shall be identical to any such descriptions provided by Tradeweb, although GRC reserves the right to comment separately.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Immediate Notification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Tradeweb will, as soon as practicable, notify GRC of any unplanned interruption to service. Initial notice will describe the problem, outline what Licensed Data is affected and describe which systems are affected with estimated resolution times.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Communications Systems or Equipment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outage is the result of a communications problem, Tradeweb will provide details of the entity responsible for fixing the problem (e.g., the ticker development department at Tradeweb or GRC sublicensee) and describe whether a restart of downstream devices or restart of an IP session is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Dedicated Resource for Communication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GRC will utilize the escalation contacts during unplanned interruption to service. The ‘Support and Escalation Procedures’ section indicates points of contact at Tradeweb within Support Hours to initiate notices to GRC and respond to any necessary inquiries from representatives at GRC. This Person should not also be responsible for recovery of the service to ensure that there is no conflict with the requirement for customer notification and support.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Notification Procedure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will be via all appropriate and available electronic mechanisms including telephone, e-mail, web site, and pager, etc.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Restoration Projection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(or reasonable projection) of when service will be restored will be provided as soon as possible. Before the service restoration time is known, Tradeweb will provide next projected status update times on a regular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center"/>
        <w:ind w:right="-19"/>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longer outages, Tradeweb will provide periodic status updates indicating progress toward resolution and an estimate of the resolution timeframe. The frequency of these updates will be provided based on the estimated resolution times as per the following schedule:</w:t>
      </w:r>
    </w:p>
    <w:p>
      <w:pPr>
        <w:spacing w:after="0" w:line="165" w:lineRule="exact"/>
        <w:rPr>
          <w:sz w:val="20"/>
          <w:szCs w:val="20"/>
          <w:color w:val="auto"/>
        </w:rPr>
      </w:pPr>
    </w:p>
    <w:tbl>
      <w:tblPr>
        <w:tblLayout w:type="fixed"/>
        <w:tblInd w:w="2830" w:type="dxa"/>
        <w:tblCellMar>
          <w:top w:w="0" w:type="dxa"/>
          <w:left w:w="0" w:type="dxa"/>
          <w:bottom w:w="0" w:type="dxa"/>
          <w:right w:w="0" w:type="dxa"/>
        </w:tblCellMar>
      </w:tblPr>
      <w:tr>
        <w:trPr>
          <w:trHeight w:val="306"/>
        </w:trPr>
        <w:tc>
          <w:tcPr>
            <w:tcW w:w="22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Estimated Resolution</w:t>
            </w:r>
          </w:p>
        </w:tc>
        <w:tc>
          <w:tcPr>
            <w:tcW w:w="3360" w:type="dxa"/>
            <w:vAlign w:val="bottom"/>
            <w:tcBorders>
              <w:top w:val="single" w:sz="8" w:color="auto"/>
              <w:right w:val="single" w:sz="8" w:color="auto"/>
            </w:tcBorders>
          </w:tcPr>
          <w:p>
            <w:pPr>
              <w:spacing w:after="0"/>
              <w:rPr>
                <w:sz w:val="24"/>
                <w:szCs w:val="24"/>
                <w:color w:val="auto"/>
              </w:rPr>
            </w:pPr>
          </w:p>
        </w:tc>
      </w:tr>
      <w:tr>
        <w:trPr>
          <w:trHeight w:val="234"/>
        </w:trPr>
        <w:tc>
          <w:tcPr>
            <w:tcW w:w="2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Times</w:t>
            </w:r>
          </w:p>
        </w:tc>
        <w:tc>
          <w:tcPr>
            <w:tcW w:w="336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Frequency of Updates</w:t>
            </w:r>
          </w:p>
        </w:tc>
      </w:tr>
      <w:tr>
        <w:trPr>
          <w:trHeight w:val="304"/>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&lt; 3 hours</w:t>
            </w:r>
          </w:p>
        </w:tc>
        <w:tc>
          <w:tcPr>
            <w:tcW w:w="3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Every 1 hour or less –</w:t>
            </w:r>
          </w:p>
        </w:tc>
      </w:tr>
      <w:tr>
        <w:trPr>
          <w:trHeight w:val="94"/>
        </w:trPr>
        <w:tc>
          <w:tcPr>
            <w:tcW w:w="2260" w:type="dxa"/>
            <w:vAlign w:val="bottom"/>
            <w:tcBorders>
              <w:left w:val="single" w:sz="8" w:color="auto"/>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r>
      <w:tr>
        <w:trPr>
          <w:trHeight w:val="304"/>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to 24 hours</w:t>
            </w:r>
          </w:p>
        </w:tc>
        <w:tc>
          <w:tcPr>
            <w:tcW w:w="3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Every 2 hours</w:t>
            </w:r>
          </w:p>
        </w:tc>
      </w:tr>
      <w:tr>
        <w:trPr>
          <w:trHeight w:val="95"/>
        </w:trPr>
        <w:tc>
          <w:tcPr>
            <w:tcW w:w="2260" w:type="dxa"/>
            <w:vAlign w:val="bottom"/>
            <w:tcBorders>
              <w:left w:val="single" w:sz="8" w:color="auto"/>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r>
      <w:tr>
        <w:trPr>
          <w:trHeight w:val="304"/>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24+ hours</w:t>
            </w:r>
          </w:p>
        </w:tc>
        <w:tc>
          <w:tcPr>
            <w:tcW w:w="3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Daily updates</w:t>
            </w:r>
          </w:p>
        </w:tc>
      </w:tr>
      <w:tr>
        <w:trPr>
          <w:trHeight w:val="94"/>
        </w:trPr>
        <w:tc>
          <w:tcPr>
            <w:tcW w:w="2260" w:type="dxa"/>
            <w:vAlign w:val="bottom"/>
            <w:tcBorders>
              <w:left w:val="single" w:sz="8" w:color="auto"/>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Restart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resolution also requires GRC to restart a system or an IP session, it must be communicated to GRC.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 Restoration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Notification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Tradeweb will provide notice that the service has been restored as soon as possible. The notice will indicate whether restoration is partial or full. Such notice will also distinguish any data elements that remain corrupted from the universe that is accurate and reliable for client use. The notice will provide updated or corrected times of when the incident began and when it was resolved.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Under Investigation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matter is still under investigation, this will be explained and further updates will be provided to fill in missing details.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Final Description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 GRC request, Tradeweb will provide an appropriate written description, to the extent known, and a resolution to the problem, to the extent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Support and Escalation Procedures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Tradeweb is responsible for providing GRC with a support and escalation structure/procedure through which issues are raised. GRC has the right to escalate any issues through this structure to ensure such issues are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tbl>
      <w:tblPr>
        <w:tblLayout w:type="fixed"/>
        <w:tblInd w:w="1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3760" w:type="dxa"/>
            <w:vAlign w:val="bottom"/>
          </w:tcPr>
          <w:p>
            <w:pPr>
              <w:spacing w:after="0"/>
              <w:rPr>
                <w:sz w:val="20"/>
                <w:szCs w:val="20"/>
                <w:color w:val="auto"/>
              </w:rPr>
            </w:pPr>
          </w:p>
        </w:tc>
      </w:tr>
      <w:tr>
        <w:trPr>
          <w:trHeight w:val="213"/>
        </w:trPr>
        <w:tc>
          <w:tcPr>
            <w:tcW w:w="7480" w:type="dxa"/>
            <w:vAlign w:val="bottom"/>
            <w:tcBorders>
              <w:bottom w:val="single" w:sz="8" w:color="auto"/>
            </w:tcBorders>
            <w:gridSpan w:val="3"/>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r>
      <w:tr>
        <w:trPr>
          <w:trHeight w:val="234"/>
        </w:trPr>
        <w:tc>
          <w:tcPr>
            <w:tcW w:w="748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Initial contacts for Tradeweb regarding all issues (data &amp; systems):</w:t>
            </w:r>
          </w:p>
        </w:tc>
        <w:tc>
          <w:tcPr>
            <w:tcW w:w="3760" w:type="dxa"/>
            <w:vAlign w:val="bottom"/>
            <w:tcBorders>
              <w:right w:val="single" w:sz="8" w:color="auto"/>
            </w:tcBorders>
          </w:tcPr>
          <w:p>
            <w:pPr>
              <w:spacing w:after="0"/>
              <w:rPr>
                <w:sz w:val="20"/>
                <w:szCs w:val="20"/>
                <w:color w:val="auto"/>
              </w:rPr>
            </w:pPr>
          </w:p>
        </w:tc>
      </w:tr>
      <w:tr>
        <w:trPr>
          <w:trHeight w:val="410"/>
        </w:trPr>
        <w:tc>
          <w:tcPr>
            <w:tcW w:w="2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Tradeweb Customer Support –</w:t>
            </w:r>
          </w:p>
        </w:tc>
        <w:tc>
          <w:tcPr>
            <w:tcW w:w="2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r>
      <w:tr>
        <w:trPr>
          <w:trHeight w:val="432"/>
        </w:trPr>
        <w:tc>
          <w:tcPr>
            <w:tcW w:w="2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2"/>
              </w:rPr>
              <w:t>Tradeweb Customer Support Email –</w:t>
            </w:r>
          </w:p>
        </w:tc>
        <w:tc>
          <w:tcPr>
            <w:tcW w:w="2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r>
      <w:tr>
        <w:trPr>
          <w:trHeight w:val="648"/>
        </w:trPr>
        <w:tc>
          <w:tcPr>
            <w:tcW w:w="2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Contact Details</w:t>
            </w:r>
          </w:p>
        </w:tc>
        <w:tc>
          <w:tcPr>
            <w:tcW w:w="2080" w:type="dxa"/>
            <w:vAlign w:val="bottom"/>
          </w:tcPr>
          <w:p>
            <w:pPr>
              <w:ind w:left="60"/>
              <w:spacing w:after="0"/>
              <w:rPr>
                <w:sz w:val="20"/>
                <w:szCs w:val="20"/>
                <w:color w:val="auto"/>
              </w:rPr>
            </w:pPr>
            <w:r>
              <w:rPr>
                <w:rFonts w:ascii="Arial" w:cs="Arial" w:eastAsia="Arial" w:hAnsi="Arial"/>
                <w:sz w:val="18"/>
                <w:szCs w:val="18"/>
                <w:color w:val="auto"/>
              </w:rPr>
              <w:t>Hrs of coverage</w:t>
            </w:r>
          </w:p>
        </w:tc>
        <w:tc>
          <w:tcPr>
            <w:tcW w:w="2620" w:type="dxa"/>
            <w:vAlign w:val="bottom"/>
          </w:tcPr>
          <w:p>
            <w:pPr>
              <w:ind w:left="760"/>
              <w:spacing w:after="0"/>
              <w:rPr>
                <w:sz w:val="20"/>
                <w:szCs w:val="20"/>
                <w:color w:val="auto"/>
              </w:rPr>
            </w:pPr>
            <w:r>
              <w:rPr>
                <w:rFonts w:ascii="Arial" w:cs="Arial" w:eastAsia="Arial" w:hAnsi="Arial"/>
                <w:sz w:val="18"/>
                <w:szCs w:val="18"/>
                <w:color w:val="auto"/>
              </w:rPr>
              <w:t>Work Phone</w:t>
            </w:r>
          </w:p>
        </w:tc>
        <w:tc>
          <w:tcPr>
            <w:tcW w:w="3760" w:type="dxa"/>
            <w:vAlign w:val="bottom"/>
            <w:tcBorders>
              <w:right w:val="single" w:sz="8" w:color="auto"/>
            </w:tcBorders>
          </w:tcPr>
          <w:p>
            <w:pPr>
              <w:spacing w:after="0"/>
              <w:rPr>
                <w:sz w:val="24"/>
                <w:szCs w:val="24"/>
                <w:color w:val="auto"/>
              </w:rPr>
            </w:pPr>
          </w:p>
        </w:tc>
      </w:tr>
      <w:tr>
        <w:trPr>
          <w:trHeight w:val="432"/>
        </w:trPr>
        <w:tc>
          <w:tcPr>
            <w:tcW w:w="48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Initial contacts for Refinitiv Customer Support/Systems Team:</w:t>
            </w:r>
          </w:p>
        </w:tc>
        <w:tc>
          <w:tcPr>
            <w:tcW w:w="262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r>
      <w:tr>
        <w:trPr>
          <w:trHeight w:val="432"/>
        </w:trPr>
        <w:tc>
          <w:tcPr>
            <w:tcW w:w="2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Development Staff</w:t>
            </w:r>
          </w:p>
        </w:tc>
        <w:tc>
          <w:tcPr>
            <w:tcW w:w="2080" w:type="dxa"/>
            <w:vAlign w:val="bottom"/>
          </w:tcPr>
          <w:p>
            <w:pPr>
              <w:ind w:left="60"/>
              <w:spacing w:after="0"/>
              <w:rPr>
                <w:sz w:val="20"/>
                <w:szCs w:val="20"/>
                <w:color w:val="auto"/>
              </w:rPr>
            </w:pPr>
            <w:r>
              <w:rPr>
                <w:rFonts w:ascii="Arial" w:cs="Arial" w:eastAsia="Arial" w:hAnsi="Arial"/>
                <w:sz w:val="18"/>
                <w:szCs w:val="18"/>
                <w:color w:val="auto"/>
              </w:rPr>
              <w:t>Hrs of coverage</w:t>
            </w:r>
          </w:p>
        </w:tc>
        <w:tc>
          <w:tcPr>
            <w:tcW w:w="2620" w:type="dxa"/>
            <w:vAlign w:val="bottom"/>
          </w:tcPr>
          <w:p>
            <w:pPr>
              <w:ind w:left="760"/>
              <w:spacing w:after="0"/>
              <w:rPr>
                <w:sz w:val="20"/>
                <w:szCs w:val="20"/>
                <w:color w:val="auto"/>
              </w:rPr>
            </w:pPr>
            <w:r>
              <w:rPr>
                <w:rFonts w:ascii="Arial" w:cs="Arial" w:eastAsia="Arial" w:hAnsi="Arial"/>
                <w:sz w:val="18"/>
                <w:szCs w:val="18"/>
                <w:color w:val="auto"/>
              </w:rPr>
              <w:t>Work Phone</w:t>
            </w:r>
          </w:p>
        </w:tc>
        <w:tc>
          <w:tcPr>
            <w:tcW w:w="3760" w:type="dxa"/>
            <w:vAlign w:val="bottom"/>
            <w:tcBorders>
              <w:right w:val="single" w:sz="8" w:color="auto"/>
            </w:tcBorders>
          </w:tcPr>
          <w:p>
            <w:pPr>
              <w:spacing w:after="0"/>
              <w:rPr>
                <w:sz w:val="24"/>
                <w:szCs w:val="24"/>
                <w:color w:val="auto"/>
              </w:rPr>
            </w:pPr>
          </w:p>
        </w:tc>
      </w:tr>
      <w:tr>
        <w:trPr>
          <w:trHeight w:val="442"/>
        </w:trPr>
        <w:tc>
          <w:tcPr>
            <w:tcW w:w="2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Data Operations Staff</w:t>
            </w: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Hrs of coverage</w:t>
            </w:r>
          </w:p>
        </w:tc>
        <w:tc>
          <w:tcPr>
            <w:tcW w:w="26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Work Phone</w:t>
            </w:r>
          </w:p>
        </w:tc>
        <w:tc>
          <w:tcPr>
            <w:tcW w:w="376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Cell Phone</w:t>
            </w:r>
          </w:p>
        </w:tc>
      </w:tr>
    </w:tbl>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Second level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3931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6130" cy="1393190"/>
                    </a:xfrm>
                    <a:prstGeom prst="rect">
                      <a:avLst/>
                    </a:prstGeom>
                    <a:noFill/>
                  </pic:spPr>
                </pic:pic>
              </a:graphicData>
            </a:graphic>
          </wp:anchor>
        </w:drawing>
      </w:r>
    </w:p>
    <w:p>
      <w:pPr>
        <w:spacing w:after="0" w:line="20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If an issue has not been resolved in the time expected or resolution remains unsatisfactory then GRC and Tradeweb can escalate the issue to the following people: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Tradeweb -</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Primary Contact –</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Refinitiv – </w:t>
      </w:r>
      <w:r>
        <w:rPr>
          <w:rFonts w:ascii="Arial" w:cs="Arial" w:eastAsia="Arial" w:hAnsi="Arial"/>
          <w:sz w:val="18"/>
          <w:szCs w:val="18"/>
          <w:color w:val="auto"/>
        </w:rPr>
        <w:t>Primary Contact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8"/>
          <w:szCs w:val="18"/>
          <w:b w:val="1"/>
          <w:bCs w:val="1"/>
          <w:color w:val="auto"/>
        </w:rPr>
        <w:t>(CONFIDENTIAL)</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Third Level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98996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6130" cy="98996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secondary level escalation has failed to satisfactorily resolve the issue then the issue can be escalated to the following parties: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Tradeweb </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Refinitiv </w:t>
      </w:r>
      <w:r>
        <w:rPr>
          <w:rFonts w:ascii="Arial" w:cs="Arial" w:eastAsia="Arial" w:hAnsi="Arial"/>
          <w:sz w:val="18"/>
          <w:szCs w:val="18"/>
          <w:color w:val="auto"/>
        </w:rPr>
        <w:t>– Primary 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Metrics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metrics relate to a Data Set as defined in this SLA.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either (a) twenty (20) Severity 3 incidents or (b) fifty (50) Severity 4 incidents will be deemed a failure by Tradeweb to reach a required target (a “</w:t>
      </w:r>
      <w:r>
        <w:rPr>
          <w:rFonts w:ascii="Arial" w:cs="Arial" w:eastAsia="Arial" w:hAnsi="Arial"/>
          <w:sz w:val="18"/>
          <w:szCs w:val="18"/>
          <w:u w:val="single" w:color="auto"/>
          <w:color w:val="auto"/>
        </w:rPr>
        <w:t>Target Failure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either (a) two (2) Severity 1 incidents, (b) four (4) Severity 2 incidents, or (c) one (1) Severity 1 and two (2) Severity 2 incidents, in a calendar month, will be deemed a severe failure by Tradeweb to reach a required target (a “</w:t>
      </w:r>
      <w:r>
        <w:rPr>
          <w:rFonts w:ascii="Arial" w:cs="Arial" w:eastAsia="Arial" w:hAnsi="Arial"/>
          <w:sz w:val="18"/>
          <w:szCs w:val="18"/>
          <w:u w:val="single" w:color="auto"/>
          <w:color w:val="auto"/>
        </w:rPr>
        <w:t>Severe Target Failure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Target Failure or Severe Target Failure occurs in one (1) month, a meeting between the Third Level Escalation Contacts will be held to address such Target Failure or Severe Target Failure.</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If a Target Failure or Severe Target Failure in the same Data Set occurs for two (2) consecutive months, a meeting between a designated representative of TRM and a designated representative of Tradeweb will be held to address such Target Failure or Severe Target Failure.</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If a Severe Target Failure in the same Data Set occurs for three (3) consecutive months, GRC shall have the right to suspend the applicable Data Set and cease paying the Fee Per Data Set with respect thereto, until the service with respect to such Data Set has reached acceptable levels;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the applicable Data Set is part of Exclusive Licensed Market Data and one Party reasonably considers the Fee Per Data Set (as calculated pursuant to this SLA) for such Data Set to be inequitable, the Parties will negotiate in good faith for a period of thirty (30) days (or a longer period, if mutually agreed by the Parties) a mutually-agreeable revised Fee Per Data Set for such applicable Data 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Parties do not mutually agree on a revised Fee Per Data Set within such period, the Fee Per Data Set shall be calculated as set forth in this 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MD SERVER FEES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For the first unique pair of login passwords per customer assigned to an MD Server (each, an “</w:t>
      </w:r>
      <w:r>
        <w:rPr>
          <w:rFonts w:ascii="Arial" w:cs="Arial" w:eastAsia="Arial" w:hAnsi="Arial"/>
          <w:sz w:val="16"/>
          <w:szCs w:val="16"/>
          <w:u w:val="single" w:color="auto"/>
          <w:color w:val="auto"/>
        </w:rPr>
        <w:t>MD Server Pair</w:t>
      </w:r>
      <w:r>
        <w:rPr>
          <w:rFonts w:ascii="Arial" w:cs="Arial" w:eastAsia="Arial" w:hAnsi="Arial"/>
          <w:sz w:val="16"/>
          <w:szCs w:val="16"/>
          <w:color w:val="auto"/>
        </w:rPr>
        <w: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TRM will pay four equal payments of</w:t>
      </w:r>
    </w:p>
    <w:p>
      <w:pPr>
        <w:jc w:val="both"/>
        <w:ind w:firstLine="8"/>
        <w:spacing w:after="0" w:line="267" w:lineRule="auto"/>
        <w:tabs>
          <w:tab w:leader="none" w:pos="46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per calendar year to Tradeweb quarterly in advance for each MD Server Pair in service. The total number of unique login passwords shall be calculated on the 15th of the month prior to the end of the applicable calendar quarter. No payment will be made in any subsequent period for servers canceled prior to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month prior to the end of the applicable calendar quarter.</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Starting after the first 12 month period and for each subsequent 12 month period after the Effective Date, the quarterly payment for each MD Server Pair that remains in service will increase by [***].</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For each additional customer login and password assigned to an MD Server (each, an “</w:t>
      </w:r>
      <w:r>
        <w:rPr>
          <w:rFonts w:ascii="Arial" w:cs="Arial" w:eastAsia="Arial" w:hAnsi="Arial"/>
          <w:sz w:val="17"/>
          <w:szCs w:val="17"/>
          <w:u w:val="single" w:color="auto"/>
          <w:color w:val="auto"/>
        </w:rPr>
        <w:t>Additional MD Server</w:t>
      </w:r>
      <w:r>
        <w:rPr>
          <w:rFonts w:ascii="Arial" w:cs="Arial" w:eastAsia="Arial" w:hAnsi="Arial"/>
          <w:sz w:val="17"/>
          <w:szCs w:val="17"/>
          <w:color w:val="auto"/>
        </w:rPr>
        <w:t>”),</w:t>
      </w:r>
      <w:r>
        <w:rPr>
          <w:rFonts w:ascii="Arial" w:cs="Arial" w:eastAsia="Arial" w:hAnsi="Arial"/>
          <w:sz w:val="27"/>
          <w:szCs w:val="27"/>
          <w:color w:val="auto"/>
          <w:vertAlign w:val="superscript"/>
        </w:rPr>
        <w:t>2</w:t>
      </w:r>
      <w:r>
        <w:rPr>
          <w:rFonts w:ascii="Arial" w:cs="Arial" w:eastAsia="Arial" w:hAnsi="Arial"/>
          <w:sz w:val="17"/>
          <w:szCs w:val="17"/>
          <w:color w:val="auto"/>
        </w:rPr>
        <w:t xml:space="preserve"> TRM will pay four equal payments of</w:t>
      </w:r>
    </w:p>
    <w:p>
      <w:pPr>
        <w:jc w:val="both"/>
        <w:ind w:firstLine="8"/>
        <w:spacing w:after="0" w:line="267" w:lineRule="auto"/>
        <w:tabs>
          <w:tab w:leader="none" w:pos="44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 calendar year to Tradeweb quarterly in advance for each Additional MD Server in service. The total number of unique login passwords shall be calculated on the 15th of the month prior to the end of the applicable calendar quarter. No payment will be made in any subsequent period for servers canceled prior to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month prior to the end of the applicable calendar quarter.</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Starting after the first 12 month period and for each subsequent 12 month period after the Effective Date, the quarterly payment for each Additional MD Server that remain in service will increase by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customer is entitled to a single Qualified Disaster Recovery or business continuity server at no charge to TRM provided that:</w:t>
      </w:r>
    </w:p>
    <w:p>
      <w:pPr>
        <w:spacing w:after="0" w:line="225" w:lineRule="exact"/>
        <w:rPr>
          <w:sz w:val="20"/>
          <w:szCs w:val="20"/>
          <w:color w:val="auto"/>
        </w:rPr>
      </w:pPr>
    </w:p>
    <w:p>
      <w:pPr>
        <w:ind w:left="980" w:hanging="324"/>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server pair is not in the same physical geographic location as the MD Server Pair or Additional MD Server(s).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server pair does not have the same public IP address as the MD Server Pair or Additional MD Server(s).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TRM is not charging the customer a fee for the server 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1" w:lineRule="exact"/>
        <w:rPr>
          <w:sz w:val="20"/>
          <w:szCs w:val="20"/>
          <w:color w:val="auto"/>
        </w:rPr>
      </w:pPr>
    </w:p>
    <w:p>
      <w:pPr>
        <w:jc w:val="both"/>
        <w:ind w:firstLine="656"/>
        <w:spacing w:after="0" w:line="209" w:lineRule="auto"/>
        <w:tabs>
          <w:tab w:leader="none" w:pos="784" w:val="left"/>
        </w:tabs>
        <w:numPr>
          <w:ilvl w:val="0"/>
          <w:numId w:val="179"/>
        </w:numPr>
        <w:rPr>
          <w:rFonts w:ascii="Arial" w:cs="Arial" w:eastAsia="Arial" w:hAnsi="Arial"/>
          <w:sz w:val="30"/>
          <w:szCs w:val="30"/>
          <w:color w:val="auto"/>
          <w:vertAlign w:val="superscript"/>
        </w:rPr>
      </w:pPr>
      <w:r>
        <w:rPr>
          <w:rFonts w:ascii="Arial" w:cs="Arial" w:eastAsia="Arial" w:hAnsi="Arial"/>
          <w:sz w:val="18"/>
          <w:szCs w:val="18"/>
          <w:color w:val="auto"/>
        </w:rPr>
        <w:t>After the Effective Date, new Market Data Server login and passwords may be requested by email from an authorized Refinitiv employee to Tradeweb’s Market Data team. Each new unique login and password will be added to the current count and TRM agrees to pay the amount due as per the above payment schedule.</w:t>
      </w:r>
    </w:p>
    <w:p>
      <w:pPr>
        <w:spacing w:after="0" w:line="129" w:lineRule="exact"/>
        <w:rPr>
          <w:sz w:val="20"/>
          <w:szCs w:val="20"/>
          <w:color w:val="auto"/>
        </w:rPr>
      </w:pPr>
    </w:p>
    <w:p>
      <w:pPr>
        <w:ind w:left="780" w:hanging="124"/>
        <w:spacing w:after="0"/>
        <w:tabs>
          <w:tab w:leader="none" w:pos="780" w:val="left"/>
        </w:tabs>
        <w:numPr>
          <w:ilvl w:val="0"/>
          <w:numId w:val="180"/>
        </w:numPr>
        <w:rPr>
          <w:rFonts w:ascii="Arial" w:cs="Arial" w:eastAsia="Arial" w:hAnsi="Arial"/>
          <w:sz w:val="30"/>
          <w:szCs w:val="30"/>
          <w:color w:val="auto"/>
          <w:vertAlign w:val="superscript"/>
        </w:rPr>
      </w:pPr>
      <w:r>
        <w:rPr>
          <w:rFonts w:ascii="Arial" w:cs="Arial" w:eastAsia="Arial" w:hAnsi="Arial"/>
          <w:sz w:val="18"/>
          <w:szCs w:val="18"/>
          <w:color w:val="auto"/>
        </w:rPr>
        <w:t>Same process as set forth in fn.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Tradeweb shall provide TRM quarterly invoices indicating, company name, server login ID, server location, the number of billable MD Server Pairs, Additional MD Servers, and Qualified Disaster Recovery servers.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MARKS FEES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TRM agrees to pay Tradeweb quarterly in advance the greater of: (i) [***] of the quarterly revenue (the “</w:t>
      </w:r>
      <w:r>
        <w:rPr>
          <w:rFonts w:ascii="Arial" w:cs="Arial" w:eastAsia="Arial" w:hAnsi="Arial"/>
          <w:sz w:val="18"/>
          <w:szCs w:val="18"/>
          <w:u w:val="single" w:color="auto"/>
          <w:color w:val="auto"/>
        </w:rPr>
        <w:t>Marks Account Service Fee</w:t>
      </w:r>
      <w:r>
        <w:rPr>
          <w:rFonts w:ascii="Arial" w:cs="Arial" w:eastAsia="Arial" w:hAnsi="Arial"/>
          <w:sz w:val="18"/>
          <w:szCs w:val="18"/>
          <w:color w:val="auto"/>
        </w:rPr>
        <w:t>”) for each Tradeweb Marks account maintained by Tradeweb for a customer of TRM or (ii) the sum of [***] for each set of Tradeweb Marks files respective to a specified market (e.g., U.S. Treasuries) (each a “</w:t>
      </w:r>
      <w:r>
        <w:rPr>
          <w:rFonts w:ascii="Arial" w:cs="Arial" w:eastAsia="Arial" w:hAnsi="Arial"/>
          <w:sz w:val="18"/>
          <w:szCs w:val="18"/>
          <w:u w:val="single" w:color="auto"/>
          <w:color w:val="auto"/>
        </w:rPr>
        <w:t>Marks Market File Set</w:t>
      </w:r>
      <w:r>
        <w:rPr>
          <w:rFonts w:ascii="Arial" w:cs="Arial" w:eastAsia="Arial" w:hAnsi="Arial"/>
          <w:sz w:val="18"/>
          <w:szCs w:val="18"/>
          <w:color w:val="auto"/>
        </w:rPr>
        <w:t>”) for each customer account to which the Marks Market File Sets are made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8"/>
          <w:szCs w:val="18"/>
          <w:b w:val="1"/>
          <w:bCs w:val="1"/>
          <w:u w:val="single" w:color="auto"/>
          <w:color w:val="auto"/>
        </w:rPr>
        <w:t>SCHEDULE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 Process</w:t>
      </w:r>
    </w:p>
    <w:p>
      <w:pPr>
        <w:spacing w:after="0" w:line="225" w:lineRule="exact"/>
        <w:rPr>
          <w:sz w:val="20"/>
          <w:szCs w:val="20"/>
          <w:color w:val="auto"/>
        </w:rPr>
      </w:pPr>
    </w:p>
    <w:p>
      <w:pPr>
        <w:ind w:left="1240" w:hanging="584"/>
        <w:spacing w:after="0"/>
        <w:tabs>
          <w:tab w:leader="none" w:pos="12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Mediation.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Party elects to exercise its rights under this Second A&amp;R Agreement with respect to a Dispute Resolution Matter, the Parties shall submit such dispute to non-binding mediation to be conducted by JAMS. The Parties shall reasonably cooperate with JAMS and each other in the mediation process. The mediation shall be conducted by JAMS pursuant to its then-current mediation rules and procedures. Upon written notice to JAMS and to the other Party, either Party may at any time, terminate the mediation process. Each Party shall bear its own expenses in the mediation process and shall share equally the charges of JAMS.</w:t>
      </w:r>
    </w:p>
    <w:p>
      <w:pPr>
        <w:spacing w:after="0" w:line="184" w:lineRule="exact"/>
        <w:rPr>
          <w:sz w:val="20"/>
          <w:szCs w:val="20"/>
          <w:color w:val="auto"/>
        </w:rPr>
      </w:pPr>
    </w:p>
    <w:p>
      <w:pPr>
        <w:ind w:left="1240" w:hanging="584"/>
        <w:spacing w:after="0"/>
        <w:tabs>
          <w:tab w:leader="none" w:pos="12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applicable Dispute Resolution Matter has not been resolved within sixty (60) days after receipt by the other Party of the Dispute Notice, then either Party may initiate binding Arbitration in accordance with the following:</w:t>
      </w:r>
    </w:p>
    <w:p>
      <w:pPr>
        <w:spacing w:after="0" w:line="170" w:lineRule="exact"/>
        <w:rPr>
          <w:sz w:val="20"/>
          <w:szCs w:val="20"/>
          <w:color w:val="auto"/>
        </w:rPr>
      </w:pPr>
    </w:p>
    <w:p>
      <w:pPr>
        <w:jc w:val="both"/>
        <w:ind w:firstLine="656"/>
        <w:spacing w:after="0" w:line="263" w:lineRule="auto"/>
        <w:tabs>
          <w:tab w:leader="none" w:pos="144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Scope; Agreement to Arbitration</w:t>
      </w:r>
      <w:r>
        <w:rPr>
          <w:rFonts w:ascii="Arial" w:cs="Arial" w:eastAsia="Arial" w:hAnsi="Arial"/>
          <w:sz w:val="18"/>
          <w:szCs w:val="18"/>
          <w:color w:val="auto"/>
        </w:rPr>
        <w:t>. Any Dispute Resolution Matter shall be determined by binding Arbitration in New York City. The Arbitration shall be administered by JAMS pursuant to its then-current Arbitration rules and procedures. The arbitrator(s) (each, an “</w:t>
      </w:r>
      <w:r>
        <w:rPr>
          <w:rFonts w:ascii="Arial" w:cs="Arial" w:eastAsia="Arial" w:hAnsi="Arial"/>
          <w:sz w:val="18"/>
          <w:szCs w:val="18"/>
          <w:u w:val="single" w:color="auto"/>
          <w:color w:val="auto"/>
        </w:rPr>
        <w:t>Arbitrator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Arbitrators</w:t>
      </w:r>
      <w:r>
        <w:rPr>
          <w:rFonts w:ascii="Arial" w:cs="Arial" w:eastAsia="Arial" w:hAnsi="Arial"/>
          <w:sz w:val="18"/>
          <w:szCs w:val="18"/>
          <w:color w:val="auto"/>
        </w:rPr>
        <w:t>”) will be bound by the terms of this Second A&amp;R Agreement.</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Number of Arbitrators</w:t>
      </w:r>
      <w:r>
        <w:rPr>
          <w:rFonts w:ascii="Arial" w:cs="Arial" w:eastAsia="Arial" w:hAnsi="Arial"/>
          <w:sz w:val="18"/>
          <w:szCs w:val="18"/>
          <w:color w:val="auto"/>
        </w:rPr>
        <w:t>. The Parties hereby agree that the Arbitration shall be referred to three Arbitrators.</w:t>
      </w:r>
    </w:p>
    <w:p>
      <w:pPr>
        <w:spacing w:after="0" w:line="225" w:lineRule="exact"/>
        <w:rPr>
          <w:rFonts w:ascii="Arial" w:cs="Arial" w:eastAsia="Arial" w:hAnsi="Arial"/>
          <w:sz w:val="18"/>
          <w:szCs w:val="18"/>
          <w:color w:val="auto"/>
        </w:rPr>
      </w:pPr>
    </w:p>
    <w:p>
      <w:pPr>
        <w:jc w:val="both"/>
        <w:ind w:firstLine="656"/>
        <w:spacing w:after="0" w:line="275" w:lineRule="auto"/>
        <w:tabs>
          <w:tab w:leader="none" w:pos="154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Selecting of Arbitrators</w:t>
      </w:r>
      <w:r>
        <w:rPr>
          <w:rFonts w:ascii="Arial" w:cs="Arial" w:eastAsia="Arial" w:hAnsi="Arial"/>
          <w:sz w:val="17"/>
          <w:szCs w:val="17"/>
          <w:color w:val="auto"/>
        </w:rPr>
        <w:t>. One Arbitrator shall be appointed by each of Tradeweb and the applicable Refinitiv Party, and the third Arbitrator, who shall serve as chair, shall be appointed by the two Party-appointed Arbitrators (the “</w:t>
      </w:r>
      <w:r>
        <w:rPr>
          <w:rFonts w:ascii="Arial" w:cs="Arial" w:eastAsia="Arial" w:hAnsi="Arial"/>
          <w:sz w:val="17"/>
          <w:szCs w:val="17"/>
          <w:u w:val="single" w:color="auto"/>
          <w:color w:val="auto"/>
        </w:rPr>
        <w:t>Chair</w:t>
      </w:r>
      <w:r>
        <w:rPr>
          <w:rFonts w:ascii="Arial" w:cs="Arial" w:eastAsia="Arial" w:hAnsi="Arial"/>
          <w:sz w:val="17"/>
          <w:szCs w:val="17"/>
          <w:color w:val="auto"/>
        </w:rPr>
        <w:t>”). If either of the Parties fails to appoint its Arbitrator within thirty (30) days after the initiation of the Arbitration, then the Party that has appointed its Arbitrator may approach JAMS for the appointment of the second Arbitrator, and such appointment shall be binding on the Parties. If the two Party-appointed Arbitrators fail to agree on the third Arbitrator within thirty (30) days after the appointment of the later of the two, then the third Arbitrator will be appointed by JAMS.</w:t>
      </w:r>
    </w:p>
    <w:p>
      <w:pPr>
        <w:spacing w:after="0" w:line="176" w:lineRule="exact"/>
        <w:rPr>
          <w:rFonts w:ascii="Arial" w:cs="Arial" w:eastAsia="Arial" w:hAnsi="Arial"/>
          <w:sz w:val="17"/>
          <w:szCs w:val="17"/>
          <w:color w:val="auto"/>
        </w:rPr>
      </w:pPr>
    </w:p>
    <w:p>
      <w:pPr>
        <w:ind w:left="1320" w:hanging="664"/>
        <w:spacing w:after="0"/>
        <w:tabs>
          <w:tab w:leader="none" w:pos="132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All proceedings in any Arbitration will be conducted in the English language.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Entry of Judgment</w:t>
      </w:r>
      <w:r>
        <w:rPr>
          <w:rFonts w:ascii="Arial" w:cs="Arial" w:eastAsia="Arial" w:hAnsi="Arial"/>
          <w:sz w:val="18"/>
          <w:szCs w:val="18"/>
          <w:color w:val="auto"/>
        </w:rPr>
        <w:t>. Judgment on the award of the Arbitrator(s) may be entered by any court of competent jurisdiction.</w:t>
      </w:r>
    </w:p>
    <w:p>
      <w:pPr>
        <w:spacing w:after="0" w:line="225" w:lineRule="exact"/>
        <w:rPr>
          <w:rFonts w:ascii="Arial" w:cs="Arial" w:eastAsia="Arial" w:hAnsi="Arial"/>
          <w:sz w:val="18"/>
          <w:szCs w:val="18"/>
          <w:color w:val="auto"/>
        </w:rPr>
      </w:pPr>
    </w:p>
    <w:p>
      <w:pPr>
        <w:ind w:firstLine="656"/>
        <w:spacing w:after="0" w:line="277" w:lineRule="auto"/>
        <w:tabs>
          <w:tab w:leader="none" w:pos="137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Waiver of Appeals</w:t>
      </w:r>
      <w:r>
        <w:rPr>
          <w:rFonts w:ascii="Arial" w:cs="Arial" w:eastAsia="Arial" w:hAnsi="Arial"/>
          <w:sz w:val="18"/>
          <w:szCs w:val="18"/>
          <w:color w:val="auto"/>
        </w:rPr>
        <w:t>. To the extent permitted by law, any right to appeal from or to cause a review of any arbitral award by any court is hereby waived by the Parties.</w:t>
      </w:r>
    </w:p>
    <w:p>
      <w:pPr>
        <w:spacing w:after="0" w:line="170" w:lineRule="exact"/>
        <w:rPr>
          <w:rFonts w:ascii="Arial" w:cs="Arial" w:eastAsia="Arial" w:hAnsi="Arial"/>
          <w:sz w:val="18"/>
          <w:szCs w:val="18"/>
          <w:color w:val="auto"/>
        </w:rPr>
      </w:pPr>
    </w:p>
    <w:p>
      <w:pPr>
        <w:ind w:firstLine="656"/>
        <w:spacing w:after="0" w:line="277" w:lineRule="auto"/>
        <w:tabs>
          <w:tab w:leader="none" w:pos="1308"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Costs and Attorneys’ Fees</w:t>
      </w:r>
      <w:r>
        <w:rPr>
          <w:rFonts w:ascii="Arial" w:cs="Arial" w:eastAsia="Arial" w:hAnsi="Arial"/>
          <w:sz w:val="18"/>
          <w:szCs w:val="18"/>
          <w:color w:val="auto"/>
        </w:rPr>
        <w:t>. Each Party shall bear its own expenses in the Arbitration and shall share equally the charges of JAMS and the fees of the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3" w:name="page324"/>
    <w:bookmarkEnd w:id="323"/>
    <w:p>
      <w:pPr>
        <w:jc w:val="center"/>
        <w:ind w:right="-10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Refinitiv Limited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Refinitiv Trading Division Senior Mgmt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Refinitiv Finance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Refinitiv GTM Senior Mgmt, Sales Mgmt &amp;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Refinitiv Trading Division Marketing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443230</wp:posOffset>
            </wp:positionV>
            <wp:extent cx="713232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9"/>
          </w:cols>
          <w:pgMar w:left="400" w:top="904" w:right="1440" w:bottom="1440" w:gutter="0" w:footer="0" w:header="0"/>
        </w:sectPr>
      </w:pPr>
    </w:p>
    <w:bookmarkStart w:id="324" w:name="page325"/>
    <w:bookmarkEnd w:id="324"/>
    <w:p>
      <w:pPr>
        <w:jc w:val="center"/>
        <w:ind w:right="-1020"/>
        <w:spacing w:after="0"/>
        <w:rPr>
          <w:sz w:val="20"/>
          <w:szCs w:val="20"/>
          <w:color w:val="auto"/>
        </w:rPr>
      </w:pPr>
      <w:r>
        <w:rPr>
          <w:rFonts w:ascii="Arial" w:cs="Arial" w:eastAsia="Arial" w:hAnsi="Arial"/>
          <w:sz w:val="18"/>
          <w:szCs w:val="18"/>
          <w:b w:val="1"/>
          <w:bCs w:val="1"/>
          <w:u w:val="single" w:color="auto"/>
          <w:color w:val="auto"/>
        </w:rPr>
        <w:t>SCHEDULE J</w:t>
      </w:r>
    </w:p>
    <w:p>
      <w:pPr>
        <w:spacing w:after="0" w:line="225" w:lineRule="exact"/>
        <w:rPr>
          <w:sz w:val="20"/>
          <w:szCs w:val="20"/>
          <w:color w:val="auto"/>
        </w:rPr>
      </w:pPr>
    </w:p>
    <w:p>
      <w:pPr>
        <w:jc w:val="right"/>
        <w:ind w:right="3539"/>
        <w:spacing w:after="0"/>
        <w:rPr>
          <w:sz w:val="20"/>
          <w:szCs w:val="20"/>
          <w:color w:val="auto"/>
        </w:rPr>
      </w:pPr>
      <w:r>
        <w:rPr>
          <w:rFonts w:ascii="Arial" w:cs="Arial" w:eastAsia="Arial" w:hAnsi="Arial"/>
          <w:sz w:val="18"/>
          <w:szCs w:val="18"/>
          <w:b w:val="1"/>
          <w:bCs w:val="1"/>
          <w:color w:val="auto"/>
        </w:rPr>
        <w:t>Refinitiv Competitor List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434340</wp:posOffset>
            </wp:positionV>
            <wp:extent cx="713232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9"/>
          </w:cols>
          <w:pgMar w:left="400" w:top="904" w:right="1440" w:bottom="1440" w:gutter="0" w:footer="0" w:header="0"/>
        </w:sectPr>
      </w:pPr>
    </w:p>
    <w:bookmarkStart w:id="325" w:name="page326"/>
    <w:bookmarkEnd w:id="325"/>
    <w:p>
      <w:pPr>
        <w:jc w:val="center"/>
        <w:ind w:right="-199"/>
        <w:spacing w:after="0"/>
        <w:rPr>
          <w:sz w:val="20"/>
          <w:szCs w:val="20"/>
          <w:color w:val="auto"/>
        </w:rPr>
      </w:pPr>
      <w:r>
        <w:rPr>
          <w:rFonts w:ascii="Arial" w:cs="Arial" w:eastAsia="Arial" w:hAnsi="Arial"/>
          <w:sz w:val="18"/>
          <w:szCs w:val="18"/>
          <w:b w:val="1"/>
          <w:bCs w:val="1"/>
          <w:u w:val="single" w:color="auto"/>
          <w:color w:val="auto"/>
        </w:rPr>
        <w:t>SCHEDULE K</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UST Restricted List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TP ICAP’s provision of RCM 19901, this restriction shall not apply, except to the extent RCM 19901 includes Dealerweb volumes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u w:val="single" w:color="auto"/>
          <w:color w:val="auto"/>
        </w:rPr>
        <w:t>SCHEDULE 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Historical Market Data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Delivery Date – Nov 1, 2019: Institutional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6 years</w:t>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Asia Government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European Government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TBA Butterflies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TBA Swaps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TBA-MBS Outright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Government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Money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Mortgage TBA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TBA-Mortgage Roll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Asia Supranationals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Dollar Supranationals</w:t>
      </w:r>
    </w:p>
    <w:p>
      <w:pPr>
        <w:spacing w:after="0" w:line="200" w:lineRule="exact"/>
        <w:rPr>
          <w:sz w:val="20"/>
          <w:szCs w:val="20"/>
          <w:color w:val="auto"/>
        </w:rPr>
      </w:pPr>
    </w:p>
    <w:p>
      <w:pPr>
        <w:sectPr>
          <w:pgSz w:w="11900" w:h="16838" w:orient="portrait"/>
          <w:cols w:equalWidth="0" w:num="2">
            <w:col w:w="760" w:space="720"/>
            <w:col w:w="9760"/>
          </w:cols>
          <w:pgMar w:left="320" w:top="90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Delivery Date – Nov 1, 2020: Institutional Credit/Swap/DW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5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320" w:type="dxa"/>
            <w:vAlign w:val="bottom"/>
          </w:tcPr>
          <w:p>
            <w:pPr>
              <w:ind w:left="560"/>
              <w:spacing w:after="0"/>
              <w:rPr>
                <w:sz w:val="20"/>
                <w:szCs w:val="20"/>
                <w:color w:val="auto"/>
              </w:rPr>
            </w:pPr>
            <w:r>
              <w:rPr>
                <w:rFonts w:ascii="Arial" w:cs="Arial" w:eastAsia="Arial" w:hAnsi="Arial"/>
                <w:sz w:val="18"/>
                <w:szCs w:val="18"/>
                <w:color w:val="auto"/>
              </w:rPr>
              <w:t>European CDS Index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320" w:type="dxa"/>
            <w:vAlign w:val="bottom"/>
          </w:tcPr>
          <w:p>
            <w:pPr>
              <w:ind w:left="560"/>
              <w:spacing w:after="0"/>
              <w:rPr>
                <w:sz w:val="20"/>
                <w:szCs w:val="20"/>
                <w:color w:val="auto"/>
              </w:rPr>
            </w:pPr>
            <w:r>
              <w:rPr>
                <w:rFonts w:ascii="Arial" w:cs="Arial" w:eastAsia="Arial" w:hAnsi="Arial"/>
                <w:sz w:val="18"/>
                <w:szCs w:val="18"/>
                <w:color w:val="auto"/>
              </w:rPr>
              <w:t>European Commercial Paper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320" w:type="dxa"/>
            <w:vAlign w:val="bottom"/>
          </w:tcPr>
          <w:p>
            <w:pPr>
              <w:ind w:left="560"/>
              <w:spacing w:after="0"/>
              <w:rPr>
                <w:sz w:val="20"/>
                <w:szCs w:val="20"/>
                <w:color w:val="auto"/>
              </w:rPr>
            </w:pPr>
            <w:r>
              <w:rPr>
                <w:rFonts w:ascii="Arial" w:cs="Arial" w:eastAsia="Arial" w:hAnsi="Arial"/>
                <w:sz w:val="18"/>
                <w:szCs w:val="18"/>
                <w:color w:val="auto"/>
              </w:rPr>
              <w:t>European Corporate Bonds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320" w:type="dxa"/>
            <w:vAlign w:val="bottom"/>
          </w:tcPr>
          <w:p>
            <w:pPr>
              <w:ind w:left="560"/>
              <w:spacing w:after="0"/>
              <w:rPr>
                <w:sz w:val="20"/>
                <w:szCs w:val="20"/>
                <w:color w:val="auto"/>
              </w:rPr>
            </w:pPr>
            <w:r>
              <w:rPr>
                <w:rFonts w:ascii="Arial" w:cs="Arial" w:eastAsia="Arial" w:hAnsi="Arial"/>
                <w:sz w:val="18"/>
                <w:szCs w:val="18"/>
                <w:color w:val="auto"/>
              </w:rPr>
              <w:t>European Pfan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320" w:type="dxa"/>
            <w:vAlign w:val="bottom"/>
          </w:tcPr>
          <w:p>
            <w:pPr>
              <w:ind w:left="560"/>
              <w:spacing w:after="0"/>
              <w:rPr>
                <w:sz w:val="20"/>
                <w:szCs w:val="20"/>
                <w:color w:val="auto"/>
              </w:rPr>
            </w:pPr>
            <w:r>
              <w:rPr>
                <w:rFonts w:ascii="Arial" w:cs="Arial" w:eastAsia="Arial" w:hAnsi="Arial"/>
                <w:sz w:val="18"/>
                <w:szCs w:val="18"/>
                <w:color w:val="auto"/>
              </w:rPr>
              <w:t>European Supranationals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320" w:type="dxa"/>
            <w:vAlign w:val="bottom"/>
          </w:tcPr>
          <w:p>
            <w:pPr>
              <w:ind w:left="560"/>
              <w:spacing w:after="0"/>
              <w:rPr>
                <w:sz w:val="20"/>
                <w:szCs w:val="20"/>
                <w:color w:val="auto"/>
              </w:rPr>
            </w:pPr>
            <w:r>
              <w:rPr>
                <w:rFonts w:ascii="Arial" w:cs="Arial" w:eastAsia="Arial" w:hAnsi="Arial"/>
                <w:sz w:val="18"/>
                <w:szCs w:val="18"/>
                <w:color w:val="auto"/>
              </w:rPr>
              <w:t>US CDS Index</w:t>
            </w:r>
          </w:p>
        </w:tc>
      </w:tr>
      <w:tr>
        <w:trPr>
          <w:trHeight w:val="675"/>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327" w:name="page328"/>
    <w:bookmarkEnd w:id="327"/>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Canadian Dollar Swaps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European Convertible Bonds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 Corporate Bond Evaluated Pricing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US Dollar Swap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Yen Swap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European Interest Rate Swap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Dollar Swaps</w:t>
      </w:r>
    </w:p>
    <w:p>
      <w:pPr>
        <w:spacing w:after="0" w:line="200" w:lineRule="exact"/>
        <w:rPr>
          <w:sz w:val="20"/>
          <w:szCs w:val="20"/>
          <w:color w:val="auto"/>
        </w:rPr>
      </w:pPr>
    </w:p>
    <w:p>
      <w:pPr>
        <w:sectPr>
          <w:pgSz w:w="11900" w:h="16838" w:orient="portrait"/>
          <w:cols w:equalWidth="0" w:num="2">
            <w:col w:w="760" w:space="720"/>
            <w:col w:w="9760"/>
          </w:cols>
          <w:pgMar w:left="320" w:top="908" w:right="3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Delivery Date – Nov 1, 2021: Dealerweb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4 years</w:t>
      </w:r>
    </w:p>
    <w:p>
      <w:pPr>
        <w:sectPr>
          <w:pgSz w:w="11900" w:h="16838" w:orient="portrait"/>
          <w:cols w:equalWidth="0" w:num="1">
            <w:col w:w="11240"/>
          </w:cols>
          <w:pgMar w:left="320" w:top="908"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US Treasury Actives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Treasury Off-the-Run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 TSY Cash Start , Benchmark 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US TSY Repo Regular Start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Delta One - EFP (DW)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ETF NAV Cross (DW)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 and GCF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Municipal Bonds - JJ Kenny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European Money Markets (DEPO)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US Repo Specials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Treasury Bills</w:t>
      </w:r>
    </w:p>
    <w:p>
      <w:pPr>
        <w:spacing w:after="0" w:line="200" w:lineRule="exact"/>
        <w:rPr>
          <w:sz w:val="20"/>
          <w:szCs w:val="20"/>
          <w:color w:val="auto"/>
        </w:rPr>
      </w:pPr>
    </w:p>
    <w:p>
      <w:pPr>
        <w:sectPr>
          <w:pgSz w:w="11900" w:h="16838" w:orient="portrait"/>
          <w:cols w:equalWidth="0" w:num="2">
            <w:col w:w="760" w:space="720"/>
            <w:col w:w="9760"/>
          </w:cols>
          <w:pgMar w:left="320" w:top="90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Delivery Date – Nov 1, 2022: Tradeweb Direct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4 years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Asset-Backed Securities (ABS)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Certificates of Deposit (CDs)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Collateralized Mortgage Obligations</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328" w:name="page329"/>
    <w:bookmarkEnd w:id="3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Mortgage-Backed Securities (MBS)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Municipal Bonds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Preferred Securities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Structured Products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Unit Investment Trusts (UITs)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U.S. Treasuries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U.S. Agencies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TWD</w:t>
            </w:r>
          </w:p>
        </w:tc>
        <w:tc>
          <w:tcPr>
            <w:tcW w:w="10300" w:type="dxa"/>
            <w:vAlign w:val="bottom"/>
          </w:tcPr>
          <w:p>
            <w:pPr>
              <w:ind w:left="540"/>
              <w:spacing w:after="0"/>
              <w:rPr>
                <w:sz w:val="20"/>
                <w:szCs w:val="20"/>
                <w:color w:val="auto"/>
              </w:rPr>
            </w:pPr>
            <w:r>
              <w:rPr>
                <w:rFonts w:ascii="Arial" w:cs="Arial" w:eastAsia="Arial" w:hAnsi="Arial"/>
                <w:sz w:val="18"/>
                <w:szCs w:val="18"/>
                <w:color w:val="auto"/>
              </w:rPr>
              <w:t>U.S. Corporate Bonds</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1)"/>
      <w:numFmt w:val="decimal"/>
      <w:start w:val="1"/>
    </w:lvl>
  </w:abstractNum>
  <w:abstractNum w:abstractNumId="1">
    <w:nsid w:val="57FC4FBB"/>
    <w:multiLevelType w:val="hybridMultilevel"/>
    <w:lvl w:ilvl="0">
      <w:lvlJc w:val="left"/>
      <w:lvlText w:val="(%1)"/>
      <w:numFmt w:val="decimal"/>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1)"/>
      <w:numFmt w:val="decimal"/>
      <w:start w:val="1"/>
    </w:lvl>
  </w:abstractNum>
  <w:abstractNum w:abstractNumId="21">
    <w:nsid w:val="555C55B5"/>
    <w:multiLevelType w:val="hybridMultilevel"/>
    <w:lvl w:ilvl="0">
      <w:lvlJc w:val="left"/>
      <w:lvlText w:val="(%1)"/>
      <w:numFmt w:val="decimal"/>
      <w:start w:val="3"/>
    </w:lvl>
  </w:abstractNum>
  <w:abstractNum w:abstractNumId="22">
    <w:nsid w:val="3FA62ACA"/>
    <w:multiLevelType w:val="hybridMultilevel"/>
    <w:lvl w:ilvl="0">
      <w:lvlJc w:val="left"/>
      <w:lvlText w:val="(%1)"/>
      <w:numFmt w:val="decimal"/>
      <w:start w:val="5"/>
    </w:lvl>
  </w:abstractNum>
  <w:abstractNum w:abstractNumId="23">
    <w:nsid w:val="14FCE74E"/>
    <w:multiLevelType w:val="hybridMultilevel"/>
    <w:lvl w:ilvl="0">
      <w:lvlJc w:val="left"/>
      <w:lvlText w:val="(%1)"/>
      <w:numFmt w:val="lowerLetter"/>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1)"/>
      <w:numFmt w:val="lowerRoman"/>
      <w:start w:val="5"/>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1)"/>
      <w:numFmt w:val="lowerRoman"/>
      <w:start w:val="2"/>
    </w:lvl>
  </w:abstractNum>
  <w:abstractNum w:abstractNumId="30">
    <w:nsid w:val="1D545C4D"/>
    <w:multiLevelType w:val="hybridMultilevel"/>
    <w:lvl w:ilvl="0">
      <w:lvlJc w:val="left"/>
      <w:lvlText w:val="(%1)"/>
      <w:numFmt w:val="lowerRoman"/>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
      <w:numFmt w:val="bullet"/>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
      <w:numFmt w:val="bullet"/>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
      <w:numFmt w:val="bullet"/>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
      <w:numFmt w:val="bullet"/>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
      <w:numFmt w:val="bullet"/>
      <w:start w:val="1"/>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
      <w:numFmt w:val="bullet"/>
      <w:start w:val="1"/>
    </w:lvl>
  </w:abstractNum>
  <w:abstractNum w:abstractNumId="52">
    <w:nsid w:val="69E373"/>
    <w:multiLevelType w:val="hybridMultilevel"/>
    <w:lvl w:ilvl="0">
      <w:lvlJc w:val="left"/>
      <w:lvlText w:val="(%1)"/>
      <w:numFmt w:val="lowerRoman"/>
      <w:start w:val="3"/>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emdash "/>
      <w:numFmt w:val="bullet"/>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
      <w:numFmt w:val="bullet"/>
      <w:start w:val="1"/>
    </w:lvl>
  </w:abstractNum>
  <w:abstractNum w:abstractNumId="58">
    <w:nsid w:val="3DD15094"/>
    <w:multiLevelType w:val="hybridMultilevel"/>
    <w:lvl w:ilvl="0">
      <w:lvlJc w:val="left"/>
      <w:lvlText w:val="(%1)"/>
      <w:numFmt w:val="decimal"/>
      <w:start w:val="1"/>
    </w:lvl>
  </w:abstractNum>
  <w:abstractNum w:abstractNumId="59">
    <w:nsid w:val="3DB012B3"/>
    <w:multiLevelType w:val="hybridMultilevel"/>
    <w:lvl w:ilvl="0">
      <w:lvlJc w:val="left"/>
      <w:lvlText w:val="(%1)"/>
      <w:numFmt w:val="lowerLetter"/>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
      <w:numFmt w:val="bullet"/>
      <w:start w:val="1"/>
    </w:lvl>
  </w:abstractNum>
  <w:abstractNum w:abstractNumId="62">
    <w:nsid w:val="175DFCF0"/>
    <w:multiLevelType w:val="hybridMultilevel"/>
    <w:lvl w:ilvl="0">
      <w:lvlJc w:val="left"/>
      <w:lvlText w:val="•"/>
      <w:numFmt w:val="bullet"/>
      <w:start w:val="1"/>
    </w:lvl>
  </w:abstractNum>
  <w:abstractNum w:abstractNumId="63">
    <w:nsid w:val="4F97E3E4"/>
    <w:multiLevelType w:val="hybridMultilevel"/>
    <w:lvl w:ilvl="0">
      <w:lvlJc w:val="left"/>
      <w:lvlText w:val="(%1)"/>
      <w:numFmt w:val="decimal"/>
      <w:start w:val="1"/>
    </w:lvl>
  </w:abstractNum>
  <w:abstractNum w:abstractNumId="64">
    <w:nsid w:val="53B0A9E"/>
    <w:multiLevelType w:val="hybridMultilevel"/>
    <w:lvl w:ilvl="0">
      <w:lvlJc w:val="left"/>
      <w:lvlText w:val="(%1)"/>
      <w:numFmt w:val="decimal"/>
      <w:start w:val="3"/>
    </w:lvl>
  </w:abstractNum>
  <w:abstractNum w:abstractNumId="65">
    <w:nsid w:val="34FD6B4F"/>
    <w:multiLevelType w:val="hybridMultilevel"/>
    <w:lvl w:ilvl="0">
      <w:lvlJc w:val="left"/>
      <w:lvlText w:val="(%1)"/>
      <w:numFmt w:val="decimal"/>
      <w:start w:val="5"/>
    </w:lvl>
  </w:abstractNum>
  <w:abstractNum w:abstractNumId="66">
    <w:nsid w:val="5915FF32"/>
    <w:multiLevelType w:val="hybridMultilevel"/>
    <w:lvl w:ilvl="0">
      <w:lvlJc w:val="left"/>
      <w:lvlText w:val="•"/>
      <w:numFmt w:val="bullet"/>
      <w:start w:val="1"/>
    </w:lvl>
    <w:lvl w:ilvl="1">
      <w:lvlJc w:val="left"/>
      <w:lvlText w:val="(%2)"/>
      <w:numFmt w:val="lowerRoman"/>
      <w:start w:val="2"/>
    </w:lvl>
  </w:abstractNum>
  <w:abstractNum w:abstractNumId="67">
    <w:nsid w:val="56438D15"/>
    <w:multiLevelType w:val="hybridMultilevel"/>
    <w:lvl w:ilvl="0">
      <w:lvlJc w:val="left"/>
      <w:lvlText w:val="•"/>
      <w:numFmt w:val="bullet"/>
      <w:start w:val="1"/>
    </w:lvl>
    <w:lvl w:ilvl="1">
      <w:lvlJc w:val="left"/>
      <w:lvlText w:val="(%2)"/>
      <w:numFmt w:val="lowerRoman"/>
      <w:start w:val="1"/>
    </w:lvl>
  </w:abstractNum>
  <w:abstractNum w:abstractNumId="68">
    <w:nsid w:val="519E3149"/>
    <w:multiLevelType w:val="hybridMultilevel"/>
    <w:lvl w:ilvl="0">
      <w:lvlJc w:val="left"/>
      <w:lvlText w:val="•"/>
      <w:numFmt w:val="bullet"/>
      <w:start w:val="1"/>
    </w:lvl>
  </w:abstractNum>
  <w:abstractNum w:abstractNumId="69">
    <w:nsid w:val="2C6E4AFD"/>
    <w:multiLevelType w:val="hybridMultilevel"/>
    <w:lvl w:ilvl="0">
      <w:lvlJc w:val="left"/>
      <w:lvlText w:val="•"/>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1)"/>
      <w:numFmt w:val="decimal"/>
      <w:start w:val="1"/>
    </w:lvl>
  </w:abstractNum>
  <w:abstractNum w:abstractNumId="72">
    <w:nsid w:val="5046B5A9"/>
    <w:multiLevelType w:val="hybridMultilevel"/>
    <w:lvl w:ilvl="0">
      <w:lvlJc w:val="left"/>
      <w:lvlText w:val="(%1)"/>
      <w:numFmt w:val="decimal"/>
      <w:start w:val="1"/>
    </w:lvl>
  </w:abstractNum>
  <w:abstractNum w:abstractNumId="73">
    <w:nsid w:val="5D888A08"/>
    <w:multiLevelType w:val="hybridMultilevel"/>
    <w:lvl w:ilvl="0">
      <w:lvlJc w:val="left"/>
      <w:lvlText w:val="(%1)"/>
      <w:numFmt w:val="decimal"/>
      <w:start w:val="1"/>
    </w:lvl>
  </w:abstractNum>
  <w:abstractNum w:abstractNumId="74">
    <w:nsid w:val="2A082C70"/>
    <w:multiLevelType w:val="hybridMultilevel"/>
    <w:lvl w:ilvl="0">
      <w:lvlJc w:val="left"/>
      <w:lvlText w:val="(%1)"/>
      <w:numFmt w:val="decimal"/>
      <w:start w:val="1"/>
    </w:lvl>
  </w:abstractNum>
  <w:abstractNum w:abstractNumId="75">
    <w:nsid w:val="5EC6AFD4"/>
    <w:multiLevelType w:val="hybridMultilevel"/>
    <w:lvl w:ilvl="0">
      <w:lvlJc w:val="left"/>
      <w:lvlText w:val="(%1)"/>
      <w:numFmt w:val="decimal"/>
      <w:start w:val="1"/>
    </w:lvl>
  </w:abstractNum>
  <w:abstractNum w:abstractNumId="76">
    <w:nsid w:val="19E21BB2"/>
    <w:multiLevelType w:val="hybridMultilevel"/>
    <w:lvl w:ilvl="0">
      <w:lvlJc w:val="left"/>
      <w:lvlText w:val="•"/>
      <w:numFmt w:val="bullet"/>
      <w:start w:val="1"/>
    </w:lvl>
  </w:abstractNum>
  <w:abstractNum w:abstractNumId="77">
    <w:nsid w:val="75E0858A"/>
    <w:multiLevelType w:val="hybridMultilevel"/>
    <w:lvl w:ilvl="0">
      <w:lvlJc w:val="left"/>
      <w:lvlText w:val="•"/>
      <w:numFmt w:val="bullet"/>
      <w:start w:val="1"/>
    </w:lvl>
  </w:abstractNum>
  <w:abstractNum w:abstractNumId="78">
    <w:nsid w:val="57A61A29"/>
    <w:multiLevelType w:val="hybridMultilevel"/>
    <w:lvl w:ilvl="0">
      <w:lvlJc w:val="left"/>
      <w:lvlText w:val="•"/>
      <w:numFmt w:val="bullet"/>
      <w:start w:val="1"/>
    </w:lvl>
    <w:lvl w:ilvl="1">
      <w:lvlJc w:val="left"/>
      <w:lvlText w:val="•"/>
      <w:numFmt w:val="bullet"/>
      <w:start w:val="1"/>
    </w:lvl>
  </w:abstractNum>
  <w:abstractNum w:abstractNumId="79">
    <w:nsid w:val="5399C654"/>
    <w:multiLevelType w:val="hybridMultilevel"/>
    <w:lvl w:ilvl="0">
      <w:lvlJc w:val="left"/>
      <w:lvlText w:val="•"/>
      <w:numFmt w:val="bullet"/>
      <w:start w:val="1"/>
    </w:lvl>
  </w:abstractNum>
  <w:abstractNum w:abstractNumId="80">
    <w:nsid w:val="20EE1348"/>
    <w:multiLevelType w:val="hybridMultilevel"/>
    <w:lvl w:ilvl="0">
      <w:lvlJc w:val="left"/>
      <w:lvlText w:val="•"/>
      <w:numFmt w:val="bullet"/>
      <w:start w:val="1"/>
    </w:lvl>
  </w:abstractNum>
  <w:abstractNum w:abstractNumId="81">
    <w:nsid w:val="4427069A"/>
    <w:multiLevelType w:val="hybridMultilevel"/>
    <w:lvl w:ilvl="0">
      <w:lvlJc w:val="left"/>
      <w:lvlText w:val="•"/>
      <w:numFmt w:val="bullet"/>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
      <w:numFmt w:val="bullet"/>
      <w:start w:val="1"/>
    </w:lvl>
  </w:abstractNum>
  <w:abstractNum w:abstractNumId="85">
    <w:nsid w:val="57D2F10E"/>
    <w:multiLevelType w:val="hybridMultilevel"/>
    <w:lvl w:ilvl="0">
      <w:lvlJc w:val="left"/>
      <w:lvlText w:val="(%1)"/>
      <w:numFmt w:val="lowerRoman"/>
      <w:start w:val="2"/>
    </w:lvl>
  </w:abstractNum>
  <w:abstractNum w:abstractNumId="86">
    <w:nsid w:val="BFFAE18"/>
    <w:multiLevelType w:val="hybridMultilevel"/>
    <w:lvl w:ilvl="0">
      <w:lvlJc w:val="left"/>
      <w:lvlText w:val="•"/>
      <w:numFmt w:val="bullet"/>
      <w:start w:val="1"/>
    </w:lvl>
  </w:abstractNum>
  <w:abstractNum w:abstractNumId="87">
    <w:nsid w:val="E3E47A8"/>
    <w:multiLevelType w:val="hybridMultilevel"/>
    <w:lvl w:ilvl="0">
      <w:lvlJc w:val="left"/>
      <w:lvlText w:val="."/>
      <w:numFmt w:val="bullet"/>
      <w:start w:val="1"/>
    </w:lvl>
  </w:abstractNum>
  <w:abstractNum w:abstractNumId="88">
    <w:nsid w:val="2E48F044"/>
    <w:multiLevelType w:val="hybridMultilevel"/>
    <w:lvl w:ilvl="0">
      <w:lvlJc w:val="left"/>
      <w:lvlText w:val="(%1)"/>
      <w:numFmt w:val="decimal"/>
      <w:start w:val="1"/>
    </w:lvl>
  </w:abstractNum>
  <w:abstractNum w:abstractNumId="89">
    <w:nsid w:val="49D0FEAC"/>
    <w:multiLevelType w:val="hybridMultilevel"/>
    <w:lvl w:ilvl="0">
      <w:lvlJc w:val="left"/>
      <w:lvlText w:val="(%1)"/>
      <w:numFmt w:val="lowerRoman"/>
      <w:start w:val="1"/>
    </w:lvl>
  </w:abstractNum>
  <w:abstractNum w:abstractNumId="90">
    <w:nsid w:val="4BEE5A5B"/>
    <w:multiLevelType w:val="hybridMultilevel"/>
    <w:lvl w:ilvl="0">
      <w:lvlJc w:val="left"/>
      <w:lvlText w:val="(%1)"/>
      <w:numFmt w:val="upperLetter"/>
      <w:start w:val="2"/>
    </w:lvl>
  </w:abstractNum>
  <w:abstractNum w:abstractNumId="91">
    <w:nsid w:val="5551B9F3"/>
    <w:multiLevelType w:val="hybridMultilevel"/>
    <w:lvl w:ilvl="0">
      <w:lvlJc w:val="left"/>
      <w:lvlText w:val=","/>
      <w:numFmt w:val="bullet"/>
      <w:start w:val="1"/>
    </w:lvl>
  </w:abstractNum>
  <w:abstractNum w:abstractNumId="92">
    <w:nsid w:val="24F6AB8E"/>
    <w:multiLevelType w:val="hybridMultilevel"/>
    <w:lvl w:ilvl="0">
      <w:lvlJc w:val="left"/>
      <w:lvlText w:val="$"/>
      <w:numFmt w:val="bullet"/>
      <w:start w:val="1"/>
    </w:lvl>
  </w:abstractNum>
  <w:abstractNum w:abstractNumId="93">
    <w:nsid w:val="634C574C"/>
    <w:multiLevelType w:val="hybridMultilevel"/>
    <w:lvl w:ilvl="0">
      <w:lvlJc w:val="left"/>
      <w:lvlText w:val="(%1)"/>
      <w:numFmt w:val="lowerLetter"/>
      <w:start w:val="2"/>
    </w:lvl>
  </w:abstractNum>
  <w:abstractNum w:abstractNumId="94">
    <w:nsid w:val="24E99DD7"/>
    <w:multiLevelType w:val="hybridMultilevel"/>
    <w:lvl w:ilvl="0">
      <w:lvlJc w:val="left"/>
      <w:lvlText w:val="(%1)"/>
      <w:numFmt w:val="lowerLetter"/>
      <w:start w:val="3"/>
    </w:lvl>
  </w:abstractNum>
  <w:abstractNum w:abstractNumId="95">
    <w:nsid w:val="2A31B62D"/>
    <w:multiLevelType w:val="hybridMultilevel"/>
    <w:lvl w:ilvl="0">
      <w:lvlJc w:val="left"/>
      <w:lvlText w:val="(%1)"/>
      <w:numFmt w:val="lowerLetter"/>
      <w:start w:val="2"/>
    </w:lvl>
  </w:abstractNum>
  <w:abstractNum w:abstractNumId="96">
    <w:nsid w:val="1849C29B"/>
    <w:multiLevelType w:val="hybridMultilevel"/>
    <w:lvl w:ilvl="0">
      <w:lvlJc w:val="left"/>
      <w:lvlText w:val="(%1)"/>
      <w:numFmt w:val="decimal"/>
      <w:start w:val="1"/>
    </w:lvl>
  </w:abstractNum>
  <w:abstractNum w:abstractNumId="97">
    <w:nsid w:val="7DFF9D09"/>
    <w:multiLevelType w:val="hybridMultilevel"/>
    <w:lvl w:ilvl="0">
      <w:lvlJc w:val="left"/>
      <w:lvlText w:val="(%1)"/>
      <w:numFmt w:val="decimal"/>
      <w:start w:val="11"/>
    </w:lvl>
  </w:abstractNum>
  <w:abstractNum w:abstractNumId="98">
    <w:nsid w:val="754342"/>
    <w:multiLevelType w:val="hybridMultilevel"/>
    <w:lvl w:ilvl="0">
      <w:lvlJc w:val="left"/>
      <w:lvlText w:val="(%1)"/>
      <w:numFmt w:val="lowerRoman"/>
      <w:start w:val="2"/>
    </w:lvl>
  </w:abstractNum>
  <w:abstractNum w:abstractNumId="99">
    <w:nsid w:val="69E7F3E5"/>
    <w:multiLevelType w:val="hybridMultilevel"/>
    <w:lvl w:ilvl="0">
      <w:lvlJc w:val="left"/>
      <w:lvlText w:val="(%1)"/>
      <w:numFmt w:val="lowerLetter"/>
      <w:start w:val="1"/>
    </w:lvl>
  </w:abstractNum>
  <w:abstractNum w:abstractNumId="100">
    <w:nsid w:val="2A6DE806"/>
    <w:multiLevelType w:val="hybridMultilevel"/>
    <w:lvl w:ilvl="0">
      <w:lvlJc w:val="left"/>
      <w:lvlText w:val="•"/>
      <w:numFmt w:val="bullet"/>
      <w:start w:val="1"/>
    </w:lvl>
  </w:abstractNum>
  <w:abstractNum w:abstractNumId="101">
    <w:nsid w:val="1816F8C4"/>
    <w:multiLevelType w:val="hybridMultilevel"/>
    <w:lvl w:ilvl="0">
      <w:lvlJc w:val="left"/>
      <w:lvlText w:val="(%1)"/>
      <w:numFmt w:val="decimal"/>
      <w:start w:val="1"/>
    </w:lvl>
  </w:abstractNum>
  <w:abstractNum w:abstractNumId="102">
    <w:nsid w:val="37DF2233"/>
    <w:multiLevelType w:val="hybridMultilevel"/>
    <w:lvl w:ilvl="0">
      <w:lvlJc w:val="left"/>
      <w:lvlText w:val="(%1)"/>
      <w:numFmt w:val="upperLetter"/>
      <w:start w:val="9"/>
    </w:lvl>
  </w:abstractNum>
  <w:abstractNum w:abstractNumId="103">
    <w:nsid w:val="7AB49DAF"/>
    <w:multiLevelType w:val="hybridMultilevel"/>
    <w:lvl w:ilvl="0">
      <w:lvlJc w:val="left"/>
      <w:lvlText w:val="•"/>
      <w:numFmt w:val="bullet"/>
      <w:start w:val="1"/>
    </w:lvl>
  </w:abstractNum>
  <w:abstractNum w:abstractNumId="104">
    <w:nsid w:val="759F82CD"/>
    <w:multiLevelType w:val="hybridMultilevel"/>
    <w:lvl w:ilvl="0">
      <w:lvlJc w:val="left"/>
      <w:lvlText w:val="•"/>
      <w:numFmt w:val="bullet"/>
      <w:start w:val="1"/>
    </w:lvl>
  </w:abstractNum>
  <w:abstractNum w:abstractNumId="105">
    <w:nsid w:val="61E74EA3"/>
    <w:multiLevelType w:val="hybridMultilevel"/>
    <w:lvl w:ilvl="0">
      <w:lvlJc w:val="left"/>
      <w:lvlText w:val="(%1)"/>
      <w:numFmt w:val="lowerRoman"/>
      <w:start w:val="1"/>
    </w:lvl>
  </w:abstractNum>
  <w:abstractNum w:abstractNumId="106">
    <w:nsid w:val="597B4D84"/>
    <w:multiLevelType w:val="hybridMultilevel"/>
    <w:lvl w:ilvl="0">
      <w:lvlJc w:val="left"/>
      <w:lvlText w:val="(%1)"/>
      <w:numFmt w:val="lowerRoman"/>
      <w:start w:val="1"/>
    </w:lvl>
  </w:abstractNum>
  <w:abstractNum w:abstractNumId="107">
    <w:nsid w:val="F819E7F"/>
    <w:multiLevelType w:val="hybridMultilevel"/>
    <w:lvl w:ilvl="0">
      <w:lvlJc w:val="left"/>
      <w:lvlText w:val="•"/>
      <w:numFmt w:val="bullet"/>
      <w:start w:val="1"/>
    </w:lvl>
  </w:abstractNum>
  <w:abstractNum w:abstractNumId="108">
    <w:nsid w:val="57C7D42D"/>
    <w:multiLevelType w:val="hybridMultilevel"/>
    <w:lvl w:ilvl="0">
      <w:lvlJc w:val="left"/>
      <w:lvlText w:val="•"/>
      <w:numFmt w:val="bullet"/>
      <w:start w:val="1"/>
    </w:lvl>
  </w:abstractNum>
  <w:abstractNum w:abstractNumId="109">
    <w:nsid w:val="312167AD"/>
    <w:multiLevelType w:val="hybridMultilevel"/>
    <w:lvl w:ilvl="0">
      <w:lvlJc w:val="left"/>
      <w:lvlText w:val="•"/>
      <w:numFmt w:val="bullet"/>
      <w:start w:val="1"/>
    </w:lvl>
  </w:abstractNum>
  <w:abstractNum w:abstractNumId="110">
    <w:nsid w:val="631B64D4"/>
    <w:multiLevelType w:val="hybridMultilevel"/>
    <w:lvl w:ilvl="0">
      <w:lvlJc w:val="left"/>
      <w:lvlText w:val="."/>
      <w:numFmt w:val="bullet"/>
      <w:start w:val="1"/>
    </w:lvl>
  </w:abstractNum>
  <w:abstractNum w:abstractNumId="111">
    <w:nsid w:val="78B5E776"/>
    <w:multiLevelType w:val="hybridMultilevel"/>
    <w:lvl w:ilvl="0">
      <w:lvlJc w:val="left"/>
      <w:lvlText w:val="•"/>
      <w:numFmt w:val="bullet"/>
      <w:start w:val="1"/>
    </w:lvl>
  </w:abstractNum>
  <w:abstractNum w:abstractNumId="112">
    <w:nsid w:val="75486E47"/>
    <w:multiLevelType w:val="hybridMultilevel"/>
    <w:lvl w:ilvl="0">
      <w:lvlJc w:val="left"/>
      <w:lvlText w:val="•"/>
      <w:numFmt w:val="bullet"/>
      <w:start w:val="1"/>
    </w:lvl>
  </w:abstractNum>
  <w:abstractNum w:abstractNumId="113">
    <w:nsid w:val="6E534CDE"/>
    <w:multiLevelType w:val="hybridMultilevel"/>
    <w:lvl w:ilvl="0">
      <w:lvlJc w:val="left"/>
      <w:lvlText w:val="•"/>
      <w:numFmt w:val="bullet"/>
      <w:start w:val="1"/>
    </w:lvl>
  </w:abstractNum>
  <w:abstractNum w:abstractNumId="114">
    <w:nsid w:val="1A0DDE32"/>
    <w:multiLevelType w:val="hybridMultilevel"/>
    <w:lvl w:ilvl="0">
      <w:lvlJc w:val="left"/>
      <w:lvlText w:val="•"/>
      <w:numFmt w:val="bullet"/>
      <w:start w:val="1"/>
    </w:lvl>
  </w:abstractNum>
  <w:abstractNum w:abstractNumId="115">
    <w:nsid w:val="65968C1C"/>
    <w:multiLevelType w:val="hybridMultilevel"/>
    <w:lvl w:ilvl="0">
      <w:lvlJc w:val="left"/>
      <w:lvlText w:val="•"/>
      <w:numFmt w:val="bullet"/>
      <w:start w:val="1"/>
    </w:lvl>
  </w:abstractNum>
  <w:abstractNum w:abstractNumId="116">
    <w:nsid w:val="46263DEC"/>
    <w:multiLevelType w:val="hybridMultilevel"/>
    <w:lvl w:ilvl="0">
      <w:lvlJc w:val="left"/>
      <w:lvlText w:val="(%1)"/>
      <w:numFmt w:val="lowerRoman"/>
      <w:start w:val="1"/>
    </w:lvl>
  </w:abstractNum>
  <w:abstractNum w:abstractNumId="117">
    <w:nsid w:val="260D8C4A"/>
    <w:multiLevelType w:val="hybridMultilevel"/>
    <w:lvl w:ilvl="0">
      <w:lvlJc w:val="left"/>
      <w:lvlText w:val="$"/>
      <w:numFmt w:val="bullet"/>
      <w:start w:val="1"/>
    </w:lvl>
  </w:abstractNum>
  <w:abstractNum w:abstractNumId="118">
    <w:nsid w:val="73D4D3C4"/>
    <w:multiLevelType w:val="hybridMultilevel"/>
    <w:lvl w:ilvl="0">
      <w:lvlJc w:val="left"/>
      <w:lvlText w:val=","/>
      <w:numFmt w:val="bullet"/>
      <w:start w:val="1"/>
    </w:lvl>
  </w:abstractNum>
  <w:abstractNum w:abstractNumId="119">
    <w:nsid w:val="746F2E30"/>
    <w:multiLevelType w:val="hybridMultilevel"/>
    <w:lvl w:ilvl="0">
      <w:lvlJc w:val="left"/>
      <w:lvlText w:val="•"/>
      <w:numFmt w:val="bullet"/>
      <w:start w:val="1"/>
    </w:lvl>
  </w:abstractNum>
  <w:abstractNum w:abstractNumId="120">
    <w:nsid w:val="6FDE8AF6"/>
    <w:multiLevelType w:val="hybridMultilevel"/>
    <w:lvl w:ilvl="0">
      <w:lvlJc w:val="left"/>
      <w:lvlText w:val="•"/>
      <w:numFmt w:val="bullet"/>
      <w:start w:val="1"/>
    </w:lvl>
  </w:abstractNum>
  <w:abstractNum w:abstractNumId="121">
    <w:nsid w:val="3FC32E20"/>
    <w:multiLevelType w:val="hybridMultilevel"/>
    <w:lvl w:ilvl="0">
      <w:lvlJc w:val="left"/>
      <w:lvlText w:val="•"/>
      <w:numFmt w:val="bullet"/>
      <w:start w:val="1"/>
    </w:lvl>
  </w:abstractNum>
  <w:abstractNum w:abstractNumId="122">
    <w:nsid w:val="49C0E823"/>
    <w:multiLevelType w:val="hybridMultilevel"/>
    <w:lvl w:ilvl="0">
      <w:lvlJc w:val="left"/>
      <w:lvlText w:val="•"/>
      <w:numFmt w:val="bullet"/>
      <w:start w:val="1"/>
    </w:lvl>
  </w:abstractNum>
  <w:abstractNum w:abstractNumId="123">
    <w:nsid w:val="14D53685"/>
    <w:multiLevelType w:val="hybridMultilevel"/>
    <w:lvl w:ilvl="0">
      <w:lvlJc w:val="left"/>
      <w:lvlText w:val="•"/>
      <w:numFmt w:val="bullet"/>
      <w:start w:val="1"/>
    </w:lvl>
  </w:abstractNum>
  <w:abstractNum w:abstractNumId="124">
    <w:nsid w:val="230F856C"/>
    <w:multiLevelType w:val="hybridMultilevel"/>
    <w:lvl w:ilvl="0">
      <w:lvlJc w:val="left"/>
      <w:lvlText w:val="%1."/>
      <w:numFmt w:val="decimal"/>
      <w:start w:val="10"/>
    </w:lvl>
  </w:abstractNum>
  <w:abstractNum w:abstractNumId="125">
    <w:nsid w:val="6EAA85FB"/>
    <w:multiLevelType w:val="hybridMultilevel"/>
    <w:lvl w:ilvl="0">
      <w:lvlJc w:val="left"/>
      <w:lvlText w:val="%1."/>
      <w:numFmt w:val="decimal"/>
      <w:start w:val="17"/>
    </w:lvl>
  </w:abstractNum>
  <w:abstractNum w:abstractNumId="126">
    <w:nsid w:val="3F06ECB2"/>
    <w:multiLevelType w:val="hybridMultilevel"/>
    <w:lvl w:ilvl="0">
      <w:lvlJc w:val="left"/>
      <w:lvlText w:val="(%1)"/>
      <w:numFmt w:val="lowerLetter"/>
      <w:start w:val="2"/>
    </w:lvl>
  </w:abstractNum>
  <w:abstractNum w:abstractNumId="127">
    <w:nsid w:val="3B594807"/>
    <w:multiLevelType w:val="hybridMultilevel"/>
    <w:lvl w:ilvl="0">
      <w:lvlJc w:val="left"/>
      <w:lvlText w:val="(%1)"/>
      <w:numFmt w:val="decimal"/>
      <w:start w:val="2"/>
    </w:lvl>
  </w:abstractNum>
  <w:abstractNum w:abstractNumId="128">
    <w:nsid w:val="6CAA2304"/>
    <w:multiLevelType w:val="hybridMultilevel"/>
    <w:lvl w:ilvl="0">
      <w:lvlJc w:val="left"/>
      <w:lvlText w:val="(%1)"/>
      <w:numFmt w:val="decimal"/>
      <w:start w:val="1"/>
    </w:lvl>
  </w:abstractNum>
  <w:abstractNum w:abstractNumId="129">
    <w:nsid w:val="3F7C2FF4"/>
    <w:multiLevelType w:val="hybridMultilevel"/>
    <w:lvl w:ilvl="0">
      <w:lvlJc w:val="left"/>
      <w:lvlText w:val="*"/>
      <w:numFmt w:val="bullet"/>
      <w:start w:val="1"/>
    </w:lvl>
  </w:abstractNum>
  <w:abstractNum w:abstractNumId="130">
    <w:nsid w:val="25413BEC"/>
    <w:multiLevelType w:val="hybridMultilevel"/>
    <w:lvl w:ilvl="0">
      <w:lvlJc w:val="left"/>
      <w:lvlText w:val="+"/>
      <w:numFmt w:val="bullet"/>
      <w:start w:val="1"/>
    </w:lvl>
  </w:abstractNum>
  <w:abstractNum w:abstractNumId="131">
    <w:nsid w:val="17180B0B"/>
    <w:multiLevelType w:val="hybridMultilevel"/>
    <w:lvl w:ilvl="0">
      <w:lvlJc w:val="left"/>
      <w:lvlText w:val="†"/>
      <w:numFmt w:val="bullet"/>
      <w:start w:val="1"/>
    </w:lvl>
  </w:abstractNum>
  <w:abstractNum w:abstractNumId="132">
    <w:nsid w:val="579328B9"/>
    <w:multiLevelType w:val="hybridMultilevel"/>
    <w:lvl w:ilvl="0">
      <w:lvlJc w:val="left"/>
      <w:lvlText w:val="(%1)"/>
      <w:numFmt w:val="lowerLetter"/>
      <w:start w:val="1"/>
    </w:lvl>
  </w:abstractNum>
  <w:abstractNum w:abstractNumId="133">
    <w:nsid w:val="5D205E20"/>
    <w:multiLevelType w:val="hybridMultilevel"/>
    <w:lvl w:ilvl="0">
      <w:lvlJc w:val="left"/>
      <w:lvlText w:val="(%1)"/>
      <w:numFmt w:val="lowerLetter"/>
      <w:start w:val="5"/>
    </w:lvl>
  </w:abstractNum>
  <w:abstractNum w:abstractNumId="134">
    <w:nsid w:val="11CCA8BA"/>
    <w:multiLevelType w:val="hybridMultilevel"/>
    <w:lvl w:ilvl="0">
      <w:lvlJc w:val="left"/>
      <w:lvlText w:val="(%1)"/>
      <w:numFmt w:val="lowerLetter"/>
      <w:start w:val="1"/>
    </w:lvl>
  </w:abstractNum>
  <w:abstractNum w:abstractNumId="135">
    <w:nsid w:val="4D32AB86"/>
    <w:multiLevelType w:val="hybridMultilevel"/>
    <w:lvl w:ilvl="0">
      <w:lvlJc w:val="left"/>
      <w:lvlText w:val="(%1)"/>
      <w:numFmt w:val="lowerRoman"/>
      <w:start w:val="1"/>
    </w:lvl>
  </w:abstractNum>
  <w:abstractNum w:abstractNumId="136">
    <w:nsid w:val="3F07ACC3"/>
    <w:multiLevelType w:val="hybridMultilevel"/>
    <w:lvl w:ilvl="0">
      <w:lvlJc w:val="left"/>
      <w:lvlText w:val="(%1)"/>
      <w:numFmt w:val="lowerLetter"/>
      <w:start w:val="1"/>
    </w:lvl>
    <w:lvl w:ilvl="1">
      <w:lvlJc w:val="left"/>
      <w:lvlText w:val="(%2)"/>
      <w:numFmt w:val="lowerRoman"/>
      <w:start w:val="1"/>
    </w:lvl>
  </w:abstractNum>
  <w:abstractNum w:abstractNumId="137">
    <w:nsid w:val="6B47F63E"/>
    <w:multiLevelType w:val="hybridMultilevel"/>
    <w:lvl w:ilvl="0">
      <w:lvlJc w:val="left"/>
      <w:lvlText w:val="(%1)"/>
      <w:numFmt w:val="lowerLetter"/>
      <w:start w:val="2"/>
    </w:lvl>
    <w:lvl w:ilvl="1">
      <w:lvlJc w:val="left"/>
      <w:lvlText w:val="(%2)"/>
      <w:numFmt w:val="lowerRoman"/>
      <w:start w:val="1"/>
    </w:lvl>
  </w:abstractNum>
  <w:abstractNum w:abstractNumId="138">
    <w:nsid w:val="5CB44A05"/>
    <w:multiLevelType w:val="hybridMultilevel"/>
    <w:lvl w:ilvl="0">
      <w:lvlJc w:val="left"/>
      <w:lvlText w:val="(%1)"/>
      <w:numFmt w:val="lowerLetter"/>
      <w:start w:val="1"/>
    </w:lvl>
    <w:lvl w:ilvl="1">
      <w:lvlJc w:val="left"/>
      <w:lvlText w:val="(%2)"/>
      <w:numFmt w:val="lowerLetter"/>
      <w:start w:val="9"/>
    </w:lvl>
  </w:abstractNum>
  <w:abstractNum w:abstractNumId="139">
    <w:nsid w:val="16CF80F1"/>
    <w:multiLevelType w:val="hybridMultilevel"/>
    <w:lvl w:ilvl="0">
      <w:lvlJc w:val="left"/>
      <w:lvlText w:val="%1"/>
      <w:numFmt w:val="lowerLetter"/>
      <w:start w:val="1"/>
    </w:lvl>
    <w:lvl w:ilvl="1">
      <w:lvlJc w:val="left"/>
      <w:lvlText w:val="(%2)"/>
      <w:numFmt w:val="lowerRoman"/>
      <w:start w:val="2"/>
    </w:lvl>
  </w:abstractNum>
  <w:abstractNum w:abstractNumId="140">
    <w:nsid w:val="1C695DEC"/>
    <w:multiLevelType w:val="hybridMultilevel"/>
    <w:lvl w:ilvl="0">
      <w:lvlJc w:val="left"/>
      <w:lvlText w:val="(%1)"/>
      <w:numFmt w:val="lowerLetter"/>
      <w:start w:val="3"/>
    </w:lvl>
    <w:lvl w:ilvl="1">
      <w:lvlJc w:val="left"/>
      <w:lvlText w:val="%2"/>
      <w:numFmt w:val="lowerRoman"/>
      <w:start w:val="1"/>
    </w:lvl>
  </w:abstractNum>
  <w:abstractNum w:abstractNumId="141">
    <w:nsid w:val="3FCFAED9"/>
    <w:multiLevelType w:val="hybridMultilevel"/>
    <w:lvl w:ilvl="0">
      <w:lvlJc w:val="left"/>
      <w:lvlText w:val="(%1)"/>
      <w:numFmt w:val="lowerLetter"/>
      <w:start w:val="1"/>
    </w:lvl>
  </w:abstractNum>
  <w:abstractNum w:abstractNumId="142">
    <w:nsid w:val="F856867"/>
    <w:multiLevelType w:val="hybridMultilevel"/>
    <w:lvl w:ilvl="0">
      <w:lvlJc w:val="left"/>
      <w:lvlText w:val="(%1)"/>
      <w:numFmt w:val="lowerLetter"/>
      <w:start w:val="1"/>
    </w:lvl>
    <w:lvl w:ilvl="1">
      <w:lvlJc w:val="left"/>
      <w:lvlText w:val="(%2)"/>
      <w:numFmt w:val="lowerRoman"/>
      <w:start w:val="1"/>
    </w:lvl>
  </w:abstractNum>
  <w:abstractNum w:abstractNumId="143">
    <w:nsid w:val="11B1CC33"/>
    <w:multiLevelType w:val="hybridMultilevel"/>
    <w:lvl w:ilvl="0">
      <w:lvlJc w:val="left"/>
      <w:lvlText w:val="(%1)"/>
      <w:numFmt w:val="lowerRoman"/>
      <w:start w:val="3"/>
    </w:lvl>
  </w:abstractNum>
  <w:abstractNum w:abstractNumId="144">
    <w:nsid w:val="2E22FBB7"/>
    <w:multiLevelType w:val="hybridMultilevel"/>
    <w:lvl w:ilvl="0">
      <w:lvlJc w:val="left"/>
      <w:lvlText w:val="(%1)"/>
      <w:numFmt w:val="lowerLetter"/>
      <w:start w:val="2"/>
    </w:lvl>
    <w:lvl w:ilvl="1">
      <w:lvlJc w:val="left"/>
      <w:lvlText w:val="(%2)"/>
      <w:numFmt w:val="lowerRoman"/>
      <w:start w:val="1"/>
    </w:lvl>
  </w:abstractNum>
  <w:abstractNum w:abstractNumId="145">
    <w:nsid w:val="2993469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6">
    <w:nsid w:val="77485850"/>
    <w:multiLevelType w:val="hybridMultilevel"/>
    <w:lvl w:ilvl="0">
      <w:lvlJc w:val="left"/>
      <w:lvlText w:val="(%1)"/>
      <w:numFmt w:val="lowerLetter"/>
      <w:start w:val="4"/>
    </w:lvl>
  </w:abstractNum>
  <w:abstractNum w:abstractNumId="147">
    <w:nsid w:val="744939A3"/>
    <w:multiLevelType w:val="hybridMultilevel"/>
    <w:lvl w:ilvl="0">
      <w:lvlJc w:val="left"/>
      <w:lvlText w:val="(%1)"/>
      <w:numFmt w:val="lowerLetter"/>
      <w:start w:val="1"/>
    </w:lvl>
    <w:lvl w:ilvl="1">
      <w:lvlJc w:val="left"/>
      <w:lvlText w:val="(%2)"/>
      <w:numFmt w:val="lowerRoman"/>
      <w:start w:val="1"/>
    </w:lvl>
  </w:abstractNum>
  <w:abstractNum w:abstractNumId="148">
    <w:nsid w:val="4FA0D2E3"/>
    <w:multiLevelType w:val="hybridMultilevel"/>
    <w:lvl w:ilvl="0">
      <w:lvlJc w:val="left"/>
      <w:lvlText w:val="%1"/>
      <w:numFmt w:val="lowerLetter"/>
      <w:start w:val="1"/>
    </w:lvl>
    <w:lvl w:ilvl="1">
      <w:lvlJc w:val="left"/>
      <w:lvlText w:val="(%2)"/>
      <w:numFmt w:val="lowerLetter"/>
      <w:start w:val="61"/>
    </w:lvl>
  </w:abstractNum>
  <w:abstractNum w:abstractNumId="149">
    <w:nsid w:val="6B1D2C14"/>
    <w:multiLevelType w:val="hybridMultilevel"/>
    <w:lvl w:ilvl="0">
      <w:lvlJc w:val="left"/>
      <w:lvlText w:val="(%1)"/>
      <w:numFmt w:val="lowerLetter"/>
      <w:start w:val="2"/>
    </w:lvl>
    <w:lvl w:ilvl="1">
      <w:lvlJc w:val="left"/>
      <w:lvlText w:val="%2"/>
      <w:numFmt w:val="lowerLetter"/>
      <w:start w:val="1"/>
    </w:lvl>
  </w:abstractNum>
  <w:abstractNum w:abstractNumId="150">
    <w:nsid w:val="68B867D3"/>
    <w:multiLevelType w:val="hybridMultilevel"/>
    <w:lvl w:ilvl="0">
      <w:lvlJc w:val="left"/>
      <w:lvlText w:val="(%1)"/>
      <w:numFmt w:val="lowerLetter"/>
      <w:start w:val="1"/>
    </w:lvl>
  </w:abstractNum>
  <w:abstractNum w:abstractNumId="151">
    <w:nsid w:val="3F7F5DD9"/>
    <w:multiLevelType w:val="hybridMultilevel"/>
    <w:lvl w:ilvl="0">
      <w:lvlJc w:val="left"/>
      <w:lvlText w:val="(%1)"/>
      <w:numFmt w:val="lowerLetter"/>
      <w:start w:val="1"/>
    </w:lvl>
  </w:abstractNum>
  <w:abstractNum w:abstractNumId="152">
    <w:nsid w:val="2AE05A34"/>
    <w:multiLevelType w:val="hybridMultilevel"/>
    <w:lvl w:ilvl="0">
      <w:lvlJc w:val="left"/>
      <w:lvlText w:val="%1"/>
      <w:numFmt w:val="upperLetter"/>
      <w:start w:val="1"/>
    </w:lvl>
    <w:lvl w:ilvl="1">
      <w:lvlJc w:val="left"/>
      <w:lvlText w:val="(%2)"/>
      <w:numFmt w:val="lowerLetter"/>
      <w:start w:val="2"/>
    </w:lvl>
  </w:abstractNum>
  <w:abstractNum w:abstractNumId="153">
    <w:nsid w:val="32794FF7"/>
    <w:multiLevelType w:val="hybridMultilevel"/>
    <w:lvl w:ilvl="0">
      <w:lvlJc w:val="left"/>
      <w:lvlText w:val="(%1)"/>
      <w:numFmt w:val="upperLetter"/>
      <w:start w:val="1"/>
    </w:lvl>
    <w:lvl w:ilvl="1">
      <w:lvlJc w:val="left"/>
      <w:lvlText w:val="%2"/>
      <w:numFmt w:val="lowerLetter"/>
      <w:start w:val="1"/>
    </w:lvl>
  </w:abstractNum>
  <w:abstractNum w:abstractNumId="154">
    <w:nsid w:val="5454945E"/>
    <w:multiLevelType w:val="hybridMultilevel"/>
    <w:lvl w:ilvl="0">
      <w:lvlJc w:val="left"/>
      <w:lvlText w:val="(%1)"/>
      <w:numFmt w:val="lowerLetter"/>
      <w:start w:val="1"/>
    </w:lvl>
  </w:abstractNum>
  <w:abstractNum w:abstractNumId="155">
    <w:nsid w:val="4DEFDFA0"/>
    <w:multiLevelType w:val="hybridMultilevel"/>
    <w:lvl w:ilvl="0">
      <w:lvlJc w:val="left"/>
      <w:lvlText w:val="(%1)"/>
      <w:numFmt w:val="lowerLetter"/>
      <w:start w:val="4"/>
    </w:lvl>
  </w:abstractNum>
  <w:abstractNum w:abstractNumId="156">
    <w:nsid w:val="2123D5F2"/>
    <w:multiLevelType w:val="hybridMultilevel"/>
    <w:lvl w:ilvl="0">
      <w:lvlJc w:val="left"/>
      <w:lvlText w:val="(%1)"/>
      <w:numFmt w:val="lowerLetter"/>
      <w:start w:val="1"/>
    </w:lvl>
  </w:abstractNum>
  <w:abstractNum w:abstractNumId="157">
    <w:nsid w:val="135B8110"/>
    <w:multiLevelType w:val="hybridMultilevel"/>
    <w:lvl w:ilvl="0">
      <w:lvlJc w:val="left"/>
      <w:lvlText w:val="(%1)"/>
      <w:numFmt w:val="lowerRoman"/>
      <w:start w:val="1"/>
    </w:lvl>
  </w:abstractNum>
  <w:abstractNum w:abstractNumId="158">
    <w:nsid w:val="94927A8"/>
    <w:multiLevelType w:val="hybridMultilevel"/>
    <w:lvl w:ilvl="0">
      <w:lvlJc w:val="left"/>
      <w:lvlText w:val="(%1)"/>
      <w:numFmt w:val="lowerRoman"/>
      <w:start w:val="2"/>
    </w:lvl>
  </w:abstractNum>
  <w:abstractNum w:abstractNumId="159">
    <w:nsid w:val="DCDF8F6"/>
    <w:multiLevelType w:val="hybridMultilevel"/>
    <w:lvl w:ilvl="0">
      <w:lvlJc w:val="left"/>
      <w:lvlText w:val="(%1)"/>
      <w:numFmt w:val="lowerRoman"/>
      <w:start w:val="3"/>
    </w:lvl>
  </w:abstractNum>
  <w:abstractNum w:abstractNumId="160">
    <w:nsid w:val="52D7B105"/>
    <w:multiLevelType w:val="hybridMultilevel"/>
    <w:lvl w:ilvl="0">
      <w:lvlJc w:val="left"/>
      <w:lvlText w:val="*"/>
      <w:numFmt w:val="bullet"/>
      <w:start w:val="1"/>
    </w:lvl>
    <w:lvl w:ilvl="1">
      <w:lvlJc w:val="left"/>
      <w:lvlText w:val="%2."/>
      <w:numFmt w:val="decimal"/>
      <w:start w:val="1"/>
    </w:lvl>
  </w:abstractNum>
  <w:abstractNum w:abstractNumId="161">
    <w:nsid w:val="2E8A6394"/>
    <w:multiLevelType w:val="hybridMultilevel"/>
    <w:lvl w:ilvl="0">
      <w:lvlJc w:val="left"/>
      <w:lvlText w:val="%1."/>
      <w:numFmt w:val="decimal"/>
      <w:start w:val="1"/>
    </w:lvl>
  </w:abstractNum>
  <w:abstractNum w:abstractNumId="162">
    <w:nsid w:val="24E60401"/>
    <w:multiLevelType w:val="hybridMultilevel"/>
    <w:lvl w:ilvl="0">
      <w:lvlJc w:val="left"/>
      <w:lvlText w:val="·"/>
      <w:numFmt w:val="bullet"/>
      <w:start w:val="1"/>
    </w:lvl>
  </w:abstractNum>
  <w:abstractNum w:abstractNumId="163">
    <w:nsid w:val="2A6AD9BE"/>
    <w:multiLevelType w:val="hybridMultilevel"/>
    <w:lvl w:ilvl="0">
      <w:lvlJc w:val="left"/>
      <w:lvlText w:val="%1."/>
      <w:numFmt w:val="decimal"/>
      <w:start w:val="1"/>
    </w:lvl>
  </w:abstractNum>
  <w:abstractNum w:abstractNumId="164">
    <w:nsid w:val="BAAC1B4"/>
    <w:multiLevelType w:val="hybridMultilevel"/>
    <w:lvl w:ilvl="0">
      <w:lvlJc w:val="left"/>
      <w:lvlText w:val="·"/>
      <w:numFmt w:val="bullet"/>
      <w:start w:val="1"/>
    </w:lvl>
  </w:abstractNum>
  <w:abstractNum w:abstractNumId="165">
    <w:nsid w:val="36B2ACBC"/>
    <w:multiLevelType w:val="hybridMultilevel"/>
    <w:lvl w:ilvl="0">
      <w:lvlJc w:val="left"/>
      <w:lvlText w:val="·"/>
      <w:numFmt w:val="bullet"/>
      <w:start w:val="1"/>
    </w:lvl>
  </w:abstractNum>
  <w:abstractNum w:abstractNumId="166">
    <w:nsid w:val="779D8544"/>
    <w:multiLevelType w:val="hybridMultilevel"/>
    <w:lvl w:ilvl="0">
      <w:lvlJc w:val="left"/>
      <w:lvlText w:val="·"/>
      <w:numFmt w:val="bullet"/>
      <w:start w:val="1"/>
    </w:lvl>
  </w:abstractNum>
  <w:abstractNum w:abstractNumId="167">
    <w:nsid w:val="4AB26E78"/>
    <w:multiLevelType w:val="hybridMultilevel"/>
    <w:lvl w:ilvl="0">
      <w:lvlJc w:val="left"/>
      <w:lvlText w:val="·"/>
      <w:numFmt w:val="bullet"/>
      <w:start w:val="1"/>
    </w:lvl>
  </w:abstractNum>
  <w:abstractNum w:abstractNumId="168">
    <w:nsid w:val="21FAA2FA"/>
    <w:multiLevelType w:val="hybridMultilevel"/>
    <w:lvl w:ilvl="0">
      <w:lvlJc w:val="left"/>
      <w:lvlText w:val="·"/>
      <w:numFmt w:val="bullet"/>
      <w:start w:val="1"/>
    </w:lvl>
  </w:abstractNum>
  <w:abstractNum w:abstractNumId="169">
    <w:nsid w:val="5451CF49"/>
    <w:multiLevelType w:val="hybridMultilevel"/>
    <w:lvl w:ilvl="0">
      <w:lvlJc w:val="left"/>
      <w:lvlText w:val="·"/>
      <w:numFmt w:val="bullet"/>
      <w:start w:val="1"/>
    </w:lvl>
  </w:abstractNum>
  <w:abstractNum w:abstractNumId="170">
    <w:nsid w:val="6181EF69"/>
    <w:multiLevelType w:val="hybridMultilevel"/>
    <w:lvl w:ilvl="0">
      <w:lvlJc w:val="left"/>
      <w:lvlText w:val="%1."/>
      <w:numFmt w:val="decimal"/>
      <w:start w:val="1"/>
    </w:lvl>
  </w:abstractNum>
  <w:abstractNum w:abstractNumId="171">
    <w:nsid w:val="3E6400E6"/>
    <w:multiLevelType w:val="hybridMultilevel"/>
    <w:lvl w:ilvl="0">
      <w:lvlJc w:val="left"/>
      <w:lvlText w:val="(%1)"/>
      <w:numFmt w:val="decimal"/>
      <w:start w:val="15"/>
    </w:lvl>
  </w:abstractNum>
  <w:abstractNum w:abstractNumId="172">
    <w:nsid w:val="14217E23"/>
    <w:multiLevelType w:val="hybridMultilevel"/>
    <w:lvl w:ilvl="0">
      <w:lvlJc w:val="left"/>
      <w:lvlText w:val="%1."/>
      <w:numFmt w:val="decimal"/>
      <w:start w:val="1"/>
    </w:lvl>
  </w:abstractNum>
  <w:abstractNum w:abstractNumId="173">
    <w:nsid w:val="710757D0"/>
    <w:multiLevelType w:val="hybridMultilevel"/>
    <w:lvl w:ilvl="0">
      <w:lvlJc w:val="left"/>
      <w:lvlText w:val="%1."/>
      <w:numFmt w:val="decimal"/>
      <w:start w:val="1"/>
    </w:lvl>
  </w:abstractNum>
  <w:abstractNum w:abstractNumId="174">
    <w:nsid w:val="5015CD1A"/>
    <w:multiLevelType w:val="hybridMultilevel"/>
    <w:lvl w:ilvl="0">
      <w:lvlJc w:val="left"/>
      <w:lvlText w:val="·"/>
      <w:numFmt w:val="bullet"/>
      <w:start w:val="1"/>
    </w:lvl>
  </w:abstractNum>
  <w:abstractNum w:abstractNumId="175">
    <w:nsid w:val="424479DA"/>
    <w:multiLevelType w:val="hybridMultilevel"/>
    <w:lvl w:ilvl="0">
      <w:lvlJc w:val="left"/>
      <w:lvlText w:val="[***]"/>
      <w:numFmt w:val="bullet"/>
      <w:start w:val="1"/>
    </w:lvl>
  </w:abstractNum>
  <w:abstractNum w:abstractNumId="176">
    <w:nsid w:val="1A9A9E69"/>
    <w:multiLevelType w:val="hybridMultilevel"/>
    <w:lvl w:ilvl="0">
      <w:lvlJc w:val="left"/>
      <w:lvlText w:val="[***]"/>
      <w:numFmt w:val="bullet"/>
      <w:start w:val="1"/>
    </w:lvl>
  </w:abstractNum>
  <w:abstractNum w:abstractNumId="177">
    <w:nsid w:val="475E256A"/>
    <w:multiLevelType w:val="hybridMultilevel"/>
    <w:lvl w:ilvl="0">
      <w:lvlJc w:val="left"/>
      <w:lvlText w:val="(%1)"/>
      <w:numFmt w:val="lowerRoman"/>
      <w:start w:val="1"/>
    </w:lvl>
  </w:abstractNum>
  <w:abstractNum w:abstractNumId="178">
    <w:nsid w:val="368DB37E"/>
    <w:multiLevelType w:val="hybridMultilevel"/>
    <w:lvl w:ilvl="0">
      <w:lvlJc w:val="left"/>
      <w:lvlText w:val="1"/>
      <w:numFmt w:val="bullet"/>
      <w:start w:val="1"/>
    </w:lvl>
  </w:abstractNum>
  <w:abstractNum w:abstractNumId="179">
    <w:nsid w:val="6A3B714C"/>
    <w:multiLevelType w:val="hybridMultilevel"/>
    <w:lvl w:ilvl="0">
      <w:lvlJc w:val="left"/>
      <w:lvlText w:val="2"/>
      <w:numFmt w:val="bullet"/>
      <w:start w:val="1"/>
    </w:lvl>
  </w:abstractNum>
  <w:abstractNum w:abstractNumId="180">
    <w:nsid w:val="327B517E"/>
    <w:multiLevelType w:val="hybridMultilevel"/>
    <w:lvl w:ilvl="0">
      <w:lvlJc w:val="left"/>
      <w:lvlText w:val="%1."/>
      <w:numFmt w:val="decimal"/>
      <w:start w:val="1"/>
    </w:lvl>
  </w:abstractNum>
  <w:abstractNum w:abstractNumId="181">
    <w:nsid w:val="1F461B51"/>
    <w:multiLevelType w:val="hybridMultilevel"/>
    <w:lvl w:ilvl="0">
      <w:lvlJc w:val="left"/>
      <w:lvlText w:val="%1."/>
      <w:numFmt w:val="decimal"/>
      <w:start w:val="2"/>
    </w:lvl>
  </w:abstractNum>
  <w:abstractNum w:abstractNumId="182">
    <w:nsid w:val="29BACF2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2020-03-14T18:50:54Z</dcterms:created>
  <dcterms:modified xsi:type="dcterms:W3CDTF">2020-03-14T18:50:54Z</dcterms:modified>
</cp:coreProperties>
</file>