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2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4" w:lineRule="exact"/>
        <w:rPr>
          <w:sz w:val="24"/>
          <w:szCs w:val="24"/>
          <w:color w:val="auto"/>
        </w:rPr>
      </w:pPr>
    </w:p>
    <w:p>
      <w:pPr>
        <w:sectPr>
          <w:pgSz w:w="11900" w:h="16838" w:orient="portrait"/>
          <w:cols w:equalWidth="0" w:num="3">
            <w:col w:w="3200" w:space="720"/>
            <w:col w:w="3095" w:space="720"/>
            <w:col w:w="3345"/>
          </w:cols>
          <w:pgMar w:left="460" w:top="219" w:right="359" w:bottom="212"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2445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445385"/>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2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w w:val="82"/>
              </w:rPr>
              <w:t>F</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89,769</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60.79</w:t>
            </w: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387,606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2,811</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20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390,417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4,294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60.9514</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386,123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11,029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61.9443</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375,094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18,854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62.9119</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356,240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36,515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64.0234</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319,725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15,531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64.4922</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304,194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880" w:type="dxa"/>
            <w:vAlign w:val="bottom"/>
            <w:vMerge w:val="restart"/>
          </w:tcPr>
          <w:p>
            <w:pPr>
              <w:ind w:left="300"/>
              <w:spacing w:after="0"/>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6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249,102 unvested RSUs in respect of Class A Common Stock which are scheduled to vest on January 1, 2022 and (ii)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4, 2020.</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$60.40 to $61.39,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8 and 9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$61.40 to $62.37,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$62.40 to $63.38,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$63.40 to $64.38,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$64.42 to $64.50, inclusive.</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2021-02-02T18:13:13Z</dcterms:created>
  <dcterms:modified xsi:type="dcterms:W3CDTF">2021-02-02T18:13:13Z</dcterms:modified>
</cp:coreProperties>
</file>